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Default Extension="png" ContentType="image/png"/>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7.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4.xml" ContentType="application/vnd.openxmlformats-officedocument.wordprocessingml.header+xml"/>
  <Override PartName="/word/footer4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bookmarkStart w:name="Introduction" w:id="1"/>
      <w:bookmarkEnd w:id="1"/>
      <w:r>
        <w:rPr>
          <w:b w:val="0"/>
        </w:rPr>
      </w:r>
      <w:r>
        <w:rPr>
          <w:color w:val="009391"/>
        </w:rPr>
        <w:t>Inflation Report</w:t>
      </w:r>
    </w:p>
    <w:p>
      <w:pPr>
        <w:spacing w:before="711"/>
        <w:ind w:left="3800" w:right="0" w:firstLine="0"/>
        <w:jc w:val="left"/>
        <w:rPr>
          <w:b/>
          <w:sz w:val="40"/>
        </w:rPr>
      </w:pPr>
      <w:r>
        <w:rPr>
          <w:b/>
          <w:color w:val="009391"/>
          <w:sz w:val="40"/>
        </w:rPr>
        <w:t>February 2000</w:t>
      </w:r>
    </w:p>
    <w:p>
      <w:pPr>
        <w:pStyle w:val="BodyText"/>
        <w:rPr>
          <w:b/>
          <w:sz w:val="44"/>
        </w:rPr>
      </w:pPr>
    </w:p>
    <w:p>
      <w:pPr>
        <w:pStyle w:val="Heading6"/>
        <w:spacing w:line="242" w:lineRule="auto" w:before="303"/>
        <w:ind w:left="3799" w:right="1302"/>
      </w:pPr>
      <w:r>
        <w:rPr/>
        <w:t>The </w:t>
      </w:r>
      <w:r>
        <w:rPr>
          <w:i/>
        </w:rPr>
        <w:t>Inflation Report </w:t>
      </w:r>
      <w:r>
        <w:rPr/>
        <w:t>is produced quarterly by Bank staff under the guidance of the members of the Monetary Policy Committee. It serves two purposes. First,</w:t>
      </w:r>
    </w:p>
    <w:p>
      <w:pPr>
        <w:spacing w:before="4"/>
        <w:ind w:left="3799" w:right="0" w:firstLine="0"/>
        <w:jc w:val="left"/>
        <w:rPr>
          <w:sz w:val="24"/>
        </w:rPr>
      </w:pPr>
      <w:r>
        <w:rPr>
          <w:sz w:val="24"/>
        </w:rPr>
        <w:t>its preparation provides a comprehensive and</w:t>
      </w:r>
    </w:p>
    <w:p>
      <w:pPr>
        <w:spacing w:line="242" w:lineRule="auto" w:before="4"/>
        <w:ind w:left="3799" w:right="1302" w:firstLine="0"/>
        <w:jc w:val="left"/>
        <w:rPr>
          <w:sz w:val="24"/>
        </w:rPr>
      </w:pPr>
      <w:r>
        <w:rPr>
          <w:sz w:val="24"/>
        </w:rPr>
        <w:t>forward-looking framework for discussion among MPC members as an aid to our decision making. Second, its publication allows us to share our thinking and explain the reasons for our decisions to those whom they affect.</w:t>
      </w:r>
    </w:p>
    <w:p>
      <w:pPr>
        <w:spacing w:line="249" w:lineRule="auto" w:before="225"/>
        <w:ind w:left="3799" w:right="1535" w:firstLine="0"/>
        <w:jc w:val="left"/>
        <w:rPr>
          <w:sz w:val="24"/>
        </w:rPr>
      </w:pPr>
      <w:r>
        <w:rPr>
          <w:sz w:val="24"/>
        </w:rPr>
        <w:t>Although not every member will agree with every assumption on which our projections are based, the fan charts represent the MPC’s best collective judgment</w:t>
      </w:r>
    </w:p>
    <w:p>
      <w:pPr>
        <w:spacing w:line="249" w:lineRule="auto" w:before="3"/>
        <w:ind w:left="3799" w:right="235" w:firstLine="0"/>
        <w:jc w:val="left"/>
        <w:rPr>
          <w:sz w:val="24"/>
        </w:rPr>
      </w:pPr>
      <w:r>
        <w:rPr>
          <w:sz w:val="24"/>
        </w:rPr>
        <w:t>about the most likely path for inflation and output, and the uncertainties surrounding those central projections.</w:t>
      </w:r>
    </w:p>
    <w:p>
      <w:pPr>
        <w:pStyle w:val="BodyText"/>
        <w:rPr>
          <w:sz w:val="21"/>
        </w:rPr>
      </w:pPr>
    </w:p>
    <w:p>
      <w:pPr>
        <w:spacing w:line="249" w:lineRule="auto" w:before="1"/>
        <w:ind w:left="3799" w:right="1669" w:firstLine="0"/>
        <w:jc w:val="left"/>
        <w:rPr>
          <w:sz w:val="24"/>
        </w:rPr>
      </w:pPr>
      <w:r>
        <w:rPr>
          <w:sz w:val="24"/>
        </w:rPr>
        <w:t>This </w:t>
      </w:r>
      <w:r>
        <w:rPr>
          <w:i/>
          <w:sz w:val="24"/>
        </w:rPr>
        <w:t>Report </w:t>
      </w:r>
      <w:r>
        <w:rPr>
          <w:sz w:val="24"/>
        </w:rPr>
        <w:t>has been prepared and published by the Bank of England in accordance with section 18 of the Bank of England Act 1998.</w:t>
      </w:r>
    </w:p>
    <w:p>
      <w:pPr>
        <w:pStyle w:val="BodyText"/>
        <w:spacing w:before="3"/>
        <w:rPr>
          <w:sz w:val="25"/>
        </w:rPr>
      </w:pPr>
    </w:p>
    <w:p>
      <w:pPr>
        <w:spacing w:before="0"/>
        <w:ind w:left="3799" w:right="0" w:firstLine="0"/>
        <w:jc w:val="left"/>
        <w:rPr>
          <w:sz w:val="24"/>
        </w:rPr>
      </w:pPr>
      <w:r>
        <w:rPr>
          <w:b/>
          <w:sz w:val="24"/>
        </w:rPr>
        <w:t>The Monetary Policy Committee</w:t>
      </w:r>
      <w:r>
        <w:rPr>
          <w:sz w:val="24"/>
        </w:rPr>
        <w:t>:</w:t>
      </w:r>
    </w:p>
    <w:p>
      <w:pPr>
        <w:spacing w:before="12"/>
        <w:ind w:left="3800" w:right="0" w:firstLine="0"/>
        <w:jc w:val="left"/>
        <w:rPr>
          <w:sz w:val="24"/>
        </w:rPr>
      </w:pPr>
      <w:r>
        <w:rPr>
          <w:sz w:val="24"/>
        </w:rPr>
        <w:t>Eddie George, Governor</w:t>
      </w:r>
    </w:p>
    <w:p>
      <w:pPr>
        <w:spacing w:line="249" w:lineRule="auto" w:before="12"/>
        <w:ind w:left="3800" w:right="235" w:firstLine="0"/>
        <w:jc w:val="left"/>
        <w:rPr>
          <w:sz w:val="24"/>
        </w:rPr>
      </w:pPr>
      <w:r>
        <w:rPr>
          <w:sz w:val="24"/>
        </w:rPr>
        <w:t>Mervyn King, Deputy Governor responsible for monetary policy David Clementi, Deputy Governor responsible for financial stability Willem Buiter</w:t>
      </w:r>
    </w:p>
    <w:p>
      <w:pPr>
        <w:spacing w:line="249" w:lineRule="auto" w:before="3"/>
        <w:ind w:left="3800" w:right="5120" w:firstLine="0"/>
        <w:jc w:val="left"/>
        <w:rPr>
          <w:sz w:val="24"/>
        </w:rPr>
      </w:pPr>
      <w:r>
        <w:rPr>
          <w:sz w:val="24"/>
        </w:rPr>
        <w:t>Charles Goodhart DeAnne Julius Ian Plenderleith John Vickers Sushil Wadhwani</w:t>
      </w:r>
    </w:p>
    <w:p>
      <w:pPr>
        <w:pStyle w:val="BodyText"/>
        <w:rPr>
          <w:sz w:val="26"/>
        </w:rPr>
      </w:pPr>
    </w:p>
    <w:p>
      <w:pPr>
        <w:pStyle w:val="BodyText"/>
        <w:rPr>
          <w:sz w:val="26"/>
        </w:rPr>
      </w:pPr>
    </w:p>
    <w:p>
      <w:pPr>
        <w:pStyle w:val="BodyText"/>
        <w:rPr>
          <w:sz w:val="26"/>
        </w:rPr>
      </w:pPr>
    </w:p>
    <w:p>
      <w:pPr>
        <w:pStyle w:val="BodyText"/>
        <w:spacing w:before="10"/>
        <w:rPr>
          <w:sz w:val="25"/>
        </w:rPr>
      </w:pPr>
    </w:p>
    <w:p>
      <w:pPr>
        <w:spacing w:line="249" w:lineRule="auto" w:before="0"/>
        <w:ind w:left="3799" w:right="235" w:firstLine="0"/>
        <w:jc w:val="left"/>
        <w:rPr>
          <w:sz w:val="20"/>
        </w:rPr>
      </w:pPr>
      <w:r>
        <w:rPr>
          <w:sz w:val="20"/>
        </w:rPr>
        <w:t>The Overview of this </w:t>
      </w:r>
      <w:r>
        <w:rPr>
          <w:i/>
          <w:sz w:val="20"/>
        </w:rPr>
        <w:t>Inflation Report </w:t>
      </w:r>
      <w:r>
        <w:rPr>
          <w:sz w:val="20"/>
        </w:rPr>
        <w:t>is available on the Bank’s web site: </w:t>
      </w:r>
      <w:hyperlink r:id="rId5">
        <w:r>
          <w:rPr>
            <w:sz w:val="20"/>
          </w:rPr>
          <w:t>www.bankofengland.co.uk/infrep.htm</w:t>
        </w:r>
      </w:hyperlink>
      <w:r>
        <w:rPr>
          <w:sz w:val="20"/>
        </w:rPr>
        <w:t> The entire </w:t>
      </w:r>
      <w:r>
        <w:rPr>
          <w:i/>
          <w:sz w:val="20"/>
        </w:rPr>
        <w:t>Report </w:t>
      </w:r>
      <w:r>
        <w:rPr>
          <w:sz w:val="20"/>
        </w:rPr>
        <w:t>is available in PDF format on </w:t>
      </w:r>
      <w:hyperlink r:id="rId6">
        <w:r>
          <w:rPr>
            <w:sz w:val="20"/>
          </w:rPr>
          <w:t>www.bankofengland.co.uk/ir.htm</w:t>
        </w:r>
      </w:hyperlink>
    </w:p>
    <w:p>
      <w:pPr>
        <w:pStyle w:val="BodyText"/>
        <w:rPr>
          <w:sz w:val="22"/>
        </w:rPr>
      </w:pPr>
    </w:p>
    <w:p>
      <w:pPr>
        <w:pStyle w:val="BodyText"/>
        <w:rPr>
          <w:sz w:val="22"/>
        </w:rPr>
      </w:pPr>
    </w:p>
    <w:p>
      <w:pPr>
        <w:spacing w:line="182" w:lineRule="exact" w:before="194"/>
        <w:ind w:left="3800" w:right="0" w:firstLine="0"/>
        <w:jc w:val="left"/>
        <w:rPr>
          <w:sz w:val="16"/>
        </w:rPr>
      </w:pPr>
      <w:r>
        <w:rPr>
          <w:sz w:val="16"/>
        </w:rPr>
        <w:t>Printed by Park Communications Ltd</w:t>
      </w:r>
    </w:p>
    <w:p>
      <w:pPr>
        <w:spacing w:line="235" w:lineRule="auto" w:before="1"/>
        <w:ind w:left="3800" w:right="5214" w:firstLine="0"/>
        <w:jc w:val="left"/>
        <w:rPr>
          <w:sz w:val="16"/>
        </w:rPr>
      </w:pPr>
      <w:r>
        <w:rPr>
          <w:sz w:val="16"/>
        </w:rPr>
        <w:t>© Bank of England 2000 ISBN 1 85730 157 9</w:t>
      </w:r>
    </w:p>
    <w:p>
      <w:pPr>
        <w:spacing w:line="180" w:lineRule="exact" w:before="0"/>
        <w:ind w:left="3800" w:right="0" w:firstLine="0"/>
        <w:jc w:val="left"/>
        <w:rPr>
          <w:sz w:val="16"/>
        </w:rPr>
      </w:pPr>
      <w:r>
        <w:rPr>
          <w:sz w:val="16"/>
        </w:rPr>
        <w:t>ISSN 1353–6737</w:t>
      </w:r>
    </w:p>
    <w:p>
      <w:pPr>
        <w:spacing w:after="0" w:line="180" w:lineRule="exact"/>
        <w:jc w:val="left"/>
        <w:rPr>
          <w:sz w:val="16"/>
        </w:rPr>
        <w:sectPr>
          <w:type w:val="continuous"/>
          <w:pgSz w:w="11900" w:h="16840"/>
          <w:pgMar w:top="1220" w:bottom="280" w:left="620" w:right="640"/>
        </w:sectPr>
      </w:pPr>
    </w:p>
    <w:p>
      <w:pPr>
        <w:pStyle w:val="BodyText"/>
        <w:spacing w:line="20" w:lineRule="exact"/>
        <w:ind w:left="15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spacing w:before="1"/>
        <w:rPr>
          <w:sz w:val="28"/>
        </w:rPr>
      </w:pPr>
    </w:p>
    <w:p>
      <w:pPr>
        <w:spacing w:before="83"/>
        <w:ind w:left="5000" w:right="0" w:firstLine="0"/>
        <w:jc w:val="left"/>
        <w:rPr>
          <w:b/>
          <w:sz w:val="40"/>
        </w:rPr>
      </w:pPr>
      <w:bookmarkStart w:name="Overview" w:id="2"/>
      <w:bookmarkEnd w:id="2"/>
      <w:r>
        <w:rPr/>
      </w:r>
      <w:bookmarkStart w:name="_bookmark0" w:id="3"/>
      <w:bookmarkEnd w:id="3"/>
      <w:r>
        <w:rPr/>
      </w:r>
      <w:r>
        <w:rPr>
          <w:b/>
          <w:color w:val="009391"/>
          <w:sz w:val="40"/>
        </w:rPr>
        <w:t>Overview</w:t>
      </w:r>
    </w:p>
    <w:p>
      <w:pPr>
        <w:pStyle w:val="BodyText"/>
        <w:rPr>
          <w:b/>
          <w:sz w:val="44"/>
        </w:rPr>
      </w:pPr>
    </w:p>
    <w:p>
      <w:pPr>
        <w:pStyle w:val="Heading6"/>
        <w:spacing w:line="242" w:lineRule="auto" w:before="292"/>
        <w:ind w:left="5000" w:right="188"/>
      </w:pPr>
      <w:r>
        <w:rPr/>
        <w:t>Growth with </w:t>
      </w:r>
      <w:r>
        <w:rPr>
          <w:spacing w:val="-3"/>
        </w:rPr>
        <w:t>low </w:t>
      </w:r>
      <w:r>
        <w:rPr/>
        <w:t>inflation has continued in the UK </w:t>
      </w:r>
      <w:r>
        <w:rPr>
          <w:spacing w:val="-3"/>
        </w:rPr>
        <w:t>economy. </w:t>
      </w:r>
      <w:r>
        <w:rPr/>
        <w:t>Output in the final quarter of 1999 was 2.7% higher than a year earlier, while inflation remained slightly below the 2</w:t>
      </w:r>
      <w:r>
        <w:rPr>
          <w:position w:val="8"/>
          <w:sz w:val="12"/>
        </w:rPr>
        <w:t>1</w:t>
      </w:r>
      <w:r>
        <w:rPr/>
        <w:t>/</w:t>
      </w:r>
      <w:r>
        <w:rPr>
          <w:sz w:val="12"/>
        </w:rPr>
        <w:t>2</w:t>
      </w:r>
      <w:r>
        <w:rPr/>
        <w:t>% target. The growth of final domestic demand moderated during the </w:t>
      </w:r>
      <w:r>
        <w:rPr>
          <w:spacing w:val="-3"/>
        </w:rPr>
        <w:t>year, </w:t>
      </w:r>
      <w:r>
        <w:rPr/>
        <w:t>but external demand picked up as world activity and trade strengthened. Output growth resumed in manufacturing, but the outlook for net trade and for producers in internationally exposed sectors is affected by the strength of sterling. The further rise in the exchange rate brings downward pressure on inflation in the near term. The labour market may </w:t>
      </w:r>
      <w:r>
        <w:rPr>
          <w:spacing w:val="-3"/>
        </w:rPr>
        <w:t>have </w:t>
      </w:r>
      <w:r>
        <w:rPr/>
        <w:t>tightened a little in recent months. Competitive and regulatory pressures on prices and</w:t>
      </w:r>
      <w:r>
        <w:rPr>
          <w:spacing w:val="-7"/>
        </w:rPr>
        <w:t> </w:t>
      </w:r>
      <w:r>
        <w:rPr/>
        <w:t>margins</w:t>
      </w:r>
      <w:r>
        <w:rPr>
          <w:spacing w:val="-7"/>
        </w:rPr>
        <w:t> </w:t>
      </w:r>
      <w:r>
        <w:rPr/>
        <w:t>are</w:t>
      </w:r>
      <w:r>
        <w:rPr>
          <w:spacing w:val="-6"/>
        </w:rPr>
        <w:t> </w:t>
      </w:r>
      <w:r>
        <w:rPr/>
        <w:t>evident</w:t>
      </w:r>
      <w:r>
        <w:rPr>
          <w:spacing w:val="-7"/>
        </w:rPr>
        <w:t> </w:t>
      </w:r>
      <w:r>
        <w:rPr/>
        <w:t>in</w:t>
      </w:r>
      <w:r>
        <w:rPr>
          <w:spacing w:val="-6"/>
        </w:rPr>
        <w:t> </w:t>
      </w:r>
      <w:r>
        <w:rPr/>
        <w:t>some</w:t>
      </w:r>
      <w:r>
        <w:rPr>
          <w:spacing w:val="-7"/>
        </w:rPr>
        <w:t> </w:t>
      </w:r>
      <w:r>
        <w:rPr/>
        <w:t>sectors,</w:t>
      </w:r>
      <w:r>
        <w:rPr>
          <w:spacing w:val="-6"/>
        </w:rPr>
        <w:t> </w:t>
      </w:r>
      <w:r>
        <w:rPr/>
        <w:t>but</w:t>
      </w:r>
      <w:r>
        <w:rPr>
          <w:spacing w:val="-7"/>
        </w:rPr>
        <w:t> </w:t>
      </w:r>
      <w:r>
        <w:rPr/>
        <w:t>their</w:t>
      </w:r>
      <w:r>
        <w:rPr>
          <w:spacing w:val="-7"/>
        </w:rPr>
        <w:t> </w:t>
      </w:r>
      <w:r>
        <w:rPr/>
        <w:t>extent, duration and implications for overall inflation prospects are</w:t>
      </w:r>
      <w:r>
        <w:rPr>
          <w:spacing w:val="-2"/>
        </w:rPr>
        <w:t> </w:t>
      </w:r>
      <w:r>
        <w:rPr/>
        <w:t>uncertain.</w:t>
      </w:r>
    </w:p>
    <w:p>
      <w:pPr>
        <w:pStyle w:val="BodyText"/>
        <w:spacing w:before="1"/>
        <w:rPr>
          <w:sz w:val="26"/>
        </w:rPr>
      </w:pPr>
    </w:p>
    <w:p>
      <w:pPr>
        <w:spacing w:line="242" w:lineRule="auto" w:before="0"/>
        <w:ind w:left="5000" w:right="168" w:firstLine="0"/>
        <w:jc w:val="left"/>
        <w:rPr>
          <w:sz w:val="24"/>
        </w:rPr>
      </w:pPr>
      <w:r>
        <w:rPr>
          <w:sz w:val="24"/>
        </w:rPr>
        <w:t>The world economic outlook has improved </w:t>
      </w:r>
      <w:r>
        <w:rPr>
          <w:spacing w:val="-3"/>
          <w:sz w:val="24"/>
        </w:rPr>
        <w:t>further. </w:t>
      </w:r>
      <w:r>
        <w:rPr>
          <w:sz w:val="24"/>
        </w:rPr>
        <w:t>Demand and output in the United States exceeded expectations throughout 1999, and the prospect is for continued expansion. Activity in the euro area has picked up more rapidly than expected three months ago, and forward-looking indicators point to strengthening </w:t>
      </w:r>
      <w:r>
        <w:rPr>
          <w:spacing w:val="-4"/>
          <w:sz w:val="24"/>
        </w:rPr>
        <w:t>recovery.  However, </w:t>
      </w:r>
      <w:r>
        <w:rPr>
          <w:sz w:val="24"/>
        </w:rPr>
        <w:t>the euro has declined and the sterling </w:t>
      </w:r>
      <w:r>
        <w:rPr>
          <w:spacing w:val="-3"/>
          <w:sz w:val="24"/>
        </w:rPr>
        <w:t>effective </w:t>
      </w:r>
      <w:r>
        <w:rPr>
          <w:sz w:val="24"/>
        </w:rPr>
        <w:t>exchange rate has correspondingly risen.  There are </w:t>
      </w:r>
      <w:r>
        <w:rPr>
          <w:spacing w:val="-3"/>
          <w:sz w:val="24"/>
        </w:rPr>
        <w:t>few </w:t>
      </w:r>
      <w:r>
        <w:rPr>
          <w:sz w:val="24"/>
        </w:rPr>
        <w:t>signs yet of self-sustaining domestic demand growth in Japan, but activity and trade flows in Asia </w:t>
      </w:r>
      <w:r>
        <w:rPr>
          <w:spacing w:val="-3"/>
          <w:sz w:val="24"/>
        </w:rPr>
        <w:t>have </w:t>
      </w:r>
      <w:r>
        <w:rPr>
          <w:sz w:val="24"/>
        </w:rPr>
        <w:t>risen </w:t>
      </w:r>
      <w:r>
        <w:rPr>
          <w:spacing w:val="-3"/>
          <w:sz w:val="24"/>
        </w:rPr>
        <w:t>sharply, </w:t>
      </w:r>
      <w:r>
        <w:rPr>
          <w:sz w:val="24"/>
        </w:rPr>
        <w:t>and prospects for emerging market economies </w:t>
      </w:r>
      <w:r>
        <w:rPr>
          <w:spacing w:val="-3"/>
          <w:sz w:val="24"/>
        </w:rPr>
        <w:t>have </w:t>
      </w:r>
      <w:r>
        <w:rPr>
          <w:sz w:val="24"/>
        </w:rPr>
        <w:t>generally improved. A number of commodity prices </w:t>
      </w:r>
      <w:r>
        <w:rPr>
          <w:spacing w:val="-3"/>
          <w:sz w:val="24"/>
        </w:rPr>
        <w:t>have </w:t>
      </w:r>
      <w:r>
        <w:rPr>
          <w:sz w:val="24"/>
        </w:rPr>
        <w:t>risen since the autumn, the oil price to its highest </w:t>
      </w:r>
      <w:r>
        <w:rPr>
          <w:spacing w:val="-3"/>
          <w:sz w:val="24"/>
        </w:rPr>
        <w:t>level </w:t>
      </w:r>
      <w:r>
        <w:rPr>
          <w:sz w:val="24"/>
        </w:rPr>
        <w:t>since 1991. In view of the stronger outlook for demand and potentially for inflation, a number of central banks, including the Federal Reserve and the European Central Bank, </w:t>
      </w:r>
      <w:r>
        <w:rPr>
          <w:spacing w:val="-3"/>
          <w:sz w:val="24"/>
        </w:rPr>
        <w:t>have </w:t>
      </w:r>
      <w:r>
        <w:rPr>
          <w:sz w:val="24"/>
        </w:rPr>
        <w:t>tightened monetary policy since the </w:t>
      </w:r>
      <w:r>
        <w:rPr>
          <w:spacing w:val="-3"/>
          <w:sz w:val="24"/>
        </w:rPr>
        <w:t>New</w:t>
      </w:r>
      <w:r>
        <w:rPr>
          <w:spacing w:val="-13"/>
          <w:sz w:val="24"/>
        </w:rPr>
        <w:t> </w:t>
      </w:r>
      <w:r>
        <w:rPr>
          <w:spacing w:val="-8"/>
          <w:sz w:val="24"/>
        </w:rPr>
        <w:t>Year.</w:t>
      </w:r>
    </w:p>
    <w:p>
      <w:pPr>
        <w:pStyle w:val="BodyText"/>
        <w:spacing w:before="4"/>
        <w:rPr>
          <w:sz w:val="26"/>
        </w:rPr>
      </w:pPr>
    </w:p>
    <w:p>
      <w:pPr>
        <w:spacing w:line="242" w:lineRule="auto" w:before="0"/>
        <w:ind w:left="5000" w:right="235" w:firstLine="0"/>
        <w:jc w:val="left"/>
        <w:rPr>
          <w:sz w:val="24"/>
        </w:rPr>
      </w:pPr>
      <w:r>
        <w:rPr>
          <w:sz w:val="24"/>
        </w:rPr>
        <w:t>Output in the UK economy is estimated to have grown by 0.8%—above trend—in both the third and fourth quarters of 1999. Growth over the year was more balanced sectorally than for some time, though service sector output, which was 2.9% higher in Q4 than a year earlier, continues to grow faster than manufacturing output, which rose by 1.9% over the same period.</w:t>
      </w:r>
    </w:p>
    <w:p>
      <w:pPr>
        <w:spacing w:line="242" w:lineRule="auto" w:before="9"/>
        <w:ind w:left="5000" w:right="235" w:firstLine="0"/>
        <w:jc w:val="left"/>
        <w:rPr>
          <w:sz w:val="24"/>
        </w:rPr>
      </w:pPr>
      <w:r>
        <w:rPr>
          <w:sz w:val="24"/>
        </w:rPr>
        <w:t>Recent survey indicators and reports from the Bank’s regional Agents point to continuing firm output growth in the near term.</w:t>
      </w:r>
    </w:p>
    <w:p>
      <w:pPr>
        <w:spacing w:after="0" w:line="242" w:lineRule="auto"/>
        <w:jc w:val="left"/>
        <w:rPr>
          <w:sz w:val="24"/>
        </w:rPr>
        <w:sectPr>
          <w:footerReference w:type="default" r:id="rId7"/>
          <w:footerReference w:type="even" r:id="rId8"/>
          <w:pgSz w:w="11900" w:h="16840"/>
          <w:pgMar w:footer="597" w:header="0" w:top="760" w:bottom="780" w:left="620" w:right="640"/>
          <w:pgNumType w:start="1"/>
        </w:sectPr>
      </w:pPr>
    </w:p>
    <w:p>
      <w:pPr>
        <w:pStyle w:val="BodyText"/>
        <w:rPr>
          <w:sz w:val="20"/>
        </w:rPr>
      </w:pPr>
    </w:p>
    <w:p>
      <w:pPr>
        <w:spacing w:line="242" w:lineRule="auto" w:before="227"/>
        <w:ind w:left="4980" w:right="0" w:firstLine="0"/>
        <w:jc w:val="left"/>
        <w:rPr>
          <w:sz w:val="24"/>
        </w:rPr>
      </w:pPr>
      <w:r>
        <w:rPr>
          <w:sz w:val="24"/>
        </w:rPr>
        <w:t>The annual growth rate of final domestic demand, which was around 4% in the first half of 1999, appears to have eased somewhat. Business investment slowed markedly, but this may partly reflect a ‘millennium pause’ in</w:t>
      </w:r>
    </w:p>
    <w:p>
      <w:pPr>
        <w:spacing w:line="242" w:lineRule="auto" w:before="5"/>
        <w:ind w:left="4980" w:right="195" w:firstLine="0"/>
        <w:jc w:val="left"/>
        <w:rPr>
          <w:sz w:val="24"/>
        </w:rPr>
      </w:pPr>
      <w:r>
        <w:rPr>
          <w:sz w:val="24"/>
        </w:rPr>
        <w:t>IT-related spending. And household expenditure on cars may have been depressed temporarily by expectations of price reductions. However, rises in incomes, borrowing and wealth are likely to support firm household consumption going forward. Inventory levels, which declined in the first half of 1999, subsequently picked up, perhaps in part for reasons relating to the turn of the millennium.</w:t>
      </w:r>
    </w:p>
    <w:p>
      <w:pPr>
        <w:pStyle w:val="BodyText"/>
        <w:spacing w:before="3"/>
        <w:rPr>
          <w:sz w:val="25"/>
        </w:rPr>
      </w:pPr>
    </w:p>
    <w:p>
      <w:pPr>
        <w:spacing w:line="242" w:lineRule="auto" w:before="0"/>
        <w:ind w:left="4980" w:right="235" w:firstLine="0"/>
        <w:jc w:val="left"/>
        <w:rPr>
          <w:sz w:val="24"/>
        </w:rPr>
      </w:pPr>
      <w:r>
        <w:rPr>
          <w:spacing w:val="-3"/>
          <w:sz w:val="24"/>
        </w:rPr>
        <w:t>With </w:t>
      </w:r>
      <w:r>
        <w:rPr>
          <w:sz w:val="24"/>
        </w:rPr>
        <w:t>the recovery in world trade, UK exports in the middle part of last year grew sharply—perhaps surprisingly so in view of the continued appreciation of sterling—and survey measures of export prospects </w:t>
      </w:r>
      <w:r>
        <w:rPr>
          <w:spacing w:val="-3"/>
          <w:sz w:val="24"/>
        </w:rPr>
        <w:t>have </w:t>
      </w:r>
      <w:r>
        <w:rPr>
          <w:sz w:val="24"/>
        </w:rPr>
        <w:t>held up.  But the trade figures in recent months present a weaker picture, and the high exchange rate—if maintained—is</w:t>
      </w:r>
      <w:r>
        <w:rPr>
          <w:spacing w:val="-8"/>
          <w:sz w:val="24"/>
        </w:rPr>
        <w:t> </w:t>
      </w:r>
      <w:r>
        <w:rPr>
          <w:sz w:val="24"/>
        </w:rPr>
        <w:t>likely</w:t>
      </w:r>
      <w:r>
        <w:rPr>
          <w:spacing w:val="-7"/>
          <w:sz w:val="24"/>
        </w:rPr>
        <w:t> </w:t>
      </w:r>
      <w:r>
        <w:rPr>
          <w:sz w:val="24"/>
        </w:rPr>
        <w:t>to</w:t>
      </w:r>
      <w:r>
        <w:rPr>
          <w:spacing w:val="-7"/>
          <w:sz w:val="24"/>
        </w:rPr>
        <w:t> </w:t>
      </w:r>
      <w:r>
        <w:rPr>
          <w:sz w:val="24"/>
        </w:rPr>
        <w:t>lead</w:t>
      </w:r>
      <w:r>
        <w:rPr>
          <w:spacing w:val="-8"/>
          <w:sz w:val="24"/>
        </w:rPr>
        <w:t> </w:t>
      </w:r>
      <w:r>
        <w:rPr>
          <w:sz w:val="24"/>
        </w:rPr>
        <w:t>to</w:t>
      </w:r>
      <w:r>
        <w:rPr>
          <w:spacing w:val="-7"/>
          <w:sz w:val="24"/>
        </w:rPr>
        <w:t> </w:t>
      </w:r>
      <w:r>
        <w:rPr>
          <w:sz w:val="24"/>
        </w:rPr>
        <w:t>renewed</w:t>
      </w:r>
      <w:r>
        <w:rPr>
          <w:spacing w:val="-7"/>
          <w:sz w:val="24"/>
        </w:rPr>
        <w:t> </w:t>
      </w:r>
      <w:r>
        <w:rPr>
          <w:sz w:val="24"/>
        </w:rPr>
        <w:t>deterioration</w:t>
      </w:r>
      <w:r>
        <w:rPr>
          <w:spacing w:val="-7"/>
          <w:sz w:val="24"/>
        </w:rPr>
        <w:t> </w:t>
      </w:r>
      <w:r>
        <w:rPr>
          <w:sz w:val="24"/>
        </w:rPr>
        <w:t>in UK net</w:t>
      </w:r>
      <w:r>
        <w:rPr>
          <w:spacing w:val="-3"/>
          <w:sz w:val="24"/>
        </w:rPr>
        <w:t> </w:t>
      </w:r>
      <w:r>
        <w:rPr>
          <w:sz w:val="24"/>
        </w:rPr>
        <w:t>trade.</w:t>
      </w:r>
    </w:p>
    <w:p>
      <w:pPr>
        <w:pStyle w:val="BodyText"/>
        <w:spacing w:before="2"/>
        <w:rPr>
          <w:sz w:val="25"/>
        </w:rPr>
      </w:pPr>
    </w:p>
    <w:p>
      <w:pPr>
        <w:spacing w:line="242" w:lineRule="auto" w:before="0"/>
        <w:ind w:left="4980" w:right="185" w:firstLine="0"/>
        <w:jc w:val="left"/>
        <w:rPr>
          <w:sz w:val="24"/>
        </w:rPr>
      </w:pPr>
      <w:r>
        <w:rPr>
          <w:sz w:val="24"/>
        </w:rPr>
        <w:t>Narrow</w:t>
      </w:r>
      <w:r>
        <w:rPr>
          <w:spacing w:val="-7"/>
          <w:sz w:val="24"/>
        </w:rPr>
        <w:t> </w:t>
      </w:r>
      <w:r>
        <w:rPr>
          <w:sz w:val="24"/>
        </w:rPr>
        <w:t>money</w:t>
      </w:r>
      <w:r>
        <w:rPr>
          <w:spacing w:val="-7"/>
          <w:sz w:val="24"/>
        </w:rPr>
        <w:t> </w:t>
      </w:r>
      <w:r>
        <w:rPr>
          <w:sz w:val="24"/>
        </w:rPr>
        <w:t>growth</w:t>
      </w:r>
      <w:r>
        <w:rPr>
          <w:spacing w:val="-7"/>
          <w:sz w:val="24"/>
        </w:rPr>
        <w:t> </w:t>
      </w:r>
      <w:r>
        <w:rPr>
          <w:sz w:val="24"/>
        </w:rPr>
        <w:t>has</w:t>
      </w:r>
      <w:r>
        <w:rPr>
          <w:spacing w:val="-7"/>
          <w:sz w:val="24"/>
        </w:rPr>
        <w:t> </w:t>
      </w:r>
      <w:r>
        <w:rPr>
          <w:sz w:val="24"/>
        </w:rPr>
        <w:t>fallen</w:t>
      </w:r>
      <w:r>
        <w:rPr>
          <w:spacing w:val="-7"/>
          <w:sz w:val="24"/>
        </w:rPr>
        <w:t> </w:t>
      </w:r>
      <w:r>
        <w:rPr>
          <w:sz w:val="24"/>
        </w:rPr>
        <w:t>back</w:t>
      </w:r>
      <w:r>
        <w:rPr>
          <w:spacing w:val="-7"/>
          <w:sz w:val="24"/>
        </w:rPr>
        <w:t> </w:t>
      </w:r>
      <w:r>
        <w:rPr>
          <w:sz w:val="24"/>
        </w:rPr>
        <w:t>from</w:t>
      </w:r>
      <w:r>
        <w:rPr>
          <w:spacing w:val="-7"/>
          <w:sz w:val="24"/>
        </w:rPr>
        <w:t> </w:t>
      </w:r>
      <w:r>
        <w:rPr>
          <w:sz w:val="24"/>
        </w:rPr>
        <w:t>an</w:t>
      </w:r>
      <w:r>
        <w:rPr>
          <w:spacing w:val="-7"/>
          <w:sz w:val="24"/>
        </w:rPr>
        <w:t> </w:t>
      </w:r>
      <w:r>
        <w:rPr>
          <w:sz w:val="24"/>
        </w:rPr>
        <w:t>unusually large year-end surge, but is probably still robust in an underlying sense. Household and non-financial corporate broad money deposits continue to grow </w:t>
      </w:r>
      <w:r>
        <w:rPr>
          <w:spacing w:val="-3"/>
          <w:sz w:val="24"/>
        </w:rPr>
        <w:t>steadily, </w:t>
      </w:r>
      <w:r>
        <w:rPr>
          <w:sz w:val="24"/>
        </w:rPr>
        <w:t>but overall M4 growth remains subdued on account of further reductions in the sterling deposits of non-bank financial corporations.  Credit growth is strong. Lending to households was 9.4% higher in Q4 than a year before. This growth in borrowing, which has been associated with buoyant housing market </w:t>
      </w:r>
      <w:r>
        <w:rPr>
          <w:spacing w:val="-4"/>
          <w:sz w:val="24"/>
        </w:rPr>
        <w:t>activity, </w:t>
      </w:r>
      <w:r>
        <w:rPr>
          <w:sz w:val="24"/>
        </w:rPr>
        <w:t>includes rising flows of mortgage equity</w:t>
      </w:r>
      <w:r>
        <w:rPr>
          <w:spacing w:val="-29"/>
          <w:sz w:val="24"/>
        </w:rPr>
        <w:t> </w:t>
      </w:r>
      <w:r>
        <w:rPr>
          <w:sz w:val="24"/>
        </w:rPr>
        <w:t>withdrawal.</w:t>
      </w:r>
    </w:p>
    <w:p>
      <w:pPr>
        <w:spacing w:line="242" w:lineRule="auto" w:before="14"/>
        <w:ind w:left="4980" w:right="195" w:firstLine="0"/>
        <w:jc w:val="left"/>
        <w:rPr>
          <w:sz w:val="24"/>
        </w:rPr>
      </w:pPr>
      <w:r>
        <w:rPr>
          <w:sz w:val="24"/>
        </w:rPr>
        <w:t>The Bank’s official interest rate was increased by 0.25% in January, and by a further 0.25% to 6% in February.</w:t>
      </w:r>
    </w:p>
    <w:p>
      <w:pPr>
        <w:spacing w:line="242" w:lineRule="auto" w:before="3"/>
        <w:ind w:left="4980" w:right="0" w:firstLine="0"/>
        <w:jc w:val="left"/>
        <w:rPr>
          <w:sz w:val="24"/>
        </w:rPr>
      </w:pPr>
      <w:r>
        <w:rPr>
          <w:sz w:val="24"/>
        </w:rPr>
        <w:t>Market interest rate expectations have risen in the United Kingdom and elsewhere since the autumn.</w:t>
      </w:r>
    </w:p>
    <w:p>
      <w:pPr>
        <w:pStyle w:val="BodyText"/>
        <w:spacing w:before="6"/>
        <w:rPr>
          <w:sz w:val="24"/>
        </w:rPr>
      </w:pPr>
    </w:p>
    <w:p>
      <w:pPr>
        <w:spacing w:line="242" w:lineRule="auto" w:before="1"/>
        <w:ind w:left="4980" w:right="167" w:firstLine="0"/>
        <w:jc w:val="left"/>
        <w:rPr>
          <w:sz w:val="24"/>
        </w:rPr>
      </w:pPr>
      <w:r>
        <w:rPr>
          <w:sz w:val="24"/>
        </w:rPr>
        <w:t>Labour market conditions may have tightened somewhat since the November </w:t>
      </w:r>
      <w:r>
        <w:rPr>
          <w:i/>
          <w:sz w:val="24"/>
        </w:rPr>
        <w:t>Report</w:t>
      </w:r>
      <w:r>
        <w:rPr>
          <w:sz w:val="24"/>
        </w:rPr>
        <w:t>. Employment has continued to grow, although at a slower rate. The rate of claimant count unemployment has fallen slightly to 4.0%, its lowest level for 20 years. On the broader Labour Force Survey measure, the unemployment rate has remained constant. Survey measures of employment intentions remain firm, and reports of skilled labour shortages have become more widespread.</w:t>
      </w:r>
    </w:p>
    <w:p>
      <w:pPr>
        <w:pStyle w:val="BodyText"/>
        <w:spacing w:before="3"/>
        <w:rPr>
          <w:sz w:val="25"/>
        </w:rPr>
      </w:pPr>
    </w:p>
    <w:p>
      <w:pPr>
        <w:spacing w:line="242" w:lineRule="auto" w:before="1"/>
        <w:ind w:left="4980" w:right="167" w:firstLine="0"/>
        <w:jc w:val="left"/>
        <w:rPr>
          <w:sz w:val="24"/>
        </w:rPr>
      </w:pPr>
      <w:r>
        <w:rPr>
          <w:sz w:val="24"/>
        </w:rPr>
        <w:t>Annual pay growth, as measured by the Average Earnings Index, was 4.9% in the three months to November—significantly more than expected at the time</w:t>
      </w:r>
    </w:p>
    <w:p>
      <w:pPr>
        <w:spacing w:after="0" w:line="242" w:lineRule="auto"/>
        <w:jc w:val="left"/>
        <w:rPr>
          <w:sz w:val="24"/>
        </w:rPr>
        <w:sectPr>
          <w:headerReference w:type="default" r:id="rId9"/>
          <w:pgSz w:w="11900" w:h="16840"/>
          <w:pgMar w:header="566" w:footer="597" w:top="760" w:bottom="780" w:left="620" w:right="640"/>
        </w:sectPr>
      </w:pPr>
    </w:p>
    <w:p>
      <w:pPr>
        <w:spacing w:before="82"/>
        <w:ind w:left="0" w:right="158" w:firstLine="0"/>
        <w:jc w:val="right"/>
        <w:rPr>
          <w:i/>
          <w:sz w:val="16"/>
        </w:rPr>
      </w:pPr>
      <w:bookmarkStart w:name="_bookmark1" w:id="4"/>
      <w:bookmarkEnd w:id="4"/>
      <w:r>
        <w:rPr/>
      </w:r>
      <w:r>
        <w:rPr>
          <w:i/>
          <w:sz w:val="16"/>
        </w:rPr>
        <w:t>Overview</w:t>
      </w:r>
    </w:p>
    <w:p>
      <w:pPr>
        <w:pStyle w:val="BodyText"/>
        <w:spacing w:line="20" w:lineRule="exact"/>
        <w:ind w:left="15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i/>
          <w:sz w:val="20"/>
        </w:rPr>
      </w:pPr>
    </w:p>
    <w:p>
      <w:pPr>
        <w:spacing w:after="0"/>
        <w:rPr>
          <w:sz w:val="20"/>
        </w:rPr>
        <w:sectPr>
          <w:headerReference w:type="even" r:id="rId10"/>
          <w:pgSz w:w="11900" w:h="16840"/>
          <w:pgMar w:header="0" w:footer="597" w:top="500" w:bottom="780" w:left="620" w:right="640"/>
        </w:sectPr>
      </w:pPr>
    </w:p>
    <w:p>
      <w:pPr>
        <w:pStyle w:val="BodyText"/>
        <w:rPr>
          <w:i/>
        </w:rPr>
      </w:pPr>
    </w:p>
    <w:p>
      <w:pPr>
        <w:pStyle w:val="Heading9"/>
        <w:spacing w:before="0"/>
      </w:pPr>
      <w:r>
        <w:rPr>
          <w:color w:val="0092C7"/>
        </w:rPr>
        <w:t>Chart 1</w:t>
      </w:r>
    </w:p>
    <w:p>
      <w:pPr>
        <w:spacing w:line="249" w:lineRule="auto" w:before="10"/>
        <w:ind w:left="190" w:right="96" w:firstLine="0"/>
        <w:jc w:val="left"/>
        <w:rPr>
          <w:b/>
          <w:sz w:val="20"/>
        </w:rPr>
      </w:pPr>
      <w:r>
        <w:rPr>
          <w:b/>
          <w:color w:val="0092C7"/>
          <w:sz w:val="20"/>
        </w:rPr>
        <w:t>Current GDP projection based on constant nominal interest rates at 6%</w:t>
      </w:r>
    </w:p>
    <w:p>
      <w:pPr>
        <w:spacing w:before="190"/>
        <w:ind w:left="1184" w:right="0" w:firstLine="0"/>
        <w:jc w:val="left"/>
        <w:rPr>
          <w:sz w:val="12"/>
        </w:rPr>
      </w:pPr>
      <w:r>
        <w:rPr/>
        <w:pict>
          <v:line style="position:absolute;mso-position-horizontal-relative:page;mso-position-vertical-relative:paragraph;z-index:-22403584" from="201.062pt,17.101757pt" to="197.362pt,17.101757pt" stroked="true" strokeweight=".5pt" strokecolor="#000000">
            <v:stroke dashstyle="solid"/>
            <w10:wrap type="none"/>
          </v:line>
        </w:pict>
      </w:r>
      <w:r>
        <w:rPr/>
        <w:pict>
          <v:line style="position:absolute;mso-position-horizontal-relative:page;mso-position-vertical-relative:paragraph;z-index:15741952" from="48.225002pt,16.819757pt" to="44.525002pt,16.819757pt" stroked="true" strokeweight=".5pt" strokecolor="#000000">
            <v:stroke dashstyle="solid"/>
            <w10:wrap type="none"/>
          </v:line>
        </w:pict>
      </w:r>
      <w:r>
        <w:rPr>
          <w:sz w:val="12"/>
        </w:rPr>
        <w:t>Percentage increase in output on a year earlier</w:t>
      </w:r>
      <w:r>
        <w:rPr>
          <w:spacing w:val="17"/>
          <w:sz w:val="12"/>
        </w:rPr>
        <w:t> </w:t>
      </w:r>
      <w:r>
        <w:rPr>
          <w:position w:val="-6"/>
          <w:sz w:val="12"/>
        </w:rPr>
        <w:t>6</w:t>
      </w:r>
    </w:p>
    <w:p>
      <w:pPr>
        <w:pStyle w:val="BodyText"/>
        <w:spacing w:before="11"/>
        <w:rPr>
          <w:sz w:val="24"/>
        </w:rPr>
      </w:pPr>
    </w:p>
    <w:p>
      <w:pPr>
        <w:spacing w:before="0"/>
        <w:ind w:left="3447" w:right="0" w:firstLine="0"/>
        <w:jc w:val="left"/>
        <w:rPr>
          <w:sz w:val="12"/>
        </w:rPr>
      </w:pPr>
      <w:r>
        <w:rPr/>
        <w:pict>
          <v:line style="position:absolute;mso-position-horizontal-relative:page;mso-position-vertical-relative:paragraph;z-index:15740416" from="48.221pt,4.000532pt" to="44.521pt,4.000532pt" stroked="true" strokeweight=".5pt" strokecolor="#000000">
            <v:stroke dashstyle="solid"/>
            <w10:wrap type="none"/>
          </v:line>
        </w:pict>
      </w:r>
      <w:r>
        <w:rPr/>
        <w:pict>
          <v:line style="position:absolute;mso-position-horizontal-relative:page;mso-position-vertical-relative:paragraph;z-index:15740928" from="201.229007pt,4.000532pt" to="197.529007pt,4.000532pt" stroked="true" strokeweight=".5pt" strokecolor="#000000">
            <v:stroke dashstyle="solid"/>
            <w10:wrap type="none"/>
          </v:line>
        </w:pict>
      </w:r>
      <w:r>
        <w:rPr>
          <w:sz w:val="12"/>
        </w:rPr>
        <w:t>5</w:t>
      </w:r>
    </w:p>
    <w:p>
      <w:pPr>
        <w:pStyle w:val="BodyText"/>
        <w:rPr>
          <w:sz w:val="12"/>
        </w:rPr>
      </w:pPr>
    </w:p>
    <w:p>
      <w:pPr>
        <w:pStyle w:val="BodyText"/>
        <w:spacing w:before="9"/>
        <w:rPr>
          <w:sz w:val="12"/>
        </w:rPr>
      </w:pPr>
    </w:p>
    <w:p>
      <w:pPr>
        <w:spacing w:before="0"/>
        <w:ind w:left="3447" w:right="0" w:firstLine="0"/>
        <w:jc w:val="left"/>
        <w:rPr>
          <w:sz w:val="12"/>
        </w:rPr>
      </w:pPr>
      <w:r>
        <w:rPr/>
        <w:pict>
          <v:group style="position:absolute;margin-left:44.521pt;margin-top:3.04294pt;width:160.35pt;height:78.45pt;mso-position-horizontal-relative:page;mso-position-vertical-relative:paragraph;z-index:15738368" coordorigin="890,61" coordsize="3207,1569">
            <v:shape style="position:absolute;left:2971;top:71;width:919;height:1458" coordorigin="2972,71" coordsize="919,1458" path="m3686,71l3584,74,3482,100,3380,148,3278,158,3176,202,3074,323,2972,633,3074,722,3176,1002,3278,1223,3380,1414,3482,1432,3584,1443,3686,1489,3788,1529,3891,1529,3891,75,3788,75,3686,71xe" filled="true" fillcolor="#eaf0ec" stroked="false">
              <v:path arrowok="t"/>
              <v:fill type="solid"/>
            </v:shape>
            <v:shape style="position:absolute;left:2971;top:225;width:919;height:1140" coordorigin="2972,226" coordsize="919,1140" path="m3686,226l3584,230,3482,258,3380,298,3278,284,3176,297,3074,371,2972,634,3074,683,3176,921,3278,1116,3380,1286,3482,1298,3584,1300,3686,1334,3788,1365,3891,1365,3891,228,3788,228,3686,226xe" filled="true" fillcolor="#d4e3dc" stroked="false">
              <v:path arrowok="t"/>
              <v:fill type="solid"/>
            </v:shape>
            <v:shape style="position:absolute;left:2971;top:328;width:919;height:919" coordorigin="2972,329" coordsize="919,919" path="m3686,329l3584,335,3482,363,3380,399,3278,369,3176,361,3074,402,2972,634,3074,655,3176,866,3278,1042,3380,1198,3482,1205,3584,1199,3686,1224,3788,1247,3891,1247,3891,330,3788,330,3686,329xe" filled="true" fillcolor="#bed7ca" stroked="false">
              <v:path arrowok="t"/>
              <v:fill type="solid"/>
            </v:shape>
            <v:shape style="position:absolute;left:2971;top:412;width:919;height:747" coordorigin="2972,412" coordsize="919,747" path="m3176,412l3074,428,2972,635,3074,632,3176,821,3278,981,3380,1126,3482,1129,3584,1120,3686,1139,3788,1159,3891,1159,3887,414,3785,414,3683,415,3581,422,3479,452,3378,481,3278,437,3176,412xe" filled="true" fillcolor="#a7c9b8" stroked="false">
              <v:path arrowok="t"/>
              <v:fill type="solid"/>
            </v:shape>
            <v:shape style="position:absolute;left:2971;top:447;width:919;height:629" coordorigin="2972,447" coordsize="919,629" path="m3074,447l2972,632,3074,611,3176,780,3278,928,3380,1063,3482,1063,3584,1049,3686,1061,3788,1076,3891,1076,3891,476,3788,476,3686,477,3584,487,3482,518,3380,545,3278,492,3176,453,3074,447xe" filled="true" fillcolor="#8ebdaa" stroked="false">
              <v:path arrowok="t"/>
              <v:fill type="solid"/>
            </v:shape>
            <v:shape style="position:absolute;left:2971;top:467;width:919;height:545" coordorigin="2972,467" coordsize="919,545" path="m3074,467l2972,633,3074,596,3176,748,3278,885,3380,1012,3482,1010,3584,990,3686,996,3788,1005,3891,1005,3891,540,3788,540,3686,542,3584,551,3482,582,3380,607,3278,544,3176,492,3074,467xe" filled="true" fillcolor="#76b19a" stroked="false">
              <v:path arrowok="t"/>
              <v:fill type="solid"/>
            </v:shape>
            <v:shape style="position:absolute;left:2971;top:487;width:919;height:478" coordorigin="2972,487" coordsize="919,478" path="m3074,487l2972,634,3074,581,3176,719,3278,845,3380,965,3482,960,3584,936,3686,937,3788,943,3891,943,3891,600,3788,600,3686,603,3584,614,3482,647,3380,668,3278,595,3176,531,3074,487xe" filled="true" fillcolor="#57a68a" stroked="false">
              <v:path arrowok="t"/>
              <v:fill type="solid"/>
            </v:shape>
            <v:shape style="position:absolute;left:2971;top:503;width:919;height:413" coordorigin="2972,503" coordsize="919,413" path="m3074,503l2972,634,3074,566,3176,688,3278,805,3380,916,3482,909,3584,881,3686,877,3788,879,3891,879,3891,655,3788,655,3686,658,3584,669,3482,701,3380,720,3278,639,3176,563,3074,503xe" filled="true" fillcolor="#309a7b" stroked="false">
              <v:path arrowok="t"/>
              <v:fill type="solid"/>
            </v:shape>
            <v:shape style="position:absolute;left:2971;top:520;width:919;height:353" coordorigin="2972,520" coordsize="919,353" path="m3074,520l2972,634,3074,552,3176,660,3278,767,3380,872,3482,862,3584,831,3686,822,3788,820,3891,820,3891,706,3788,706,3686,710,3584,723,3482,756,3380,772,3278,683,3176,597,3074,520xe" filled="true" fillcolor="#008360" stroked="false">
              <v:path arrowok="t"/>
              <v:fill type="solid"/>
            </v:shape>
            <v:shape style="position:absolute;left:890;top:80;width:3135;height:1269" coordorigin="890,80" coordsize="3135,1269" path="m3951,1349l4025,1349m3951,926l4025,926m3951,503l4025,503m4025,80l3951,80m890,503l964,503m890,80l964,80e" filled="false" stroked="true" strokeweight=".5pt" strokecolor="#000000">
              <v:path arrowok="t"/>
              <v:stroke dashstyle="solid"/>
            </v:shape>
            <v:shape style="position:absolute;left:1032;top:70;width:1940;height:1098" coordorigin="1032,71" coordsize="1940,1098" path="m1134,450l1032,71m1134,450l1236,864m1338,955l1236,864m1338,955l1441,803m1543,740l1441,803m1645,669l1543,740m1645,669l1747,551m1849,427l1747,551m1849,427l1951,281m2053,124l1951,281m2155,315l2053,124m2257,604l2155,315m2257,604l2359,728m2461,952l2359,728m2461,952l2563,1139m2563,1139l2665,1168m2665,1168l2767,1096m2767,1096l2870,967m2972,634l2870,967e" filled="false" stroked="true" strokeweight="1pt" strokecolor="#008360">
              <v:path arrowok="t"/>
              <v:stroke dashstyle="solid"/>
            </v:shape>
            <v:shape style="position:absolute;left:3986;top:1451;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w10:wrap type="none"/>
          </v:group>
        </w:pict>
      </w:r>
      <w:r>
        <w:rPr>
          <w:sz w:val="12"/>
        </w:rPr>
        <w:t>4</w:t>
      </w:r>
    </w:p>
    <w:p>
      <w:pPr>
        <w:pStyle w:val="BodyText"/>
        <w:rPr>
          <w:sz w:val="12"/>
        </w:rPr>
      </w:pPr>
    </w:p>
    <w:p>
      <w:pPr>
        <w:pStyle w:val="BodyText"/>
        <w:spacing w:before="9"/>
        <w:rPr>
          <w:sz w:val="12"/>
        </w:rPr>
      </w:pPr>
    </w:p>
    <w:p>
      <w:pPr>
        <w:spacing w:before="0"/>
        <w:ind w:left="3447" w:right="0" w:firstLine="0"/>
        <w:jc w:val="left"/>
        <w:rPr>
          <w:sz w:val="12"/>
        </w:rPr>
      </w:pPr>
      <w:r>
        <w:rPr>
          <w:sz w:val="12"/>
        </w:rPr>
        <w:t>3</w:t>
      </w:r>
    </w:p>
    <w:p>
      <w:pPr>
        <w:pStyle w:val="BodyText"/>
        <w:rPr>
          <w:sz w:val="12"/>
        </w:rPr>
      </w:pPr>
    </w:p>
    <w:p>
      <w:pPr>
        <w:pStyle w:val="BodyText"/>
        <w:spacing w:before="9"/>
        <w:rPr>
          <w:sz w:val="12"/>
        </w:rPr>
      </w:pPr>
    </w:p>
    <w:p>
      <w:pPr>
        <w:spacing w:before="0"/>
        <w:ind w:left="3447" w:right="0" w:firstLine="0"/>
        <w:jc w:val="left"/>
        <w:rPr>
          <w:sz w:val="12"/>
        </w:rPr>
      </w:pPr>
      <w:r>
        <w:rPr/>
        <w:pict>
          <v:line style="position:absolute;mso-position-horizontal-relative:page;mso-position-vertical-relative:paragraph;z-index:15739904" from="48.221pt,4.000577pt" to="44.521pt,4.000577pt" stroked="true" strokeweight=".5pt" strokecolor="#000000">
            <v:stroke dashstyle="solid"/>
            <w10:wrap type="none"/>
          </v:line>
        </w:pict>
      </w:r>
      <w:r>
        <w:rPr>
          <w:sz w:val="12"/>
        </w:rPr>
        <w:t>2</w:t>
      </w:r>
    </w:p>
    <w:p>
      <w:pPr>
        <w:pStyle w:val="BodyText"/>
        <w:rPr>
          <w:sz w:val="12"/>
        </w:rPr>
      </w:pPr>
    </w:p>
    <w:p>
      <w:pPr>
        <w:pStyle w:val="BodyText"/>
        <w:spacing w:before="8"/>
        <w:rPr>
          <w:sz w:val="12"/>
        </w:rPr>
      </w:pPr>
    </w:p>
    <w:p>
      <w:pPr>
        <w:spacing w:before="1"/>
        <w:ind w:left="3447" w:right="0" w:firstLine="0"/>
        <w:jc w:val="left"/>
        <w:rPr>
          <w:sz w:val="12"/>
        </w:rPr>
      </w:pPr>
      <w:r>
        <w:rPr/>
        <w:pict>
          <v:line style="position:absolute;mso-position-horizontal-relative:page;mso-position-vertical-relative:paragraph;z-index:15739392" from="48.221pt,4.050365pt" to="44.521pt,4.050365pt" stroked="true" strokeweight=".5pt" strokecolor="#000000">
            <v:stroke dashstyle="solid"/>
            <w10:wrap type="none"/>
          </v:line>
        </w:pict>
      </w:r>
      <w:r>
        <w:rPr>
          <w:sz w:val="12"/>
        </w:rPr>
        <w:t>1</w:t>
      </w:r>
    </w:p>
    <w:p>
      <w:pPr>
        <w:pStyle w:val="BodyText"/>
        <w:rPr>
          <w:sz w:val="12"/>
        </w:rPr>
      </w:pPr>
    </w:p>
    <w:p>
      <w:pPr>
        <w:pStyle w:val="BodyText"/>
        <w:spacing w:before="8"/>
        <w:rPr>
          <w:sz w:val="12"/>
        </w:rPr>
      </w:pPr>
    </w:p>
    <w:p>
      <w:pPr>
        <w:tabs>
          <w:tab w:pos="3134" w:val="left" w:leader="none"/>
        </w:tabs>
        <w:spacing w:line="126" w:lineRule="exact" w:before="1"/>
        <w:ind w:left="0" w:right="198" w:firstLine="0"/>
        <w:jc w:val="center"/>
        <w:rPr>
          <w:sz w:val="12"/>
        </w:rPr>
      </w:pPr>
      <w:r>
        <w:rPr>
          <w:sz w:val="12"/>
          <w:u w:val="single"/>
        </w:rPr>
        <w:t> </w:t>
        <w:tab/>
      </w:r>
      <w:r>
        <w:rPr>
          <w:spacing w:val="12"/>
          <w:sz w:val="12"/>
        </w:rPr>
        <w:t> </w:t>
      </w:r>
      <w:r>
        <w:rPr>
          <w:sz w:val="12"/>
        </w:rPr>
        <w:t>0</w:t>
      </w:r>
    </w:p>
    <w:p>
      <w:pPr>
        <w:spacing w:line="172" w:lineRule="exact" w:before="0"/>
        <w:ind w:left="3371" w:right="0" w:firstLine="0"/>
        <w:jc w:val="left"/>
        <w:rPr>
          <w:sz w:val="16"/>
        </w:rPr>
      </w:pPr>
      <w:r>
        <w:rPr>
          <w:sz w:val="16"/>
        </w:rPr>
        <w:t>_</w:t>
      </w:r>
    </w:p>
    <w:p>
      <w:pPr>
        <w:spacing w:line="126" w:lineRule="exact" w:before="125"/>
        <w:ind w:left="3447" w:right="0" w:firstLine="0"/>
        <w:jc w:val="left"/>
        <w:rPr>
          <w:sz w:val="12"/>
        </w:rPr>
      </w:pPr>
      <w:r>
        <w:rPr/>
        <w:pict>
          <v:shape style="position:absolute;margin-left:44.312pt;margin-top:4.437561pt;width:157pt;height:6pt;mso-position-horizontal-relative:page;mso-position-vertical-relative:paragraph;z-index:15738880" coordorigin="886,89" coordsize="3140,120" path="m3899,206l1032,206m1032,94l1032,209m1134,132l1134,206m1236,132l1236,206m1338,132l1338,206m1441,91l1441,209m1543,206l1543,132m1645,132l1645,206m1747,206l1747,132m1849,209l1849,91m1951,206l1951,132m2053,132l2053,206m2155,206l2155,132m2257,91l2257,209m2359,206l2359,132m2461,206l2461,132m2563,206l2563,132m2665,90l2665,209m2767,132l2767,206m2870,132l2870,206m2972,132l2972,206m3074,90l3074,209m3176,132l3176,206m3278,206l3278,132m3380,206l3380,132m3482,209l3482,91m3584,132l3584,206m3686,206l3686,132m3788,206l3788,132m3890,89l3890,206m961,205l886,205m3945,205l4026,205e" filled="false" stroked="true" strokeweight=".5pt" strokecolor="#000000">
            <v:path arrowok="t"/>
            <v:stroke dashstyle="solid"/>
            <w10:wrap type="none"/>
          </v:shape>
        </w:pict>
      </w:r>
      <w:r>
        <w:rPr>
          <w:sz w:val="12"/>
        </w:rPr>
        <w:t>1</w:t>
      </w:r>
    </w:p>
    <w:p>
      <w:pPr>
        <w:tabs>
          <w:tab w:pos="479" w:val="left" w:leader="none"/>
          <w:tab w:pos="879" w:val="left" w:leader="none"/>
          <w:tab w:pos="1286" w:val="left" w:leader="none"/>
          <w:tab w:pos="1706" w:val="left" w:leader="none"/>
          <w:tab w:pos="2039" w:val="left" w:leader="none"/>
          <w:tab w:pos="2526" w:val="left" w:leader="none"/>
        </w:tabs>
        <w:spacing w:line="126" w:lineRule="exact" w:before="0"/>
        <w:ind w:left="0" w:right="149" w:firstLine="0"/>
        <w:jc w:val="center"/>
        <w:rPr>
          <w:sz w:val="12"/>
        </w:rPr>
      </w:pPr>
      <w:r>
        <w:rPr>
          <w:sz w:val="12"/>
        </w:rPr>
        <w:t>1995</w:t>
        <w:tab/>
        <w:t>96</w:t>
        <w:tab/>
        <w:t>97</w:t>
        <w:tab/>
        <w:t>98</w:t>
        <w:tab/>
        <w:t>99</w:t>
        <w:tab/>
        <w:t>2000</w:t>
        <w:tab/>
        <w:t>01 </w:t>
      </w:r>
      <w:r>
        <w:rPr>
          <w:spacing w:val="17"/>
          <w:sz w:val="12"/>
        </w:rPr>
        <w:t> </w:t>
      </w:r>
      <w:r>
        <w:rPr>
          <w:sz w:val="12"/>
        </w:rPr>
        <w:t>02</w:t>
      </w:r>
    </w:p>
    <w:p>
      <w:pPr>
        <w:pStyle w:val="BodyText"/>
        <w:spacing w:before="3"/>
        <w:rPr>
          <w:sz w:val="11"/>
        </w:rPr>
      </w:pPr>
    </w:p>
    <w:p>
      <w:pPr>
        <w:spacing w:line="208" w:lineRule="auto" w:before="0"/>
        <w:ind w:left="180" w:right="469" w:firstLine="0"/>
        <w:jc w:val="left"/>
        <w:rPr>
          <w:sz w:val="12"/>
        </w:rPr>
      </w:pPr>
      <w:r>
        <w:rPr>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pStyle w:val="BodyText"/>
        <w:rPr>
          <w:sz w:val="12"/>
        </w:rPr>
      </w:pPr>
    </w:p>
    <w:p>
      <w:pPr>
        <w:pStyle w:val="BodyText"/>
        <w:rPr>
          <w:sz w:val="12"/>
        </w:rPr>
      </w:pPr>
    </w:p>
    <w:p>
      <w:pPr>
        <w:pStyle w:val="BodyText"/>
        <w:rPr>
          <w:sz w:val="12"/>
        </w:rPr>
      </w:pPr>
    </w:p>
    <w:p>
      <w:pPr>
        <w:pStyle w:val="BodyText"/>
        <w:rPr>
          <w:sz w:val="12"/>
        </w:rPr>
      </w:pPr>
    </w:p>
    <w:p>
      <w:pPr>
        <w:pStyle w:val="Heading9"/>
        <w:spacing w:before="95"/>
        <w:ind w:left="200"/>
      </w:pPr>
      <w:r>
        <w:rPr>
          <w:color w:val="0092C7"/>
        </w:rPr>
        <w:t>Chart 2</w:t>
      </w:r>
    </w:p>
    <w:p>
      <w:pPr>
        <w:spacing w:line="249" w:lineRule="auto" w:before="10"/>
        <w:ind w:left="200" w:right="20" w:firstLine="0"/>
        <w:jc w:val="left"/>
        <w:rPr>
          <w:b/>
          <w:sz w:val="20"/>
        </w:rPr>
      </w:pPr>
      <w:r>
        <w:rPr>
          <w:b/>
          <w:color w:val="0092C7"/>
          <w:sz w:val="20"/>
        </w:rPr>
        <w:t>Current RPIX inflation projection based on constant nominal interest rates at</w:t>
      </w:r>
      <w:r>
        <w:rPr>
          <w:b/>
          <w:color w:val="0092C7"/>
          <w:spacing w:val="-14"/>
          <w:sz w:val="20"/>
        </w:rPr>
        <w:t> </w:t>
      </w:r>
      <w:r>
        <w:rPr>
          <w:b/>
          <w:color w:val="0092C7"/>
          <w:sz w:val="20"/>
        </w:rPr>
        <w:t>6%</w:t>
      </w:r>
    </w:p>
    <w:p>
      <w:pPr>
        <w:pStyle w:val="BodyText"/>
        <w:spacing w:before="6"/>
        <w:rPr>
          <w:b/>
          <w:sz w:val="20"/>
        </w:rPr>
      </w:pPr>
    </w:p>
    <w:p>
      <w:pPr>
        <w:spacing w:line="118" w:lineRule="exact" w:before="0"/>
        <w:ind w:left="1209" w:right="0" w:firstLine="0"/>
        <w:jc w:val="left"/>
        <w:rPr>
          <w:sz w:val="12"/>
        </w:rPr>
      </w:pPr>
      <w:r>
        <w:rPr>
          <w:sz w:val="12"/>
        </w:rPr>
        <w:t>Percentage increase in prices on a year earlier</w:t>
      </w:r>
    </w:p>
    <w:p>
      <w:pPr>
        <w:pStyle w:val="BodyText"/>
        <w:spacing w:before="6"/>
        <w:rPr>
          <w:sz w:val="2"/>
        </w:rPr>
      </w:pPr>
    </w:p>
    <w:p>
      <w:pPr>
        <w:tabs>
          <w:tab w:pos="3335" w:val="left" w:leader="none"/>
        </w:tabs>
        <w:spacing w:line="20" w:lineRule="exact"/>
        <w:ind w:left="280" w:right="0" w:firstLine="0"/>
        <w:rPr>
          <w:sz w:val="2"/>
        </w:rPr>
      </w:pPr>
      <w:r>
        <w:rPr>
          <w:sz w:val="2"/>
        </w:rPr>
        <w:pict>
          <v:group style="width:3.65pt;height:.5pt;mso-position-horizontal-relative:char;mso-position-vertical-relative:line" coordorigin="0,0" coordsize="73,10">
            <v:line style="position:absolute" from="0,5" to="73,5" stroked="true" strokeweight=".5pt" strokecolor="#000000">
              <v:stroke dashstyle="solid"/>
            </v:line>
          </v:group>
        </w:pict>
      </w:r>
      <w:r>
        <w:rPr>
          <w:sz w:val="2"/>
        </w:rPr>
      </w:r>
      <w:r>
        <w:rPr>
          <w:sz w:val="2"/>
        </w:rPr>
        <w:tab/>
      </w:r>
      <w:r>
        <w:rPr>
          <w:sz w:val="2"/>
        </w:rPr>
        <w:pict>
          <v:group style="width:3.65pt;height:.5pt;mso-position-horizontal-relative:char;mso-position-vertical-relative:line" coordorigin="0,0" coordsize="73,10">
            <v:line style="position:absolute" from="0,5" to="73,5" stroked="true" strokeweight=".5pt" strokecolor="#000000">
              <v:stroke dashstyle="solid"/>
            </v:line>
          </v:group>
        </w:pict>
      </w:r>
      <w:r>
        <w:rPr>
          <w:sz w:val="2"/>
        </w:rPr>
      </w:r>
    </w:p>
    <w:p>
      <w:pPr>
        <w:spacing w:line="69" w:lineRule="exact" w:before="0"/>
        <w:ind w:left="3454" w:right="0" w:firstLine="0"/>
        <w:jc w:val="left"/>
        <w:rPr>
          <w:sz w:val="12"/>
        </w:rPr>
      </w:pPr>
      <w:r>
        <w:rPr>
          <w:sz w:val="12"/>
        </w:rPr>
        <w:t>5</w:t>
      </w:r>
    </w:p>
    <w:p>
      <w:pPr>
        <w:pStyle w:val="BodyText"/>
        <w:rPr>
          <w:sz w:val="12"/>
        </w:rPr>
      </w:pPr>
    </w:p>
    <w:p>
      <w:pPr>
        <w:pStyle w:val="BodyText"/>
        <w:rPr>
          <w:sz w:val="12"/>
        </w:rPr>
      </w:pPr>
    </w:p>
    <w:p>
      <w:pPr>
        <w:pStyle w:val="BodyText"/>
        <w:spacing w:before="9"/>
        <w:rPr>
          <w:sz w:val="11"/>
        </w:rPr>
      </w:pPr>
    </w:p>
    <w:p>
      <w:pPr>
        <w:spacing w:before="0"/>
        <w:ind w:left="3454" w:right="0" w:firstLine="0"/>
        <w:jc w:val="left"/>
        <w:rPr>
          <w:sz w:val="12"/>
        </w:rPr>
      </w:pPr>
      <w:r>
        <w:rPr/>
        <w:pict>
          <v:group style="position:absolute;margin-left:52.258999pt;margin-top:3.918369pt;width:141.25pt;height:79.6pt;mso-position-horizontal-relative:page;mso-position-vertical-relative:paragraph;z-index:15730688" coordorigin="1045,78" coordsize="2825,1592">
            <v:shape style="position:absolute;left:2966;top:78;width:904;height:1592" coordorigin="2966,78" coordsize="904,1592" path="m3870,78l3770,138,3669,221,3569,320,3468,464,3368,682,3267,864,3167,967,3067,1118,2966,1163,3067,1447,3167,1516,3267,1632,3368,1670,3468,1562,3569,1497,3669,1517,3770,1554,3870,1573,3870,78xe" filled="true" fillcolor="#fdeee8" stroked="false">
              <v:path arrowok="t"/>
              <v:fill type="solid"/>
            </v:shape>
            <v:shape style="position:absolute;left:2966;top:263;width:904;height:1305" coordorigin="2966,263" coordsize="904,1305" path="m3870,263l3770,311,3669,377,3569,458,3468,590,3368,795,3267,952,3167,1030,3067,1155,2966,1162,3067,1412,3167,1459,3267,1553,3368,1568,3468,1449,3569,1379,3669,1390,3770,1417,3870,1431,3870,263xe" filled="true" fillcolor="#fcdfd1" stroked="false">
              <v:path arrowok="t"/>
              <v:fill type="solid"/>
            </v:shape>
            <v:shape style="position:absolute;left:2966;top:392;width:904;height:1119" coordorigin="2966,392" coordsize="904,1119" path="m3870,392l3770,434,3669,491,3569,564,3468,690,3368,886,3267,1023,3167,1082,3067,1189,2966,1168,3067,1397,3167,1430,3267,1510,3368,1511,3468,1385,3569,1309,3669,1311,3770,1330,3870,1338,3870,392xe" filled="true" fillcolor="#facfb9" stroked="false">
              <v:path arrowok="t"/>
              <v:fill type="solid"/>
            </v:shape>
            <v:shape style="position:absolute;left:2966;top:495;width:904;height:972" coordorigin="2966,496" coordsize="904,972" path="m3870,496l3770,531,3669,577,3569,639,3468,758,3368,947,3267,1071,3167,1116,3067,1208,2966,1166,3067,1378,3167,1399,3267,1467,3368,1457,3468,1325,3569,1246,3669,1243,3770,1256,3870,1261,3870,496xe" filled="true" fillcolor="#f8bda3" stroked="false">
              <v:path arrowok="t"/>
              <v:fill type="solid"/>
            </v:shape>
            <v:shape style="position:absolute;left:2966;top:574;width:904;height:854" coordorigin="2966,575" coordsize="904,854" path="m3870,575l3770,606,3669,647,3569,705,3468,820,3368,1002,3267,1113,3167,1146,3067,1225,2966,1164,3067,1360,3167,1370,3267,1428,3368,1407,3468,1270,3569,1187,3669,1179,3770,1187,3870,1188,3870,575xe" filled="true" fillcolor="#f6ab8e" stroked="false">
              <v:path arrowok="t"/>
              <v:fill type="solid"/>
            </v:shape>
            <v:shape style="position:absolute;left:2966;top:652;width:904;height:749" coordorigin="2966,653" coordsize="904,749" path="m3870,653l3770,681,3669,717,3569,769,3468,881,3368,1057,3267,1156,3167,1177,3067,1244,2966,1166,3067,1350,3167,1352,3267,1402,3368,1372,3468,1231,3569,1145,3669,1131,3770,1134,3870,1132,3870,653xe" filled="true" fillcolor="#f19779" stroked="false">
              <v:path arrowok="t"/>
              <v:fill type="solid"/>
            </v:shape>
            <v:shape style="position:absolute;left:2966;top:722;width:904;height:650" coordorigin="2966,723" coordsize="904,650" path="m3870,723l3770,747,3669,778,3569,824,3468,933,3368,1104,3267,1193,3167,1203,3067,1260,2966,1165,3067,1337,3167,1331,3267,1373,3368,1335,3468,1190,3569,1100,3669,1081,3770,1079,3870,1073,3870,723xe" filled="true" fillcolor="#ed8267" stroked="false">
              <v:path arrowok="t"/>
              <v:fill type="solid"/>
            </v:shape>
            <v:shape style="position:absolute;left:2966;top:790;width:904;height:552" coordorigin="2966,790" coordsize="904,552" path="m3870,790l3770,810,3669,834,3569,873,3468,977,3368,1144,3267,1223,3167,1224,3067,1272,2966,1163,3067,1322,3167,1308,3267,1342,3368,1296,3468,1147,3569,1055,3669,1035,3770,1031,3870,1024,3870,790xe" filled="true" fillcolor="#ea6b54" stroked="false">
              <v:path arrowok="t"/>
              <v:fill type="solid"/>
            </v:shape>
            <v:shape style="position:absolute;left:2966;top:854;width:904;height:463" coordorigin="2966,855" coordsize="904,463" path="m3870,855l3770,871,3669,889,3569,924,3468,1024,3368,1186,3267,1256,3167,1247,3067,1286,2966,1163,3067,1312,3167,1291,3267,1317,3368,1265,3468,1112,3569,1017,3669,991,3770,982,3870,971,3870,855xe" filled="true" fillcolor="#de0035" stroked="false">
              <v:path arrowok="t"/>
              <v:fill type="solid"/>
            </v:shape>
            <v:shape style="position:absolute;left:1055;top:710;width:201;height:108" coordorigin="1055,710" coordsize="201,108" path="m1156,818l1055,793m1256,710l1156,818e" filled="false" stroked="true" strokeweight="1pt" strokecolor="#de0035">
              <v:path arrowok="t"/>
              <v:stroke dashstyle="solid"/>
            </v:shape>
            <v:line style="position:absolute" from="1246,714" to="1366,714" stroked="true" strokeweight="1.315pt" strokecolor="#de0035">
              <v:stroke dashstyle="solid"/>
            </v:line>
            <v:shape style="position:absolute;left:1356;top:543;width:1205;height:404" coordorigin="1356,543" coordsize="1205,404" path="m1457,771l1356,717m1557,796l1457,771m1557,796l1658,746m1658,746l1758,543m1758,543l1858,751m1858,751l1959,929m2059,767l1959,929m2059,767l2160,817m2260,937l2160,817m2361,680l2260,937m2461,925l2361,680m2461,925l2561,947e" filled="false" stroked="true" strokeweight="1pt" strokecolor="#de0035">
              <v:path arrowok="t"/>
              <v:stroke dashstyle="solid"/>
            </v:shape>
            <v:line style="position:absolute" from="2551,949" to="2672,949" stroked="true" strokeweight="1.293pt" strokecolor="#de0035">
              <v:stroke dashstyle="solid"/>
            </v:line>
            <v:shape style="position:absolute;left:2661;top:952;width:201;height:205" coordorigin="2662,952" coordsize="201,205" path="m2762,1081l2662,952m2762,1081l2863,1157e" filled="false" stroked="true" strokeweight="1pt" strokecolor="#de0035">
              <v:path arrowok="t"/>
              <v:stroke dashstyle="solid"/>
            </v:shape>
            <v:line style="position:absolute" from="2853,1160" to="2973,1160" stroked="true" strokeweight="1.292pt" strokecolor="#de0035">
              <v:stroke dashstyle="solid"/>
            </v:line>
            <v:line style="position:absolute" from="1057,944" to="3870,944" stroked="true" strokeweight=".5pt" strokecolor="#000000">
              <v:stroke dashstyle="solid"/>
            </v:line>
            <w10:wrap type="none"/>
          </v:group>
        </w:pict>
      </w:r>
      <w:r>
        <w:rPr/>
        <w:pict>
          <v:line style="position:absolute;mso-position-horizontal-relative:page;mso-position-vertical-relative:paragraph;z-index:15733760" from="45.282001pt,4.403369pt" to="48.922001pt,4.403369pt" stroked="true" strokeweight=".5pt" strokecolor="#000000">
            <v:stroke dashstyle="solid"/>
            <w10:wrap type="none"/>
          </v:line>
        </w:pict>
      </w:r>
      <w:r>
        <w:rPr/>
        <w:pict>
          <v:line style="position:absolute;mso-position-horizontal-relative:page;mso-position-vertical-relative:paragraph;z-index:15736320" from="198.009003pt,4.403369pt" to="201.649003pt,4.403369pt" stroked="true" strokeweight=".5pt" strokecolor="#000000">
            <v:stroke dashstyle="solid"/>
            <w10:wrap type="none"/>
          </v:line>
        </w:pict>
      </w:r>
      <w:r>
        <w:rPr>
          <w:sz w:val="12"/>
        </w:rPr>
        <w:t>4</w:t>
      </w:r>
    </w:p>
    <w:p>
      <w:pPr>
        <w:pStyle w:val="BodyText"/>
        <w:rPr>
          <w:sz w:val="12"/>
        </w:rPr>
      </w:pPr>
    </w:p>
    <w:p>
      <w:pPr>
        <w:pStyle w:val="BodyText"/>
        <w:rPr>
          <w:sz w:val="12"/>
        </w:rPr>
      </w:pPr>
    </w:p>
    <w:p>
      <w:pPr>
        <w:pStyle w:val="BodyText"/>
        <w:spacing w:before="9"/>
        <w:rPr>
          <w:sz w:val="14"/>
        </w:rPr>
      </w:pPr>
    </w:p>
    <w:p>
      <w:pPr>
        <w:spacing w:before="1"/>
        <w:ind w:left="3454" w:right="0" w:firstLine="0"/>
        <w:jc w:val="left"/>
        <w:rPr>
          <w:sz w:val="12"/>
        </w:rPr>
      </w:pPr>
      <w:r>
        <w:rPr/>
        <w:pict>
          <v:line style="position:absolute;mso-position-horizontal-relative:page;mso-position-vertical-relative:paragraph;z-index:15733248" from="48.922001pt,4.452754pt" to="45.282001pt,4.452754pt" stroked="true" strokeweight=".5pt" strokecolor="#000000">
            <v:stroke dashstyle="solid"/>
            <w10:wrap type="none"/>
          </v:line>
        </w:pict>
      </w:r>
      <w:r>
        <w:rPr/>
        <w:pict>
          <v:line style="position:absolute;mso-position-horizontal-relative:page;mso-position-vertical-relative:paragraph;z-index:15735808" from="198.009003pt,4.452754pt" to="201.649003pt,4.452754pt" stroked="true" strokeweight=".5pt" strokecolor="#000000">
            <v:stroke dashstyle="solid"/>
            <w10:wrap type="none"/>
          </v:line>
        </w:pict>
      </w:r>
      <w:r>
        <w:rPr>
          <w:sz w:val="12"/>
        </w:rPr>
        <w:t>3</w:t>
      </w:r>
    </w:p>
    <w:p>
      <w:pPr>
        <w:pStyle w:val="BodyText"/>
        <w:rPr>
          <w:sz w:val="13"/>
        </w:rPr>
      </w:pPr>
    </w:p>
    <w:p>
      <w:pPr>
        <w:spacing w:before="0"/>
        <w:ind w:left="3454" w:right="0" w:firstLine="0"/>
        <w:jc w:val="left"/>
        <w:rPr>
          <w:sz w:val="12"/>
        </w:rPr>
      </w:pPr>
      <w:r>
        <w:rPr/>
        <w:pict>
          <v:line style="position:absolute;mso-position-horizontal-relative:page;mso-position-vertical-relative:paragraph;z-index:15736832" from="45.095001pt,3.601563pt" to="48.735001pt,3.601563pt" stroked="true" strokeweight=".5pt" strokecolor="#000000">
            <v:stroke dashstyle="solid"/>
            <w10:wrap type="none"/>
          </v:line>
        </w:pict>
      </w:r>
      <w:r>
        <w:rPr/>
        <w:pict>
          <v:line style="position:absolute;mso-position-horizontal-relative:page;mso-position-vertical-relative:paragraph;z-index:15737344" from="197.895996pt,3.664562pt" to="201.535996pt,3.664562pt" stroked="true" strokeweight=".5pt" strokecolor="#000000">
            <v:stroke dashstyle="solid"/>
            <w10:wrap type="none"/>
          </v:line>
        </w:pict>
      </w:r>
      <w:r>
        <w:rPr>
          <w:sz w:val="12"/>
        </w:rPr>
        <w:t>2.5</w:t>
      </w:r>
    </w:p>
    <w:p>
      <w:pPr>
        <w:pStyle w:val="BodyText"/>
        <w:spacing w:before="8"/>
        <w:rPr>
          <w:sz w:val="13"/>
        </w:rPr>
      </w:pPr>
    </w:p>
    <w:p>
      <w:pPr>
        <w:spacing w:before="1"/>
        <w:ind w:left="3454" w:right="0" w:firstLine="0"/>
        <w:jc w:val="left"/>
        <w:rPr>
          <w:sz w:val="12"/>
        </w:rPr>
      </w:pPr>
      <w:r>
        <w:rPr/>
        <w:pict>
          <v:line style="position:absolute;mso-position-horizontal-relative:page;mso-position-vertical-relative:paragraph;z-index:15732736" from="45.282001pt,4.452758pt" to="48.922001pt,4.452758pt" stroked="true" strokeweight=".5pt" strokecolor="#000000">
            <v:stroke dashstyle="solid"/>
            <w10:wrap type="none"/>
          </v:line>
        </w:pict>
      </w:r>
      <w:r>
        <w:rPr/>
        <w:pict>
          <v:line style="position:absolute;mso-position-horizontal-relative:page;mso-position-vertical-relative:paragraph;z-index:15735296" from="201.649003pt,4.452758pt" to="198.009003pt,4.452758pt" stroked="true" strokeweight=".5pt" strokecolor="#000000">
            <v:stroke dashstyle="solid"/>
            <w10:wrap type="none"/>
          </v:line>
        </w:pict>
      </w:r>
      <w:r>
        <w:rPr>
          <w:sz w:val="12"/>
        </w:rPr>
        <w:t>2</w:t>
      </w:r>
    </w:p>
    <w:p>
      <w:pPr>
        <w:pStyle w:val="BodyText"/>
        <w:rPr>
          <w:sz w:val="12"/>
        </w:rPr>
      </w:pPr>
    </w:p>
    <w:p>
      <w:pPr>
        <w:pStyle w:val="BodyText"/>
        <w:rPr>
          <w:sz w:val="12"/>
        </w:rPr>
      </w:pPr>
    </w:p>
    <w:p>
      <w:pPr>
        <w:pStyle w:val="BodyText"/>
        <w:spacing w:before="8"/>
        <w:rPr>
          <w:sz w:val="14"/>
        </w:rPr>
      </w:pPr>
    </w:p>
    <w:p>
      <w:pPr>
        <w:spacing w:before="1"/>
        <w:ind w:left="3454" w:right="0" w:firstLine="0"/>
        <w:jc w:val="left"/>
        <w:rPr>
          <w:sz w:val="12"/>
        </w:rPr>
      </w:pPr>
      <w:r>
        <w:rPr/>
        <w:pict>
          <v:line style="position:absolute;mso-position-horizontal-relative:page;mso-position-vertical-relative:paragraph;z-index:15732224" from="48.922001pt,4.452173pt" to="45.282001pt,4.452173pt" stroked="true" strokeweight=".5pt" strokecolor="#000000">
            <v:stroke dashstyle="solid"/>
            <w10:wrap type="none"/>
          </v:line>
        </w:pict>
      </w:r>
      <w:r>
        <w:rPr/>
        <w:pict>
          <v:line style="position:absolute;mso-position-horizontal-relative:page;mso-position-vertical-relative:paragraph;z-index:15734784" from="201.649003pt,4.452173pt" to="198.009003pt,4.452173pt" stroked="true" strokeweight=".5pt" strokecolor="#000000">
            <v:stroke dashstyle="solid"/>
            <w10:wrap type="none"/>
          </v:line>
        </w:pict>
      </w:r>
      <w:r>
        <w:rPr>
          <w:sz w:val="12"/>
        </w:rPr>
        <w:t>1</w:t>
      </w:r>
    </w:p>
    <w:p>
      <w:pPr>
        <w:pStyle w:val="BodyText"/>
        <w:rPr>
          <w:sz w:val="12"/>
        </w:rPr>
      </w:pPr>
    </w:p>
    <w:p>
      <w:pPr>
        <w:pStyle w:val="BodyText"/>
        <w:rPr>
          <w:sz w:val="12"/>
        </w:rPr>
      </w:pPr>
    </w:p>
    <w:p>
      <w:pPr>
        <w:pStyle w:val="BodyText"/>
        <w:spacing w:before="9"/>
        <w:rPr>
          <w:sz w:val="14"/>
        </w:rPr>
      </w:pPr>
    </w:p>
    <w:p>
      <w:pPr>
        <w:spacing w:before="0"/>
        <w:ind w:left="3454" w:right="0" w:firstLine="0"/>
        <w:jc w:val="left"/>
        <w:rPr>
          <w:sz w:val="12"/>
        </w:rPr>
      </w:pPr>
      <w:r>
        <w:rPr/>
        <w:pict>
          <v:shape style="position:absolute;margin-left:52.699001pt;margin-top:-1.472443pt;width:140.85pt;height:5.9pt;mso-position-horizontal-relative:page;mso-position-vertical-relative:paragraph;z-index:15731200" coordorigin="1054,-29" coordsize="2817,118" path="m3871,88l1054,88m1055,-25l1055,86m1156,88l1156,15m1256,88l1256,15m1356,15l1356,88m1457,-25l1457,86m1557,15l1557,88m1658,88l1658,15m1758,15l1758,88m1859,86l1859,-25m1959,15l1959,88m2059,88l2059,15m2160,88l2160,15m2260,86l2260,-25m2361,15l2361,88m2461,88l2461,15m2561,88l2561,15m2662,86l2662,-25m2762,88l2762,15m2863,15l2863,88m2963,88l2963,15m3067,-25l3067,86m3168,15l3168,88m3264,88l3264,15m3365,15l3365,88m3467,86l3467,-28m3570,86l3570,13m3670,88l3670,15m3766,88l3766,15m3871,88l3871,-29e" filled="false" stroked="true" strokeweight=".5pt" strokecolor="#000000">
            <v:path arrowok="t"/>
            <v:stroke dashstyle="solid"/>
            <w10:wrap type="none"/>
          </v:shape>
        </w:pict>
      </w:r>
      <w:r>
        <w:rPr/>
        <w:pict>
          <v:line style="position:absolute;mso-position-horizontal-relative:page;mso-position-vertical-relative:paragraph;z-index:15731712" from="48.922001pt,4.402557pt" to="45.282001pt,4.402557pt" stroked="true" strokeweight=".5pt" strokecolor="#000000">
            <v:stroke dashstyle="solid"/>
            <w10:wrap type="none"/>
          </v:line>
        </w:pict>
      </w:r>
      <w:r>
        <w:rPr/>
        <w:pict>
          <v:line style="position:absolute;mso-position-horizontal-relative:page;mso-position-vertical-relative:paragraph;z-index:15734272" from="201.649003pt,4.402557pt" to="198.009003pt,4.402557pt" stroked="true" strokeweight=".5pt" strokecolor="#000000">
            <v:stroke dashstyle="solid"/>
            <w10:wrap type="none"/>
          </v:line>
        </w:pict>
      </w:r>
      <w:r>
        <w:rPr>
          <w:sz w:val="12"/>
        </w:rPr>
        <w:t>0</w:t>
      </w:r>
    </w:p>
    <w:p>
      <w:pPr>
        <w:tabs>
          <w:tab w:pos="473" w:val="left" w:leader="none"/>
          <w:tab w:pos="867" w:val="left" w:leader="none"/>
          <w:tab w:pos="1273" w:val="left" w:leader="none"/>
          <w:tab w:pos="1667" w:val="left" w:leader="none"/>
          <w:tab w:pos="2019" w:val="left" w:leader="none"/>
          <w:tab w:pos="2478" w:val="left" w:leader="none"/>
        </w:tabs>
        <w:spacing w:before="5"/>
        <w:ind w:left="0" w:right="170" w:firstLine="0"/>
        <w:jc w:val="center"/>
        <w:rPr>
          <w:sz w:val="12"/>
        </w:rPr>
      </w:pPr>
      <w:r>
        <w:rPr>
          <w:sz w:val="12"/>
        </w:rPr>
        <w:t>1995</w:t>
        <w:tab/>
        <w:t>96</w:t>
        <w:tab/>
        <w:t>97</w:t>
        <w:tab/>
        <w:t>98</w:t>
        <w:tab/>
        <w:t>99</w:t>
        <w:tab/>
        <w:t>2000</w:t>
        <w:tab/>
        <w:t>01 </w:t>
      </w:r>
      <w:r>
        <w:rPr>
          <w:spacing w:val="22"/>
          <w:sz w:val="12"/>
        </w:rPr>
        <w:t> </w:t>
      </w:r>
      <w:r>
        <w:rPr>
          <w:sz w:val="12"/>
        </w:rPr>
        <w:t>02</w:t>
      </w:r>
    </w:p>
    <w:p>
      <w:pPr>
        <w:pStyle w:val="BodyText"/>
        <w:rPr>
          <w:sz w:val="12"/>
        </w:rPr>
      </w:pPr>
    </w:p>
    <w:p>
      <w:pPr>
        <w:spacing w:line="208" w:lineRule="auto" w:before="0"/>
        <w:ind w:left="198" w:right="168" w:firstLine="0"/>
        <w:jc w:val="left"/>
        <w:rPr>
          <w:sz w:val="12"/>
        </w:rPr>
      </w:pPr>
      <w:r>
        <w:rPr>
          <w:sz w:val="12"/>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w:t>
      </w:r>
      <w:r>
        <w:rPr>
          <w:spacing w:val="-2"/>
          <w:sz w:val="12"/>
        </w:rPr>
        <w:t> </w:t>
      </w:r>
      <w:r>
        <w:rPr>
          <w:sz w:val="12"/>
        </w:rPr>
        <w:t>outcomes.</w:t>
      </w:r>
    </w:p>
    <w:p>
      <w:pPr>
        <w:pStyle w:val="Heading6"/>
        <w:spacing w:line="242" w:lineRule="auto" w:before="207"/>
        <w:ind w:left="180"/>
      </w:pPr>
      <w:r>
        <w:rPr/>
        <w:br w:type="column"/>
      </w:r>
      <w:r>
        <w:rPr/>
        <w:t>of the last </w:t>
      </w:r>
      <w:r>
        <w:rPr>
          <w:i/>
        </w:rPr>
        <w:t>Report</w:t>
      </w:r>
      <w:r>
        <w:rPr/>
        <w:t>. Relatively few wage settlements have been reported so far this year, but those available are if anything a little lower on average than last year. The consequences for firms’ costs of pay growth depend</w:t>
      </w:r>
    </w:p>
    <w:p>
      <w:pPr>
        <w:spacing w:before="6"/>
        <w:ind w:left="180" w:right="0" w:firstLine="0"/>
        <w:jc w:val="left"/>
        <w:rPr>
          <w:sz w:val="24"/>
        </w:rPr>
      </w:pPr>
      <w:r>
        <w:rPr>
          <w:sz w:val="24"/>
        </w:rPr>
        <w:t>on labour productivity. Recent data suggest that</w:t>
      </w:r>
    </w:p>
    <w:p>
      <w:pPr>
        <w:spacing w:line="242" w:lineRule="auto" w:before="4"/>
        <w:ind w:left="180" w:right="195" w:firstLine="0"/>
        <w:jc w:val="left"/>
        <w:rPr>
          <w:sz w:val="24"/>
        </w:rPr>
      </w:pPr>
      <w:r>
        <w:rPr>
          <w:sz w:val="24"/>
        </w:rPr>
        <w:t>whole-economy productivity growth is recovering after several years below trend, and manufacturing productivity has picked up sharply.</w:t>
      </w:r>
    </w:p>
    <w:p>
      <w:pPr>
        <w:pStyle w:val="BodyText"/>
        <w:spacing w:before="7"/>
        <w:rPr>
          <w:sz w:val="24"/>
        </w:rPr>
      </w:pPr>
    </w:p>
    <w:p>
      <w:pPr>
        <w:spacing w:line="242" w:lineRule="auto" w:before="0"/>
        <w:ind w:left="180" w:right="195" w:firstLine="0"/>
        <w:jc w:val="left"/>
        <w:rPr>
          <w:sz w:val="24"/>
        </w:rPr>
      </w:pPr>
      <w:r>
        <w:rPr>
          <w:sz w:val="24"/>
        </w:rPr>
        <w:t>Sterling has risen further since the autumn, particularly in relation to the euro. This exchange rate movement cannot readily be explained in terms of recent news about relative cyclical positions. The starting-point for the projections in this </w:t>
      </w:r>
      <w:r>
        <w:rPr>
          <w:i/>
          <w:sz w:val="24"/>
        </w:rPr>
        <w:t>Report </w:t>
      </w:r>
      <w:r>
        <w:rPr>
          <w:sz w:val="24"/>
        </w:rPr>
        <w:t>is a sterling effective exchange rate index of 109.4, which is about 4% above the central path assumed in the November </w:t>
      </w:r>
      <w:r>
        <w:rPr>
          <w:i/>
          <w:sz w:val="24"/>
        </w:rPr>
        <w:t>Report</w:t>
      </w:r>
      <w:r>
        <w:rPr>
          <w:sz w:val="24"/>
        </w:rPr>
        <w:t>.</w:t>
      </w:r>
    </w:p>
    <w:p>
      <w:pPr>
        <w:spacing w:line="242" w:lineRule="auto" w:before="9"/>
        <w:ind w:left="180" w:right="301" w:firstLine="0"/>
        <w:jc w:val="left"/>
        <w:rPr>
          <w:sz w:val="24"/>
        </w:rPr>
      </w:pPr>
      <w:r>
        <w:rPr>
          <w:sz w:val="24"/>
        </w:rPr>
        <w:t>There is, as always, great uncertainty about exchange rate prospects. The projections below assume, in the central case, that sterling’s ERI declines to 107.1 at the two-year forecast horizon.</w:t>
      </w:r>
    </w:p>
    <w:p>
      <w:pPr>
        <w:pStyle w:val="BodyText"/>
        <w:spacing w:before="9"/>
        <w:rPr>
          <w:sz w:val="24"/>
        </w:rPr>
      </w:pPr>
    </w:p>
    <w:p>
      <w:pPr>
        <w:spacing w:line="242" w:lineRule="auto" w:before="0"/>
        <w:ind w:left="180" w:right="161" w:firstLine="0"/>
        <w:jc w:val="left"/>
        <w:rPr>
          <w:sz w:val="24"/>
        </w:rPr>
      </w:pPr>
      <w:r>
        <w:rPr>
          <w:sz w:val="24"/>
        </w:rPr>
        <w:t>The MPC’s best collective judgment of the prospects for GDP growth—assuming that the official interest rate remains at 6%—is shown in Chart 1. In the central projection, annual growth rises towards 3% before easing to a little below 2</w:t>
      </w:r>
      <w:r>
        <w:rPr>
          <w:position w:val="8"/>
          <w:sz w:val="12"/>
        </w:rPr>
        <w:t>1</w:t>
      </w:r>
      <w:r>
        <w:rPr>
          <w:sz w:val="24"/>
        </w:rPr>
        <w:t>/</w:t>
      </w:r>
      <w:r>
        <w:rPr>
          <w:sz w:val="12"/>
        </w:rPr>
        <w:t>2</w:t>
      </w:r>
      <w:r>
        <w:rPr>
          <w:sz w:val="24"/>
        </w:rPr>
        <w:t>%—near trend—for most of the forecast period. The profile is similar to, but a little softer than, that in the November </w:t>
      </w:r>
      <w:r>
        <w:rPr>
          <w:i/>
          <w:sz w:val="24"/>
        </w:rPr>
        <w:t>Report</w:t>
      </w:r>
      <w:r>
        <w:rPr>
          <w:sz w:val="24"/>
        </w:rPr>
        <w:t>. This is largely because the negative effects of the stronger exchange rate on net trade and of higher interest rates on the economy as a whole outweigh the positive effect on consumer demand of increases in income and wealth.</w:t>
      </w:r>
    </w:p>
    <w:p>
      <w:pPr>
        <w:pStyle w:val="BodyText"/>
        <w:spacing w:before="7"/>
        <w:rPr>
          <w:sz w:val="25"/>
        </w:rPr>
      </w:pPr>
    </w:p>
    <w:p>
      <w:pPr>
        <w:spacing w:line="242" w:lineRule="auto" w:before="0"/>
        <w:ind w:left="180" w:right="195" w:firstLine="0"/>
        <w:jc w:val="left"/>
        <w:rPr>
          <w:sz w:val="24"/>
        </w:rPr>
      </w:pPr>
      <w:r>
        <w:rPr>
          <w:sz w:val="24"/>
        </w:rPr>
        <w:t>The </w:t>
      </w:r>
      <w:r>
        <w:rPr>
          <w:spacing w:val="-3"/>
          <w:sz w:val="24"/>
        </w:rPr>
        <w:t>Committee’s </w:t>
      </w:r>
      <w:r>
        <w:rPr>
          <w:sz w:val="24"/>
        </w:rPr>
        <w:t>best collective judgment of the prospects for RPIX inflation is shown in Chart 2. The most likely outcome is for inflation to decline to around 2% during this year, and then to rise to around the 2</w:t>
      </w:r>
      <w:r>
        <w:rPr>
          <w:position w:val="8"/>
          <w:sz w:val="12"/>
        </w:rPr>
        <w:t>1</w:t>
      </w:r>
      <w:r>
        <w:rPr>
          <w:sz w:val="24"/>
        </w:rPr>
        <w:t>/</w:t>
      </w:r>
      <w:r>
        <w:rPr>
          <w:sz w:val="12"/>
        </w:rPr>
        <w:t>2</w:t>
      </w:r>
      <w:r>
        <w:rPr>
          <w:sz w:val="24"/>
        </w:rPr>
        <w:t>% target in the second year of the projection. Relative to the November profile, the principal upward influences on inflation are a higher path for nominal earnings growth and stronger determinants of consumer demand. The</w:t>
      </w:r>
      <w:r>
        <w:rPr>
          <w:spacing w:val="-6"/>
          <w:sz w:val="24"/>
        </w:rPr>
        <w:t> </w:t>
      </w:r>
      <w:r>
        <w:rPr>
          <w:sz w:val="24"/>
        </w:rPr>
        <w:t>higher</w:t>
      </w:r>
      <w:r>
        <w:rPr>
          <w:spacing w:val="-5"/>
          <w:sz w:val="24"/>
        </w:rPr>
        <w:t> </w:t>
      </w:r>
      <w:r>
        <w:rPr>
          <w:sz w:val="24"/>
        </w:rPr>
        <w:t>exchange</w:t>
      </w:r>
      <w:r>
        <w:rPr>
          <w:spacing w:val="-5"/>
          <w:sz w:val="24"/>
        </w:rPr>
        <w:t> </w:t>
      </w:r>
      <w:r>
        <w:rPr>
          <w:sz w:val="24"/>
        </w:rPr>
        <w:t>rate</w:t>
      </w:r>
      <w:r>
        <w:rPr>
          <w:spacing w:val="-6"/>
          <w:sz w:val="24"/>
        </w:rPr>
        <w:t> </w:t>
      </w:r>
      <w:r>
        <w:rPr>
          <w:sz w:val="24"/>
        </w:rPr>
        <w:t>and</w:t>
      </w:r>
      <w:r>
        <w:rPr>
          <w:spacing w:val="-5"/>
          <w:sz w:val="24"/>
        </w:rPr>
        <w:t> </w:t>
      </w:r>
      <w:r>
        <w:rPr>
          <w:sz w:val="24"/>
        </w:rPr>
        <w:t>the</w:t>
      </w:r>
      <w:r>
        <w:rPr>
          <w:spacing w:val="-5"/>
          <w:sz w:val="24"/>
        </w:rPr>
        <w:t> </w:t>
      </w:r>
      <w:r>
        <w:rPr>
          <w:sz w:val="24"/>
        </w:rPr>
        <w:t>interest</w:t>
      </w:r>
      <w:r>
        <w:rPr>
          <w:spacing w:val="-5"/>
          <w:sz w:val="24"/>
        </w:rPr>
        <w:t> </w:t>
      </w:r>
      <w:r>
        <w:rPr>
          <w:sz w:val="24"/>
        </w:rPr>
        <w:t>rate</w:t>
      </w:r>
      <w:r>
        <w:rPr>
          <w:spacing w:val="-6"/>
          <w:sz w:val="24"/>
        </w:rPr>
        <w:t> </w:t>
      </w:r>
      <w:r>
        <w:rPr>
          <w:sz w:val="24"/>
        </w:rPr>
        <w:t>rises</w:t>
      </w:r>
      <w:r>
        <w:rPr>
          <w:spacing w:val="-5"/>
          <w:sz w:val="24"/>
        </w:rPr>
        <w:t> </w:t>
      </w:r>
      <w:r>
        <w:rPr>
          <w:sz w:val="24"/>
        </w:rPr>
        <w:t>since November are the main downward influences. As the fan charts </w:t>
      </w:r>
      <w:r>
        <w:rPr>
          <w:spacing w:val="-5"/>
          <w:sz w:val="24"/>
        </w:rPr>
        <w:t>show, </w:t>
      </w:r>
      <w:r>
        <w:rPr>
          <w:sz w:val="24"/>
        </w:rPr>
        <w:t>considerable uncertainties surround these projections. The balance of risks to inflation is judged to be slightly on the upside; the risks to output growth are thought to be broadly</w:t>
      </w:r>
      <w:r>
        <w:rPr>
          <w:spacing w:val="-14"/>
          <w:sz w:val="24"/>
        </w:rPr>
        <w:t> </w:t>
      </w:r>
      <w:r>
        <w:rPr>
          <w:sz w:val="24"/>
        </w:rPr>
        <w:t>balanced.</w:t>
      </w:r>
    </w:p>
    <w:p>
      <w:pPr>
        <w:pStyle w:val="BodyText"/>
        <w:spacing w:before="10"/>
        <w:rPr>
          <w:sz w:val="25"/>
        </w:rPr>
      </w:pPr>
    </w:p>
    <w:p>
      <w:pPr>
        <w:spacing w:line="242" w:lineRule="auto" w:before="0"/>
        <w:ind w:left="180" w:right="467" w:firstLine="0"/>
        <w:jc w:val="left"/>
        <w:rPr>
          <w:sz w:val="24"/>
        </w:rPr>
      </w:pPr>
      <w:r>
        <w:rPr>
          <w:sz w:val="24"/>
        </w:rPr>
        <w:t>Some Committee members prefer to base their assessment of inflation prospects on assumptions that differ in part from those embodied in the fan chart</w:t>
      </w:r>
    </w:p>
    <w:p>
      <w:pPr>
        <w:spacing w:after="0" w:line="242" w:lineRule="auto"/>
        <w:jc w:val="left"/>
        <w:rPr>
          <w:sz w:val="24"/>
        </w:rPr>
        <w:sectPr>
          <w:type w:val="continuous"/>
          <w:pgSz w:w="11900" w:h="16840"/>
          <w:pgMar w:top="1220" w:bottom="280" w:left="620" w:right="640"/>
          <w:cols w:num="2" w:equalWidth="0">
            <w:col w:w="3979" w:space="861"/>
            <w:col w:w="5800"/>
          </w:cols>
        </w:sectPr>
      </w:pPr>
    </w:p>
    <w:p>
      <w:pPr>
        <w:pStyle w:val="BodyText"/>
        <w:rPr>
          <w:sz w:val="20"/>
        </w:rPr>
      </w:pPr>
    </w:p>
    <w:p>
      <w:pPr>
        <w:spacing w:line="242" w:lineRule="auto" w:before="227"/>
        <w:ind w:left="4965" w:right="250" w:firstLine="0"/>
        <w:jc w:val="left"/>
        <w:rPr>
          <w:sz w:val="24"/>
        </w:rPr>
      </w:pPr>
      <w:r>
        <w:rPr>
          <w:sz w:val="24"/>
        </w:rPr>
        <w:t>projections. Particular uncertainties exist about the future path of the exchange rate, and about the degree to which technological and competitive developments are likely to reduce inflation in the medium term.</w:t>
      </w:r>
    </w:p>
    <w:p>
      <w:pPr>
        <w:spacing w:line="242" w:lineRule="auto" w:before="5"/>
        <w:ind w:left="4965" w:right="235" w:firstLine="0"/>
        <w:jc w:val="left"/>
        <w:rPr>
          <w:sz w:val="24"/>
        </w:rPr>
      </w:pPr>
      <w:r>
        <w:rPr>
          <w:sz w:val="24"/>
        </w:rPr>
        <w:t>Alternative judgments on these issues led some Committee members to favour inflation profiles that would be higher or lower than that shown in Chart 2 by up to </w:t>
      </w:r>
      <w:r>
        <w:rPr>
          <w:position w:val="8"/>
          <w:sz w:val="12"/>
        </w:rPr>
        <w:t>1</w:t>
      </w:r>
      <w:r>
        <w:rPr>
          <w:sz w:val="24"/>
        </w:rPr>
        <w:t>/</w:t>
      </w:r>
      <w:r>
        <w:rPr>
          <w:sz w:val="12"/>
        </w:rPr>
        <w:t>2</w:t>
      </w:r>
      <w:r>
        <w:rPr>
          <w:sz w:val="24"/>
        </w:rPr>
        <w:t>% at the two-year forecast horizon.</w:t>
      </w:r>
    </w:p>
    <w:p>
      <w:pPr>
        <w:pStyle w:val="BodyText"/>
        <w:spacing w:before="9"/>
        <w:rPr>
          <w:sz w:val="24"/>
        </w:rPr>
      </w:pPr>
    </w:p>
    <w:p>
      <w:pPr>
        <w:spacing w:line="242" w:lineRule="auto" w:before="0"/>
        <w:ind w:left="4965" w:right="202" w:firstLine="0"/>
        <w:jc w:val="left"/>
        <w:rPr>
          <w:sz w:val="24"/>
        </w:rPr>
      </w:pPr>
      <w:r>
        <w:rPr>
          <w:sz w:val="24"/>
        </w:rPr>
        <w:t>The UK economy remains on course for steady growth. The high exchange rate means, </w:t>
      </w:r>
      <w:r>
        <w:rPr>
          <w:spacing w:val="-4"/>
          <w:sz w:val="24"/>
        </w:rPr>
        <w:t>however, </w:t>
      </w:r>
      <w:r>
        <w:rPr>
          <w:sz w:val="24"/>
        </w:rPr>
        <w:t>that the prospect is one of continuing imbalance between domestic demand and external demand, and further pressure on the internationally exposed sectors of the </w:t>
      </w:r>
      <w:r>
        <w:rPr>
          <w:spacing w:val="-3"/>
          <w:sz w:val="24"/>
        </w:rPr>
        <w:t>economy. </w:t>
      </w:r>
      <w:r>
        <w:rPr>
          <w:sz w:val="24"/>
        </w:rPr>
        <w:t>Interest rates will continue to be set to achieve the 2</w:t>
      </w:r>
      <w:r>
        <w:rPr>
          <w:position w:val="8"/>
          <w:sz w:val="12"/>
        </w:rPr>
        <w:t>1</w:t>
      </w:r>
      <w:r>
        <w:rPr>
          <w:sz w:val="24"/>
        </w:rPr>
        <w:t>/</w:t>
      </w:r>
      <w:r>
        <w:rPr>
          <w:sz w:val="12"/>
        </w:rPr>
        <w:t>2</w:t>
      </w:r>
      <w:r>
        <w:rPr>
          <w:sz w:val="24"/>
        </w:rPr>
        <w:t>% inflation target. Inflation is at present on track to meet the</w:t>
      </w:r>
      <w:r>
        <w:rPr>
          <w:spacing w:val="-4"/>
          <w:sz w:val="24"/>
        </w:rPr>
        <w:t> </w:t>
      </w:r>
      <w:r>
        <w:rPr>
          <w:sz w:val="24"/>
        </w:rPr>
        <w:t>target.</w:t>
      </w:r>
    </w:p>
    <w:p>
      <w:pPr>
        <w:spacing w:after="0" w:line="242" w:lineRule="auto"/>
        <w:jc w:val="left"/>
        <w:rPr>
          <w:sz w:val="24"/>
        </w:rPr>
        <w:sectPr>
          <w:headerReference w:type="even" r:id="rId11"/>
          <w:footerReference w:type="even" r:id="rId12"/>
          <w:pgSz w:w="11900" w:h="16840"/>
          <w:pgMar w:header="566" w:footer="597" w:top="760" w:bottom="780" w:left="620" w:right="640"/>
          <w:pgNumType w:start="4"/>
        </w:sectPr>
      </w:pPr>
    </w:p>
    <w:p>
      <w:pPr>
        <w:spacing w:before="76"/>
        <w:ind w:left="2167" w:right="1715" w:firstLine="0"/>
        <w:jc w:val="center"/>
        <w:rPr>
          <w:b/>
          <w:sz w:val="28"/>
        </w:rPr>
      </w:pPr>
      <w:bookmarkStart w:name="Contents" w:id="5"/>
      <w:bookmarkEnd w:id="5"/>
      <w:r>
        <w:rPr/>
      </w:r>
      <w:r>
        <w:rPr>
          <w:b/>
          <w:color w:val="009483"/>
          <w:sz w:val="28"/>
        </w:rPr>
        <w:t>Contents</w:t>
      </w:r>
    </w:p>
    <w:p>
      <w:pPr>
        <w:pStyle w:val="ListParagraph"/>
        <w:numPr>
          <w:ilvl w:val="0"/>
          <w:numId w:val="1"/>
        </w:numPr>
        <w:tabs>
          <w:tab w:pos="5389" w:val="left" w:leader="none"/>
          <w:tab w:pos="5390" w:val="left" w:leader="none"/>
          <w:tab w:pos="10169" w:val="left" w:leader="none"/>
        </w:tabs>
        <w:spacing w:line="240" w:lineRule="auto" w:before="595" w:after="55"/>
        <w:ind w:left="5389" w:right="0" w:hanging="381"/>
        <w:jc w:val="left"/>
        <w:rPr>
          <w:sz w:val="24"/>
        </w:rPr>
      </w:pPr>
      <w:hyperlink w:history="true" w:anchor="_bookmark2">
        <w:r>
          <w:rPr>
            <w:b/>
            <w:color w:val="0093C1"/>
            <w:sz w:val="24"/>
          </w:rPr>
          <w:t>Money and</w:t>
        </w:r>
        <w:r>
          <w:rPr>
            <w:b/>
            <w:color w:val="0093C1"/>
            <w:spacing w:val="-4"/>
            <w:sz w:val="24"/>
          </w:rPr>
          <w:t> </w:t>
        </w:r>
        <w:r>
          <w:rPr>
            <w:b/>
            <w:color w:val="0093C1"/>
            <w:sz w:val="24"/>
          </w:rPr>
          <w:t>financial</w:t>
        </w:r>
        <w:r>
          <w:rPr>
            <w:b/>
            <w:color w:val="0093C1"/>
            <w:spacing w:val="-2"/>
            <w:sz w:val="24"/>
          </w:rPr>
          <w:t> </w:t>
        </w:r>
        <w:r>
          <w:rPr>
            <w:b/>
            <w:color w:val="0093C1"/>
            <w:sz w:val="24"/>
          </w:rPr>
          <w:t>markets</w:t>
        </w:r>
      </w:hyperlink>
      <w:r>
        <w:rPr>
          <w:b/>
          <w:color w:val="0093C1"/>
          <w:sz w:val="24"/>
        </w:rPr>
        <w:tab/>
      </w:r>
      <w:r>
        <w:rPr>
          <w:color w:val="231F20"/>
          <w:sz w:val="24"/>
        </w:rPr>
        <w:t>3</w:t>
      </w:r>
    </w:p>
    <w:tbl>
      <w:tblPr>
        <w:tblW w:w="0" w:type="auto"/>
        <w:jc w:val="left"/>
        <w:tblInd w:w="5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
        <w:gridCol w:w="3885"/>
        <w:gridCol w:w="560"/>
      </w:tblGrid>
      <w:tr>
        <w:trPr>
          <w:trHeight w:val="292" w:hRule="atLeast"/>
        </w:trPr>
        <w:tc>
          <w:tcPr>
            <w:tcW w:w="557" w:type="dxa"/>
          </w:tcPr>
          <w:p>
            <w:pPr>
              <w:pStyle w:val="TableParagraph"/>
              <w:spacing w:line="266" w:lineRule="exact"/>
              <w:ind w:left="50"/>
              <w:rPr>
                <w:b/>
                <w:sz w:val="24"/>
              </w:rPr>
            </w:pPr>
            <w:r>
              <w:rPr>
                <w:b/>
                <w:color w:val="231F20"/>
                <w:sz w:val="24"/>
              </w:rPr>
              <w:t>1.1</w:t>
            </w:r>
          </w:p>
        </w:tc>
        <w:tc>
          <w:tcPr>
            <w:tcW w:w="3885" w:type="dxa"/>
          </w:tcPr>
          <w:p>
            <w:pPr>
              <w:pStyle w:val="TableParagraph"/>
              <w:spacing w:line="266" w:lineRule="exact"/>
              <w:ind w:left="52"/>
              <w:rPr>
                <w:b/>
                <w:sz w:val="24"/>
              </w:rPr>
            </w:pPr>
            <w:hyperlink w:history="true" w:anchor="_bookmark2">
              <w:r>
                <w:rPr>
                  <w:b/>
                  <w:color w:val="231F20"/>
                  <w:sz w:val="24"/>
                </w:rPr>
                <w:t>Money and credit</w:t>
              </w:r>
            </w:hyperlink>
          </w:p>
        </w:tc>
        <w:tc>
          <w:tcPr>
            <w:tcW w:w="560" w:type="dxa"/>
          </w:tcPr>
          <w:p>
            <w:pPr>
              <w:pStyle w:val="TableParagraph"/>
              <w:spacing w:line="266" w:lineRule="exact"/>
              <w:ind w:right="51"/>
              <w:jc w:val="right"/>
              <w:rPr>
                <w:sz w:val="24"/>
              </w:rPr>
            </w:pPr>
            <w:r>
              <w:rPr>
                <w:color w:val="231F20"/>
                <w:sz w:val="24"/>
              </w:rPr>
              <w:t>3</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2">
              <w:r>
                <w:rPr>
                  <w:color w:val="231F20"/>
                  <w:sz w:val="24"/>
                </w:rPr>
                <w:t>Narrow money</w:t>
              </w:r>
            </w:hyperlink>
          </w:p>
        </w:tc>
        <w:tc>
          <w:tcPr>
            <w:tcW w:w="560" w:type="dxa"/>
          </w:tcPr>
          <w:p>
            <w:pPr>
              <w:pStyle w:val="TableParagraph"/>
              <w:spacing w:before="17"/>
              <w:ind w:right="49"/>
              <w:jc w:val="right"/>
              <w:rPr>
                <w:sz w:val="24"/>
              </w:rPr>
            </w:pPr>
            <w:r>
              <w:rPr>
                <w:color w:val="231F20"/>
                <w:sz w:val="24"/>
              </w:rPr>
              <w:t>3</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3">
              <w:r>
                <w:rPr>
                  <w:color w:val="231F20"/>
                  <w:sz w:val="24"/>
                </w:rPr>
                <w:t>Broad money</w:t>
              </w:r>
            </w:hyperlink>
          </w:p>
        </w:tc>
        <w:tc>
          <w:tcPr>
            <w:tcW w:w="560" w:type="dxa"/>
          </w:tcPr>
          <w:p>
            <w:pPr>
              <w:pStyle w:val="TableParagraph"/>
              <w:spacing w:before="17"/>
              <w:ind w:right="49"/>
              <w:jc w:val="right"/>
              <w:rPr>
                <w:sz w:val="24"/>
              </w:rPr>
            </w:pPr>
            <w:r>
              <w:rPr>
                <w:color w:val="231F20"/>
                <w:sz w:val="24"/>
              </w:rPr>
              <w:t>4</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4">
              <w:r>
                <w:rPr>
                  <w:color w:val="231F20"/>
                  <w:sz w:val="24"/>
                </w:rPr>
                <w:t>Household sector</w:t>
              </w:r>
            </w:hyperlink>
          </w:p>
        </w:tc>
        <w:tc>
          <w:tcPr>
            <w:tcW w:w="560" w:type="dxa"/>
          </w:tcPr>
          <w:p>
            <w:pPr>
              <w:pStyle w:val="TableParagraph"/>
              <w:spacing w:before="17"/>
              <w:ind w:right="49"/>
              <w:jc w:val="right"/>
              <w:rPr>
                <w:sz w:val="24"/>
              </w:rPr>
            </w:pPr>
            <w:r>
              <w:rPr>
                <w:color w:val="231F20"/>
                <w:sz w:val="24"/>
              </w:rPr>
              <w:t>5</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5">
              <w:r>
                <w:rPr>
                  <w:color w:val="231F20"/>
                  <w:sz w:val="24"/>
                </w:rPr>
                <w:t>Private non-financial corporations</w:t>
              </w:r>
            </w:hyperlink>
          </w:p>
        </w:tc>
        <w:tc>
          <w:tcPr>
            <w:tcW w:w="560" w:type="dxa"/>
          </w:tcPr>
          <w:p>
            <w:pPr>
              <w:pStyle w:val="TableParagraph"/>
              <w:spacing w:before="17"/>
              <w:ind w:right="49"/>
              <w:jc w:val="right"/>
              <w:rPr>
                <w:sz w:val="24"/>
              </w:rPr>
            </w:pPr>
            <w:r>
              <w:rPr>
                <w:color w:val="231F20"/>
                <w:sz w:val="24"/>
              </w:rPr>
              <w:t>6</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6">
              <w:r>
                <w:rPr>
                  <w:color w:val="231F20"/>
                  <w:sz w:val="24"/>
                </w:rPr>
                <w:t>Other financial corporations</w:t>
              </w:r>
            </w:hyperlink>
          </w:p>
        </w:tc>
        <w:tc>
          <w:tcPr>
            <w:tcW w:w="560" w:type="dxa"/>
          </w:tcPr>
          <w:p>
            <w:pPr>
              <w:pStyle w:val="TableParagraph"/>
              <w:spacing w:before="17"/>
              <w:ind w:right="49"/>
              <w:jc w:val="right"/>
              <w:rPr>
                <w:sz w:val="24"/>
              </w:rPr>
            </w:pPr>
            <w:r>
              <w:rPr>
                <w:color w:val="231F20"/>
                <w:sz w:val="24"/>
              </w:rPr>
              <w:t>7</w:t>
            </w:r>
          </w:p>
        </w:tc>
      </w:tr>
      <w:tr>
        <w:trPr>
          <w:trHeight w:val="319" w:hRule="atLeast"/>
        </w:trPr>
        <w:tc>
          <w:tcPr>
            <w:tcW w:w="557" w:type="dxa"/>
          </w:tcPr>
          <w:p>
            <w:pPr>
              <w:pStyle w:val="TableParagraph"/>
              <w:spacing w:before="17"/>
              <w:ind w:left="50"/>
              <w:rPr>
                <w:b/>
                <w:sz w:val="24"/>
              </w:rPr>
            </w:pPr>
            <w:r>
              <w:rPr>
                <w:b/>
                <w:color w:val="231F20"/>
                <w:sz w:val="24"/>
              </w:rPr>
              <w:t>1.2</w:t>
            </w:r>
          </w:p>
        </w:tc>
        <w:tc>
          <w:tcPr>
            <w:tcW w:w="3885" w:type="dxa"/>
          </w:tcPr>
          <w:p>
            <w:pPr>
              <w:pStyle w:val="TableParagraph"/>
              <w:spacing w:before="17"/>
              <w:ind w:left="52"/>
              <w:rPr>
                <w:b/>
                <w:sz w:val="24"/>
              </w:rPr>
            </w:pPr>
            <w:hyperlink w:history="true" w:anchor="_bookmark6">
              <w:r>
                <w:rPr>
                  <w:b/>
                  <w:color w:val="231F20"/>
                  <w:sz w:val="24"/>
                </w:rPr>
                <w:t>Interest rates and asset prices</w:t>
              </w:r>
            </w:hyperlink>
          </w:p>
        </w:tc>
        <w:tc>
          <w:tcPr>
            <w:tcW w:w="560" w:type="dxa"/>
          </w:tcPr>
          <w:p>
            <w:pPr>
              <w:pStyle w:val="TableParagraph"/>
              <w:spacing w:before="17"/>
              <w:ind w:right="49"/>
              <w:jc w:val="right"/>
              <w:rPr>
                <w:sz w:val="24"/>
              </w:rPr>
            </w:pPr>
            <w:r>
              <w:rPr>
                <w:color w:val="231F20"/>
                <w:sz w:val="24"/>
              </w:rPr>
              <w:t>7</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6">
              <w:r>
                <w:rPr>
                  <w:color w:val="231F20"/>
                  <w:sz w:val="24"/>
                </w:rPr>
                <w:t>Short-term interest rates</w:t>
              </w:r>
            </w:hyperlink>
          </w:p>
        </w:tc>
        <w:tc>
          <w:tcPr>
            <w:tcW w:w="560" w:type="dxa"/>
          </w:tcPr>
          <w:p>
            <w:pPr>
              <w:pStyle w:val="TableParagraph"/>
              <w:spacing w:before="17"/>
              <w:ind w:right="49"/>
              <w:jc w:val="right"/>
              <w:rPr>
                <w:sz w:val="24"/>
              </w:rPr>
            </w:pPr>
            <w:r>
              <w:rPr>
                <w:color w:val="231F20"/>
                <w:sz w:val="24"/>
              </w:rPr>
              <w:t>7</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7">
              <w:r>
                <w:rPr>
                  <w:color w:val="231F20"/>
                  <w:sz w:val="24"/>
                </w:rPr>
                <w:t>Long-term interest rates</w:t>
              </w:r>
            </w:hyperlink>
          </w:p>
        </w:tc>
        <w:tc>
          <w:tcPr>
            <w:tcW w:w="560" w:type="dxa"/>
          </w:tcPr>
          <w:p>
            <w:pPr>
              <w:pStyle w:val="TableParagraph"/>
              <w:spacing w:before="17"/>
              <w:ind w:right="49"/>
              <w:jc w:val="right"/>
              <w:rPr>
                <w:sz w:val="24"/>
              </w:rPr>
            </w:pPr>
            <w:r>
              <w:rPr>
                <w:color w:val="231F20"/>
                <w:sz w:val="24"/>
              </w:rPr>
              <w:t>9</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7">
              <w:r>
                <w:rPr>
                  <w:color w:val="231F20"/>
                  <w:sz w:val="24"/>
                </w:rPr>
                <w:t>Equity prices</w:t>
              </w:r>
            </w:hyperlink>
          </w:p>
        </w:tc>
        <w:tc>
          <w:tcPr>
            <w:tcW w:w="560" w:type="dxa"/>
          </w:tcPr>
          <w:p>
            <w:pPr>
              <w:pStyle w:val="TableParagraph"/>
              <w:spacing w:before="17"/>
              <w:ind w:right="49"/>
              <w:jc w:val="right"/>
              <w:rPr>
                <w:sz w:val="24"/>
              </w:rPr>
            </w:pPr>
            <w:r>
              <w:rPr>
                <w:color w:val="231F20"/>
                <w:sz w:val="24"/>
              </w:rPr>
              <w:t>9</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9">
              <w:r>
                <w:rPr>
                  <w:color w:val="231F20"/>
                  <w:sz w:val="24"/>
                </w:rPr>
                <w:t>Property prices</w:t>
              </w:r>
            </w:hyperlink>
          </w:p>
        </w:tc>
        <w:tc>
          <w:tcPr>
            <w:tcW w:w="560" w:type="dxa"/>
          </w:tcPr>
          <w:p>
            <w:pPr>
              <w:pStyle w:val="TableParagraph"/>
              <w:spacing w:before="17"/>
              <w:ind w:right="49"/>
              <w:jc w:val="right"/>
              <w:rPr>
                <w:sz w:val="24"/>
              </w:rPr>
            </w:pPr>
            <w:r>
              <w:rPr>
                <w:color w:val="231F20"/>
                <w:sz w:val="24"/>
              </w:rPr>
              <w:t>11</w:t>
            </w:r>
          </w:p>
        </w:tc>
      </w:tr>
      <w:tr>
        <w:trPr>
          <w:trHeight w:val="319" w:hRule="atLeast"/>
        </w:trPr>
        <w:tc>
          <w:tcPr>
            <w:tcW w:w="557" w:type="dxa"/>
          </w:tcPr>
          <w:p>
            <w:pPr>
              <w:pStyle w:val="TableParagraph"/>
              <w:rPr>
                <w:sz w:val="24"/>
              </w:rPr>
            </w:pPr>
          </w:p>
        </w:tc>
        <w:tc>
          <w:tcPr>
            <w:tcW w:w="3885" w:type="dxa"/>
          </w:tcPr>
          <w:p>
            <w:pPr>
              <w:pStyle w:val="TableParagraph"/>
              <w:spacing w:before="17"/>
              <w:ind w:left="353"/>
              <w:rPr>
                <w:sz w:val="24"/>
              </w:rPr>
            </w:pPr>
            <w:hyperlink w:history="true" w:anchor="_bookmark9">
              <w:r>
                <w:rPr>
                  <w:color w:val="231F20"/>
                  <w:sz w:val="24"/>
                </w:rPr>
                <w:t>Exchange rates</w:t>
              </w:r>
            </w:hyperlink>
          </w:p>
        </w:tc>
        <w:tc>
          <w:tcPr>
            <w:tcW w:w="560" w:type="dxa"/>
          </w:tcPr>
          <w:p>
            <w:pPr>
              <w:pStyle w:val="TableParagraph"/>
              <w:spacing w:before="17"/>
              <w:ind w:right="49"/>
              <w:jc w:val="right"/>
              <w:rPr>
                <w:sz w:val="24"/>
              </w:rPr>
            </w:pPr>
            <w:r>
              <w:rPr>
                <w:color w:val="231F20"/>
                <w:sz w:val="24"/>
              </w:rPr>
              <w:t>11</w:t>
            </w:r>
          </w:p>
        </w:tc>
      </w:tr>
      <w:tr>
        <w:trPr>
          <w:trHeight w:val="309" w:hRule="atLeast"/>
        </w:trPr>
        <w:tc>
          <w:tcPr>
            <w:tcW w:w="557" w:type="dxa"/>
          </w:tcPr>
          <w:p>
            <w:pPr>
              <w:pStyle w:val="TableParagraph"/>
              <w:spacing w:line="273" w:lineRule="exact" w:before="17"/>
              <w:ind w:left="50"/>
              <w:rPr>
                <w:b/>
                <w:sz w:val="24"/>
              </w:rPr>
            </w:pPr>
            <w:r>
              <w:rPr>
                <w:b/>
                <w:color w:val="231F20"/>
                <w:sz w:val="24"/>
              </w:rPr>
              <w:t>1.3</w:t>
            </w:r>
          </w:p>
        </w:tc>
        <w:tc>
          <w:tcPr>
            <w:tcW w:w="3885" w:type="dxa"/>
          </w:tcPr>
          <w:p>
            <w:pPr>
              <w:pStyle w:val="TableParagraph"/>
              <w:spacing w:line="273" w:lineRule="exact" w:before="17"/>
              <w:ind w:left="52"/>
              <w:rPr>
                <w:b/>
                <w:sz w:val="24"/>
              </w:rPr>
            </w:pPr>
            <w:hyperlink w:history="true" w:anchor="_bookmark10">
              <w:r>
                <w:rPr>
                  <w:b/>
                  <w:color w:val="231F20"/>
                  <w:sz w:val="24"/>
                </w:rPr>
                <w:t>Summary</w:t>
              </w:r>
            </w:hyperlink>
          </w:p>
        </w:tc>
        <w:tc>
          <w:tcPr>
            <w:tcW w:w="560" w:type="dxa"/>
          </w:tcPr>
          <w:p>
            <w:pPr>
              <w:pStyle w:val="TableParagraph"/>
              <w:spacing w:line="273" w:lineRule="exact" w:before="17"/>
              <w:ind w:right="49"/>
              <w:jc w:val="right"/>
              <w:rPr>
                <w:sz w:val="24"/>
              </w:rPr>
            </w:pPr>
            <w:r>
              <w:rPr>
                <w:color w:val="231F20"/>
                <w:sz w:val="24"/>
              </w:rPr>
              <w:t>12</w:t>
            </w:r>
          </w:p>
        </w:tc>
      </w:tr>
      <w:tr>
        <w:trPr>
          <w:trHeight w:val="282" w:hRule="atLeast"/>
        </w:trPr>
        <w:tc>
          <w:tcPr>
            <w:tcW w:w="557" w:type="dxa"/>
          </w:tcPr>
          <w:p>
            <w:pPr>
              <w:pStyle w:val="TableParagraph"/>
              <w:spacing w:line="256" w:lineRule="exact" w:before="7"/>
              <w:ind w:left="50"/>
              <w:rPr>
                <w:i/>
                <w:sz w:val="24"/>
              </w:rPr>
            </w:pPr>
            <w:hyperlink w:history="true" w:anchor="_bookmark8">
              <w:r>
                <w:rPr>
                  <w:i/>
                  <w:color w:val="231F20"/>
                  <w:sz w:val="24"/>
                </w:rPr>
                <w:t>Box:</w:t>
              </w:r>
            </w:hyperlink>
          </w:p>
        </w:tc>
        <w:tc>
          <w:tcPr>
            <w:tcW w:w="3885" w:type="dxa"/>
          </w:tcPr>
          <w:p>
            <w:pPr>
              <w:pStyle w:val="TableParagraph"/>
              <w:spacing w:line="256" w:lineRule="exact" w:before="7"/>
              <w:ind w:left="353"/>
              <w:rPr>
                <w:i/>
                <w:sz w:val="24"/>
              </w:rPr>
            </w:pPr>
            <w:hyperlink w:history="true" w:anchor="_bookmark8">
              <w:r>
                <w:rPr>
                  <w:i/>
                  <w:color w:val="231F20"/>
                  <w:sz w:val="24"/>
                </w:rPr>
                <w:t>High technology shares</w:t>
              </w:r>
            </w:hyperlink>
          </w:p>
        </w:tc>
        <w:tc>
          <w:tcPr>
            <w:tcW w:w="560" w:type="dxa"/>
          </w:tcPr>
          <w:p>
            <w:pPr>
              <w:pStyle w:val="TableParagraph"/>
              <w:spacing w:line="256" w:lineRule="exact" w:before="7"/>
              <w:ind w:right="49"/>
              <w:jc w:val="right"/>
              <w:rPr>
                <w:sz w:val="24"/>
              </w:rPr>
            </w:pPr>
            <w:r>
              <w:rPr>
                <w:color w:val="231F20"/>
                <w:sz w:val="24"/>
              </w:rPr>
              <w:t>10</w:t>
            </w:r>
          </w:p>
        </w:tc>
      </w:tr>
    </w:tbl>
    <w:p>
      <w:pPr>
        <w:pStyle w:val="BodyText"/>
        <w:spacing w:before="7"/>
        <w:rPr>
          <w:sz w:val="31"/>
        </w:rPr>
      </w:pPr>
    </w:p>
    <w:p>
      <w:pPr>
        <w:pStyle w:val="ListParagraph"/>
        <w:numPr>
          <w:ilvl w:val="0"/>
          <w:numId w:val="1"/>
        </w:numPr>
        <w:tabs>
          <w:tab w:pos="5389" w:val="left" w:leader="none"/>
          <w:tab w:pos="5390" w:val="left" w:leader="none"/>
          <w:tab w:pos="10049" w:val="left" w:leader="none"/>
        </w:tabs>
        <w:spacing w:line="240" w:lineRule="auto" w:before="0" w:after="55"/>
        <w:ind w:left="5389" w:right="0" w:hanging="381"/>
        <w:jc w:val="left"/>
        <w:rPr>
          <w:sz w:val="24"/>
        </w:rPr>
      </w:pPr>
      <w:hyperlink w:history="true" w:anchor="_bookmark11">
        <w:r>
          <w:rPr>
            <w:b/>
            <w:color w:val="0093C1"/>
            <w:sz w:val="24"/>
          </w:rPr>
          <w:t>Demand and output</w:t>
        </w:r>
      </w:hyperlink>
      <w:r>
        <w:rPr>
          <w:b/>
          <w:color w:val="0093C1"/>
          <w:sz w:val="24"/>
        </w:rPr>
        <w:tab/>
      </w:r>
      <w:r>
        <w:rPr>
          <w:sz w:val="24"/>
        </w:rPr>
        <w:t>13</w:t>
      </w:r>
    </w:p>
    <w:tbl>
      <w:tblPr>
        <w:tblW w:w="0" w:type="auto"/>
        <w:jc w:val="left"/>
        <w:tblInd w:w="5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6"/>
        <w:gridCol w:w="3719"/>
        <w:gridCol w:w="725"/>
      </w:tblGrid>
      <w:tr>
        <w:trPr>
          <w:trHeight w:val="292" w:hRule="atLeast"/>
        </w:trPr>
        <w:tc>
          <w:tcPr>
            <w:tcW w:w="556" w:type="dxa"/>
          </w:tcPr>
          <w:p>
            <w:pPr>
              <w:pStyle w:val="TableParagraph"/>
              <w:spacing w:line="266" w:lineRule="exact"/>
              <w:ind w:left="50"/>
              <w:rPr>
                <w:b/>
                <w:sz w:val="24"/>
              </w:rPr>
            </w:pPr>
            <w:r>
              <w:rPr>
                <w:b/>
                <w:sz w:val="24"/>
              </w:rPr>
              <w:t>2.1</w:t>
            </w:r>
          </w:p>
        </w:tc>
        <w:tc>
          <w:tcPr>
            <w:tcW w:w="3719" w:type="dxa"/>
          </w:tcPr>
          <w:p>
            <w:pPr>
              <w:pStyle w:val="TableParagraph"/>
              <w:spacing w:line="266" w:lineRule="exact"/>
              <w:ind w:left="53"/>
              <w:rPr>
                <w:b/>
                <w:sz w:val="24"/>
              </w:rPr>
            </w:pPr>
            <w:hyperlink w:history="true" w:anchor="_bookmark11">
              <w:r>
                <w:rPr>
                  <w:b/>
                  <w:sz w:val="24"/>
                </w:rPr>
                <w:t>External demand</w:t>
              </w:r>
            </w:hyperlink>
          </w:p>
        </w:tc>
        <w:tc>
          <w:tcPr>
            <w:tcW w:w="725" w:type="dxa"/>
          </w:tcPr>
          <w:p>
            <w:pPr>
              <w:pStyle w:val="TableParagraph"/>
              <w:spacing w:line="266" w:lineRule="exact"/>
              <w:ind w:right="49"/>
              <w:jc w:val="right"/>
              <w:rPr>
                <w:sz w:val="24"/>
              </w:rPr>
            </w:pPr>
            <w:r>
              <w:rPr>
                <w:sz w:val="24"/>
              </w:rPr>
              <w:t>13</w:t>
            </w:r>
          </w:p>
        </w:tc>
      </w:tr>
      <w:tr>
        <w:trPr>
          <w:trHeight w:val="319" w:hRule="atLeast"/>
        </w:trPr>
        <w:tc>
          <w:tcPr>
            <w:tcW w:w="556" w:type="dxa"/>
          </w:tcPr>
          <w:p>
            <w:pPr>
              <w:pStyle w:val="TableParagraph"/>
              <w:spacing w:before="17"/>
              <w:ind w:left="50"/>
              <w:rPr>
                <w:b/>
                <w:sz w:val="24"/>
              </w:rPr>
            </w:pPr>
            <w:r>
              <w:rPr>
                <w:b/>
                <w:sz w:val="24"/>
              </w:rPr>
              <w:t>2.2</w:t>
            </w:r>
          </w:p>
        </w:tc>
        <w:tc>
          <w:tcPr>
            <w:tcW w:w="3719" w:type="dxa"/>
          </w:tcPr>
          <w:p>
            <w:pPr>
              <w:pStyle w:val="TableParagraph"/>
              <w:spacing w:before="17"/>
              <w:ind w:left="53"/>
              <w:rPr>
                <w:b/>
                <w:sz w:val="24"/>
              </w:rPr>
            </w:pPr>
            <w:hyperlink w:history="true" w:anchor="_bookmark12">
              <w:r>
                <w:rPr>
                  <w:b/>
                  <w:sz w:val="24"/>
                </w:rPr>
                <w:t>Domestic demand</w:t>
              </w:r>
            </w:hyperlink>
          </w:p>
        </w:tc>
        <w:tc>
          <w:tcPr>
            <w:tcW w:w="725" w:type="dxa"/>
          </w:tcPr>
          <w:p>
            <w:pPr>
              <w:pStyle w:val="TableParagraph"/>
              <w:spacing w:before="17"/>
              <w:ind w:right="49"/>
              <w:jc w:val="right"/>
              <w:rPr>
                <w:sz w:val="24"/>
              </w:rPr>
            </w:pPr>
            <w:r>
              <w:rPr>
                <w:sz w:val="24"/>
              </w:rPr>
              <w:t>15</w:t>
            </w:r>
          </w:p>
        </w:tc>
      </w:tr>
      <w:tr>
        <w:trPr>
          <w:trHeight w:val="319" w:hRule="atLeast"/>
        </w:trPr>
        <w:tc>
          <w:tcPr>
            <w:tcW w:w="556" w:type="dxa"/>
          </w:tcPr>
          <w:p>
            <w:pPr>
              <w:pStyle w:val="TableParagraph"/>
              <w:rPr>
                <w:sz w:val="24"/>
              </w:rPr>
            </w:pPr>
          </w:p>
        </w:tc>
        <w:tc>
          <w:tcPr>
            <w:tcW w:w="3719" w:type="dxa"/>
          </w:tcPr>
          <w:p>
            <w:pPr>
              <w:pStyle w:val="TableParagraph"/>
              <w:spacing w:before="17"/>
              <w:ind w:left="354"/>
              <w:rPr>
                <w:sz w:val="24"/>
              </w:rPr>
            </w:pPr>
            <w:hyperlink w:history="true" w:anchor="_bookmark12">
              <w:r>
                <w:rPr>
                  <w:sz w:val="24"/>
                </w:rPr>
                <w:t>Consumption</w:t>
              </w:r>
            </w:hyperlink>
          </w:p>
        </w:tc>
        <w:tc>
          <w:tcPr>
            <w:tcW w:w="725" w:type="dxa"/>
          </w:tcPr>
          <w:p>
            <w:pPr>
              <w:pStyle w:val="TableParagraph"/>
              <w:spacing w:before="17"/>
              <w:ind w:right="47"/>
              <w:jc w:val="right"/>
              <w:rPr>
                <w:sz w:val="24"/>
              </w:rPr>
            </w:pPr>
            <w:r>
              <w:rPr>
                <w:sz w:val="24"/>
              </w:rPr>
              <w:t>15</w:t>
            </w:r>
          </w:p>
        </w:tc>
      </w:tr>
      <w:tr>
        <w:trPr>
          <w:trHeight w:val="319" w:hRule="atLeast"/>
        </w:trPr>
        <w:tc>
          <w:tcPr>
            <w:tcW w:w="556" w:type="dxa"/>
          </w:tcPr>
          <w:p>
            <w:pPr>
              <w:pStyle w:val="TableParagraph"/>
              <w:rPr>
                <w:sz w:val="24"/>
              </w:rPr>
            </w:pPr>
          </w:p>
        </w:tc>
        <w:tc>
          <w:tcPr>
            <w:tcW w:w="3719" w:type="dxa"/>
          </w:tcPr>
          <w:p>
            <w:pPr>
              <w:pStyle w:val="TableParagraph"/>
              <w:spacing w:before="17"/>
              <w:ind w:left="354"/>
              <w:rPr>
                <w:sz w:val="24"/>
              </w:rPr>
            </w:pPr>
            <w:hyperlink w:history="true" w:anchor="_bookmark14">
              <w:r>
                <w:rPr>
                  <w:sz w:val="24"/>
                </w:rPr>
                <w:t>Investment demand</w:t>
              </w:r>
            </w:hyperlink>
          </w:p>
        </w:tc>
        <w:tc>
          <w:tcPr>
            <w:tcW w:w="725" w:type="dxa"/>
          </w:tcPr>
          <w:p>
            <w:pPr>
              <w:pStyle w:val="TableParagraph"/>
              <w:spacing w:before="17"/>
              <w:ind w:right="47"/>
              <w:jc w:val="right"/>
              <w:rPr>
                <w:sz w:val="24"/>
              </w:rPr>
            </w:pPr>
            <w:r>
              <w:rPr>
                <w:sz w:val="24"/>
              </w:rPr>
              <w:t>19</w:t>
            </w:r>
          </w:p>
        </w:tc>
      </w:tr>
      <w:tr>
        <w:trPr>
          <w:trHeight w:val="319" w:hRule="atLeast"/>
        </w:trPr>
        <w:tc>
          <w:tcPr>
            <w:tcW w:w="556" w:type="dxa"/>
          </w:tcPr>
          <w:p>
            <w:pPr>
              <w:pStyle w:val="TableParagraph"/>
              <w:rPr>
                <w:sz w:val="24"/>
              </w:rPr>
            </w:pPr>
          </w:p>
        </w:tc>
        <w:tc>
          <w:tcPr>
            <w:tcW w:w="3719" w:type="dxa"/>
          </w:tcPr>
          <w:p>
            <w:pPr>
              <w:pStyle w:val="TableParagraph"/>
              <w:spacing w:before="17"/>
              <w:ind w:left="354"/>
              <w:rPr>
                <w:sz w:val="24"/>
              </w:rPr>
            </w:pPr>
            <w:hyperlink w:history="true" w:anchor="_bookmark15">
              <w:r>
                <w:rPr>
                  <w:sz w:val="24"/>
                </w:rPr>
                <w:t>Inventories</w:t>
              </w:r>
            </w:hyperlink>
          </w:p>
        </w:tc>
        <w:tc>
          <w:tcPr>
            <w:tcW w:w="725" w:type="dxa"/>
          </w:tcPr>
          <w:p>
            <w:pPr>
              <w:pStyle w:val="TableParagraph"/>
              <w:spacing w:before="17"/>
              <w:ind w:right="47"/>
              <w:jc w:val="right"/>
              <w:rPr>
                <w:sz w:val="24"/>
              </w:rPr>
            </w:pPr>
            <w:r>
              <w:rPr>
                <w:sz w:val="24"/>
              </w:rPr>
              <w:t>21</w:t>
            </w:r>
          </w:p>
        </w:tc>
      </w:tr>
      <w:tr>
        <w:trPr>
          <w:trHeight w:val="309" w:hRule="atLeast"/>
        </w:trPr>
        <w:tc>
          <w:tcPr>
            <w:tcW w:w="556" w:type="dxa"/>
          </w:tcPr>
          <w:p>
            <w:pPr>
              <w:pStyle w:val="TableParagraph"/>
              <w:rPr>
                <w:sz w:val="22"/>
              </w:rPr>
            </w:pPr>
          </w:p>
        </w:tc>
        <w:tc>
          <w:tcPr>
            <w:tcW w:w="3719" w:type="dxa"/>
          </w:tcPr>
          <w:p>
            <w:pPr>
              <w:pStyle w:val="TableParagraph"/>
              <w:spacing w:line="273" w:lineRule="exact" w:before="17"/>
              <w:ind w:left="354"/>
              <w:rPr>
                <w:sz w:val="24"/>
              </w:rPr>
            </w:pPr>
            <w:hyperlink w:history="true" w:anchor="_bookmark15">
              <w:r>
                <w:rPr>
                  <w:sz w:val="24"/>
                </w:rPr>
                <w:t>Public sector demand</w:t>
              </w:r>
            </w:hyperlink>
          </w:p>
        </w:tc>
        <w:tc>
          <w:tcPr>
            <w:tcW w:w="725" w:type="dxa"/>
          </w:tcPr>
          <w:p>
            <w:pPr>
              <w:pStyle w:val="TableParagraph"/>
              <w:spacing w:line="273" w:lineRule="exact" w:before="17"/>
              <w:ind w:right="47"/>
              <w:jc w:val="right"/>
              <w:rPr>
                <w:sz w:val="24"/>
              </w:rPr>
            </w:pPr>
            <w:r>
              <w:rPr>
                <w:sz w:val="24"/>
              </w:rPr>
              <w:t>21</w:t>
            </w:r>
          </w:p>
        </w:tc>
      </w:tr>
      <w:tr>
        <w:trPr>
          <w:trHeight w:val="300" w:hRule="atLeast"/>
        </w:trPr>
        <w:tc>
          <w:tcPr>
            <w:tcW w:w="556" w:type="dxa"/>
          </w:tcPr>
          <w:p>
            <w:pPr>
              <w:pStyle w:val="TableParagraph"/>
              <w:spacing w:line="273" w:lineRule="exact" w:before="7"/>
              <w:ind w:left="50"/>
              <w:rPr>
                <w:b/>
                <w:sz w:val="24"/>
              </w:rPr>
            </w:pPr>
            <w:r>
              <w:rPr>
                <w:b/>
                <w:sz w:val="24"/>
              </w:rPr>
              <w:t>2.3</w:t>
            </w:r>
          </w:p>
        </w:tc>
        <w:tc>
          <w:tcPr>
            <w:tcW w:w="3719" w:type="dxa"/>
          </w:tcPr>
          <w:p>
            <w:pPr>
              <w:pStyle w:val="TableParagraph"/>
              <w:spacing w:line="273" w:lineRule="exact" w:before="7"/>
              <w:ind w:left="53"/>
              <w:rPr>
                <w:b/>
                <w:sz w:val="24"/>
              </w:rPr>
            </w:pPr>
            <w:hyperlink w:history="true" w:anchor="_bookmark16">
              <w:r>
                <w:rPr>
                  <w:b/>
                  <w:sz w:val="24"/>
                </w:rPr>
                <w:t>Output</w:t>
              </w:r>
            </w:hyperlink>
          </w:p>
        </w:tc>
        <w:tc>
          <w:tcPr>
            <w:tcW w:w="725" w:type="dxa"/>
          </w:tcPr>
          <w:p>
            <w:pPr>
              <w:pStyle w:val="TableParagraph"/>
              <w:spacing w:line="273" w:lineRule="exact" w:before="7"/>
              <w:ind w:right="47"/>
              <w:jc w:val="right"/>
              <w:rPr>
                <w:sz w:val="24"/>
              </w:rPr>
            </w:pPr>
            <w:r>
              <w:rPr>
                <w:sz w:val="24"/>
              </w:rPr>
              <w:t>22</w:t>
            </w:r>
          </w:p>
        </w:tc>
      </w:tr>
      <w:tr>
        <w:trPr>
          <w:trHeight w:val="882" w:hRule="atLeast"/>
        </w:trPr>
        <w:tc>
          <w:tcPr>
            <w:tcW w:w="556" w:type="dxa"/>
          </w:tcPr>
          <w:p>
            <w:pPr>
              <w:pStyle w:val="TableParagraph"/>
              <w:spacing w:before="7"/>
              <w:ind w:left="50"/>
              <w:rPr>
                <w:b/>
                <w:sz w:val="24"/>
              </w:rPr>
            </w:pPr>
            <w:r>
              <w:rPr>
                <w:b/>
                <w:sz w:val="24"/>
              </w:rPr>
              <w:t>2.4</w:t>
            </w:r>
          </w:p>
          <w:p>
            <w:pPr>
              <w:pStyle w:val="TableParagraph"/>
              <w:spacing w:before="24"/>
              <w:ind w:left="50"/>
              <w:rPr>
                <w:i/>
                <w:sz w:val="24"/>
              </w:rPr>
            </w:pPr>
            <w:hyperlink w:history="true" w:anchor="_bookmark13">
              <w:r>
                <w:rPr>
                  <w:i/>
                  <w:sz w:val="24"/>
                </w:rPr>
                <w:t>Box:</w:t>
              </w:r>
            </w:hyperlink>
          </w:p>
        </w:tc>
        <w:tc>
          <w:tcPr>
            <w:tcW w:w="3719" w:type="dxa"/>
          </w:tcPr>
          <w:p>
            <w:pPr>
              <w:pStyle w:val="TableParagraph"/>
              <w:spacing w:before="7"/>
              <w:ind w:left="53"/>
              <w:rPr>
                <w:b/>
                <w:sz w:val="24"/>
              </w:rPr>
            </w:pPr>
            <w:hyperlink w:history="true" w:anchor="_bookmark17">
              <w:r>
                <w:rPr>
                  <w:b/>
                  <w:sz w:val="24"/>
                </w:rPr>
                <w:t>Summary</w:t>
              </w:r>
            </w:hyperlink>
          </w:p>
          <w:p>
            <w:pPr>
              <w:pStyle w:val="TableParagraph"/>
              <w:spacing w:line="300" w:lineRule="atLeast"/>
              <w:ind w:left="474" w:right="411" w:hanging="120"/>
              <w:rPr>
                <w:i/>
                <w:sz w:val="24"/>
              </w:rPr>
            </w:pPr>
            <w:hyperlink w:history="true" w:anchor="_bookmark13">
              <w:r>
                <w:rPr>
                  <w:i/>
                  <w:sz w:val="24"/>
                </w:rPr>
                <w:t>Consumer spending on cars in </w:t>
              </w:r>
              <w:r>
                <w:rPr>
                  <w:i/>
                  <w:sz w:val="24"/>
                </w:rPr>
                <w:t>the United Kingdom</w:t>
              </w:r>
            </w:hyperlink>
          </w:p>
        </w:tc>
        <w:tc>
          <w:tcPr>
            <w:tcW w:w="725" w:type="dxa"/>
          </w:tcPr>
          <w:p>
            <w:pPr>
              <w:pStyle w:val="TableParagraph"/>
              <w:spacing w:before="7"/>
              <w:ind w:left="435"/>
              <w:rPr>
                <w:sz w:val="24"/>
              </w:rPr>
            </w:pPr>
            <w:r>
              <w:rPr>
                <w:sz w:val="24"/>
              </w:rPr>
              <w:t>24</w:t>
            </w:r>
          </w:p>
          <w:p>
            <w:pPr>
              <w:pStyle w:val="TableParagraph"/>
              <w:spacing w:before="1"/>
              <w:rPr>
                <w:sz w:val="28"/>
              </w:rPr>
            </w:pPr>
          </w:p>
          <w:p>
            <w:pPr>
              <w:pStyle w:val="TableParagraph"/>
              <w:spacing w:line="256" w:lineRule="exact" w:before="1"/>
              <w:ind w:left="435"/>
              <w:rPr>
                <w:sz w:val="24"/>
              </w:rPr>
            </w:pPr>
            <w:r>
              <w:rPr>
                <w:sz w:val="24"/>
              </w:rPr>
              <w:t>16</w:t>
            </w:r>
          </w:p>
        </w:tc>
      </w:tr>
    </w:tbl>
    <w:p>
      <w:pPr>
        <w:pStyle w:val="BodyText"/>
        <w:spacing w:before="2"/>
        <w:rPr>
          <w:sz w:val="28"/>
        </w:rPr>
      </w:pPr>
    </w:p>
    <w:p>
      <w:pPr>
        <w:spacing w:after="0"/>
        <w:rPr>
          <w:sz w:val="28"/>
        </w:rPr>
        <w:sectPr>
          <w:headerReference w:type="even" r:id="rId13"/>
          <w:footerReference w:type="even" r:id="rId14"/>
          <w:pgSz w:w="11900" w:h="16840"/>
          <w:pgMar w:header="0" w:footer="0" w:top="1200" w:bottom="1170" w:left="620" w:right="640"/>
        </w:sectPr>
      </w:pPr>
    </w:p>
    <w:sdt>
      <w:sdtPr>
        <w:docPartObj>
          <w:docPartGallery w:val="Table of Contents"/>
          <w:docPartUnique/>
        </w:docPartObj>
      </w:sdtPr>
      <w:sdtEndPr/>
      <w:sdtContent>
        <w:p>
          <w:pPr>
            <w:pStyle w:val="TOC1"/>
            <w:numPr>
              <w:ilvl w:val="0"/>
              <w:numId w:val="1"/>
            </w:numPr>
            <w:tabs>
              <w:tab w:pos="5389" w:val="left" w:leader="none"/>
              <w:tab w:pos="5390" w:val="left" w:leader="none"/>
              <w:tab w:pos="10049" w:val="left" w:leader="none"/>
            </w:tabs>
            <w:spacing w:line="240" w:lineRule="auto" w:before="0" w:after="0"/>
            <w:ind w:left="5389" w:right="0" w:hanging="381"/>
            <w:jc w:val="left"/>
            <w:rPr>
              <w:b w:val="0"/>
            </w:rPr>
          </w:pPr>
          <w:hyperlink w:history="true" w:anchor="_bookmark18">
            <w:r>
              <w:rPr>
                <w:color w:val="0093C1"/>
              </w:rPr>
              <w:t>The</w:t>
            </w:r>
            <w:r>
              <w:rPr>
                <w:color w:val="0093C1"/>
                <w:spacing w:val="-1"/>
              </w:rPr>
              <w:t> </w:t>
            </w:r>
            <w:r>
              <w:rPr>
                <w:color w:val="0093C1"/>
              </w:rPr>
              <w:t>labour</w:t>
            </w:r>
            <w:r>
              <w:rPr>
                <w:color w:val="0093C1"/>
                <w:spacing w:val="-1"/>
              </w:rPr>
              <w:t> </w:t>
            </w:r>
            <w:r>
              <w:rPr>
                <w:color w:val="0093C1"/>
              </w:rPr>
              <w:t>market</w:t>
            </w:r>
          </w:hyperlink>
          <w:r>
            <w:rPr>
              <w:color w:val="0093C1"/>
            </w:rPr>
            <w:tab/>
          </w:r>
          <w:r>
            <w:rPr>
              <w:b w:val="0"/>
            </w:rPr>
            <w:t>25</w:t>
          </w:r>
        </w:p>
        <w:p>
          <w:pPr>
            <w:pStyle w:val="TOC3"/>
            <w:numPr>
              <w:ilvl w:val="1"/>
              <w:numId w:val="1"/>
            </w:numPr>
            <w:tabs>
              <w:tab w:pos="5949" w:val="left" w:leader="none"/>
              <w:tab w:pos="5950" w:val="left" w:leader="none"/>
              <w:tab w:pos="10049" w:val="left" w:leader="none"/>
            </w:tabs>
            <w:spacing w:line="278" w:lineRule="auto" w:before="44" w:after="0"/>
            <w:ind w:left="5949" w:right="348" w:hanging="560"/>
            <w:jc w:val="left"/>
            <w:rPr>
              <w:b w:val="0"/>
            </w:rPr>
          </w:pPr>
          <w:hyperlink w:history="true" w:anchor="_bookmark18">
            <w:r>
              <w:rPr/>
              <w:t>Employment, non-employment and labour</w:t>
            </w:r>
            <w:r>
              <w:rPr>
                <w:spacing w:val="-1"/>
              </w:rPr>
              <w:t> </w:t>
            </w:r>
            <w:r>
              <w:rPr/>
              <w:t>market</w:t>
            </w:r>
            <w:r>
              <w:rPr>
                <w:spacing w:val="-1"/>
              </w:rPr>
              <w:t> </w:t>
            </w:r>
            <w:r>
              <w:rPr/>
              <w:t>tightness</w:t>
            </w:r>
          </w:hyperlink>
          <w:r>
            <w:rPr/>
            <w:tab/>
          </w:r>
          <w:r>
            <w:rPr>
              <w:b w:val="0"/>
              <w:spacing w:val="-9"/>
            </w:rPr>
            <w:t>25</w:t>
          </w:r>
        </w:p>
        <w:p>
          <w:pPr>
            <w:pStyle w:val="TOC3"/>
            <w:numPr>
              <w:ilvl w:val="1"/>
              <w:numId w:val="1"/>
            </w:numPr>
            <w:tabs>
              <w:tab w:pos="5949" w:val="left" w:leader="none"/>
              <w:tab w:pos="5950" w:val="left" w:leader="none"/>
              <w:tab w:pos="10049" w:val="left" w:leader="none"/>
            </w:tabs>
            <w:spacing w:line="276" w:lineRule="exact" w:before="0" w:after="0"/>
            <w:ind w:left="5949" w:right="0" w:hanging="561"/>
            <w:jc w:val="left"/>
            <w:rPr>
              <w:b w:val="0"/>
            </w:rPr>
          </w:pPr>
          <w:hyperlink w:history="true" w:anchor="_bookmark19">
            <w:r>
              <w:rPr/>
              <w:t>Earnings</w:t>
            </w:r>
            <w:r>
              <w:rPr>
                <w:spacing w:val="-1"/>
              </w:rPr>
              <w:t> </w:t>
            </w:r>
            <w:r>
              <w:rPr/>
              <w:t>and</w:t>
            </w:r>
            <w:r>
              <w:rPr>
                <w:spacing w:val="-1"/>
              </w:rPr>
              <w:t> </w:t>
            </w:r>
            <w:r>
              <w:rPr/>
              <w:t>settlements</w:t>
            </w:r>
          </w:hyperlink>
          <w:r>
            <w:rPr/>
            <w:tab/>
          </w:r>
          <w:r>
            <w:rPr>
              <w:b w:val="0"/>
            </w:rPr>
            <w:t>30</w:t>
          </w:r>
        </w:p>
        <w:p>
          <w:pPr>
            <w:pStyle w:val="TOC3"/>
            <w:numPr>
              <w:ilvl w:val="1"/>
              <w:numId w:val="1"/>
            </w:numPr>
            <w:tabs>
              <w:tab w:pos="5949" w:val="left" w:leader="none"/>
              <w:tab w:pos="5950" w:val="left" w:leader="none"/>
              <w:tab w:pos="10049" w:val="left" w:leader="none"/>
            </w:tabs>
            <w:spacing w:line="240" w:lineRule="auto" w:before="44" w:after="0"/>
            <w:ind w:left="5949" w:right="0" w:hanging="561"/>
            <w:jc w:val="left"/>
            <w:rPr>
              <w:b w:val="0"/>
            </w:rPr>
          </w:pPr>
          <w:hyperlink w:history="true" w:anchor="_bookmark20">
            <w:r>
              <w:rPr/>
              <w:t>Summary</w:t>
            </w:r>
          </w:hyperlink>
          <w:r>
            <w:rPr/>
            <w:tab/>
          </w:r>
          <w:r>
            <w:rPr>
              <w:b w:val="0"/>
            </w:rPr>
            <w:t>32</w:t>
          </w:r>
        </w:p>
        <w:p>
          <w:pPr>
            <w:pStyle w:val="TOC1"/>
            <w:numPr>
              <w:ilvl w:val="0"/>
              <w:numId w:val="1"/>
            </w:numPr>
            <w:tabs>
              <w:tab w:pos="5389" w:val="left" w:leader="none"/>
              <w:tab w:pos="5390" w:val="left" w:leader="none"/>
              <w:tab w:pos="10049" w:val="left" w:leader="none"/>
            </w:tabs>
            <w:spacing w:line="240" w:lineRule="auto" w:before="364" w:after="0"/>
            <w:ind w:left="5389" w:right="0" w:hanging="381"/>
            <w:jc w:val="left"/>
            <w:rPr>
              <w:b w:val="0"/>
            </w:rPr>
          </w:pPr>
          <w:hyperlink w:history="true" w:anchor="_bookmark21">
            <w:r>
              <w:rPr>
                <w:color w:val="0093C1"/>
              </w:rPr>
              <w:t>Costs and prices</w:t>
            </w:r>
          </w:hyperlink>
          <w:r>
            <w:rPr>
              <w:color w:val="0093C1"/>
            </w:rPr>
            <w:tab/>
          </w:r>
          <w:r>
            <w:rPr>
              <w:b w:val="0"/>
            </w:rPr>
            <w:t>33</w:t>
          </w:r>
        </w:p>
        <w:p>
          <w:pPr>
            <w:pStyle w:val="TOC3"/>
            <w:numPr>
              <w:ilvl w:val="1"/>
              <w:numId w:val="1"/>
            </w:numPr>
            <w:tabs>
              <w:tab w:pos="5949" w:val="left" w:leader="none"/>
              <w:tab w:pos="5950" w:val="left" w:leader="none"/>
              <w:tab w:pos="10049" w:val="left" w:leader="none"/>
            </w:tabs>
            <w:spacing w:line="240" w:lineRule="auto" w:before="44" w:after="0"/>
            <w:ind w:left="5949" w:right="0" w:hanging="561"/>
            <w:jc w:val="left"/>
            <w:rPr>
              <w:b w:val="0"/>
            </w:rPr>
          </w:pPr>
          <w:hyperlink w:history="true" w:anchor="_bookmark21">
            <w:r>
              <w:rPr/>
              <w:t>Raw materials and commodity prices</w:t>
            </w:r>
          </w:hyperlink>
          <w:r>
            <w:rPr/>
            <w:tab/>
          </w:r>
          <w:r>
            <w:rPr>
              <w:b w:val="0"/>
            </w:rPr>
            <w:t>33</w:t>
          </w:r>
        </w:p>
        <w:p>
          <w:pPr>
            <w:pStyle w:val="TOC3"/>
            <w:numPr>
              <w:ilvl w:val="1"/>
              <w:numId w:val="1"/>
            </w:numPr>
            <w:tabs>
              <w:tab w:pos="5949" w:val="left" w:leader="none"/>
              <w:tab w:pos="5950" w:val="left" w:leader="none"/>
              <w:tab w:pos="10049" w:val="left" w:leader="none"/>
            </w:tabs>
            <w:spacing w:line="240" w:lineRule="auto" w:before="44" w:after="0"/>
            <w:ind w:left="5949" w:right="0" w:hanging="561"/>
            <w:jc w:val="left"/>
            <w:rPr>
              <w:b w:val="0"/>
            </w:rPr>
          </w:pPr>
          <w:hyperlink w:history="true" w:anchor="_bookmark22">
            <w:r>
              <w:rPr/>
              <w:t>Import prices and the exchange rate</w:t>
            </w:r>
          </w:hyperlink>
          <w:r>
            <w:rPr/>
            <w:tab/>
          </w:r>
          <w:r>
            <w:rPr>
              <w:b w:val="0"/>
            </w:rPr>
            <w:t>34</w:t>
          </w:r>
        </w:p>
        <w:p>
          <w:pPr>
            <w:pStyle w:val="TOC3"/>
            <w:numPr>
              <w:ilvl w:val="1"/>
              <w:numId w:val="1"/>
            </w:numPr>
            <w:tabs>
              <w:tab w:pos="5949" w:val="left" w:leader="none"/>
              <w:tab w:pos="5950" w:val="left" w:leader="none"/>
              <w:tab w:pos="10049" w:val="left" w:leader="none"/>
            </w:tabs>
            <w:spacing w:line="240" w:lineRule="auto" w:before="44" w:after="0"/>
            <w:ind w:left="5949" w:right="0" w:hanging="561"/>
            <w:jc w:val="left"/>
            <w:rPr>
              <w:b w:val="0"/>
            </w:rPr>
          </w:pPr>
          <w:hyperlink w:history="true" w:anchor="_bookmark23">
            <w:r>
              <w:rPr/>
              <w:t>Costs and prices in manufacturing</w:t>
            </w:r>
          </w:hyperlink>
          <w:r>
            <w:rPr/>
            <w:tab/>
          </w:r>
          <w:r>
            <w:rPr>
              <w:b w:val="0"/>
            </w:rPr>
            <w:t>35</w:t>
          </w:r>
        </w:p>
        <w:p>
          <w:pPr>
            <w:pStyle w:val="TOC3"/>
            <w:numPr>
              <w:ilvl w:val="1"/>
              <w:numId w:val="1"/>
            </w:numPr>
            <w:tabs>
              <w:tab w:pos="5949" w:val="left" w:leader="none"/>
              <w:tab w:pos="5950" w:val="left" w:leader="none"/>
              <w:tab w:pos="10049" w:val="left" w:leader="none"/>
            </w:tabs>
            <w:spacing w:line="240" w:lineRule="auto" w:before="44" w:after="0"/>
            <w:ind w:left="5949" w:right="0" w:hanging="561"/>
            <w:jc w:val="left"/>
            <w:rPr>
              <w:b w:val="0"/>
            </w:rPr>
          </w:pPr>
          <w:hyperlink w:history="true" w:anchor="_bookmark24">
            <w:r>
              <w:rPr/>
              <w:t>Costs and prices in the</w:t>
            </w:r>
            <w:r>
              <w:rPr>
                <w:spacing w:val="-2"/>
              </w:rPr>
              <w:t> </w:t>
            </w:r>
            <w:r>
              <w:rPr/>
              <w:t>service</w:t>
            </w:r>
            <w:r>
              <w:rPr>
                <w:spacing w:val="-1"/>
              </w:rPr>
              <w:t> </w:t>
            </w:r>
            <w:r>
              <w:rPr/>
              <w:t>sector</w:t>
            </w:r>
          </w:hyperlink>
          <w:r>
            <w:rPr/>
            <w:tab/>
          </w:r>
          <w:r>
            <w:rPr>
              <w:b w:val="0"/>
            </w:rPr>
            <w:t>36</w:t>
          </w:r>
        </w:p>
        <w:p>
          <w:pPr>
            <w:pStyle w:val="TOC3"/>
            <w:numPr>
              <w:ilvl w:val="1"/>
              <w:numId w:val="1"/>
            </w:numPr>
            <w:tabs>
              <w:tab w:pos="5949" w:val="left" w:leader="none"/>
              <w:tab w:pos="5950" w:val="left" w:leader="none"/>
              <w:tab w:pos="10049" w:val="left" w:leader="none"/>
            </w:tabs>
            <w:spacing w:line="240" w:lineRule="auto" w:before="44" w:after="0"/>
            <w:ind w:left="5949" w:right="0" w:hanging="561"/>
            <w:jc w:val="left"/>
            <w:rPr>
              <w:b w:val="0"/>
            </w:rPr>
          </w:pPr>
          <w:hyperlink w:history="true" w:anchor="_bookmark24">
            <w:r>
              <w:rPr/>
              <w:t>Retail prices</w:t>
            </w:r>
          </w:hyperlink>
          <w:r>
            <w:rPr/>
            <w:tab/>
          </w:r>
          <w:r>
            <w:rPr>
              <w:b w:val="0"/>
            </w:rPr>
            <w:t>36</w:t>
          </w:r>
        </w:p>
        <w:p>
          <w:pPr>
            <w:pStyle w:val="TOC3"/>
            <w:numPr>
              <w:ilvl w:val="1"/>
              <w:numId w:val="1"/>
            </w:numPr>
            <w:tabs>
              <w:tab w:pos="5949" w:val="left" w:leader="none"/>
              <w:tab w:pos="5950" w:val="left" w:leader="none"/>
              <w:tab w:pos="10049" w:val="left" w:leader="none"/>
            </w:tabs>
            <w:spacing w:line="240" w:lineRule="auto" w:before="44" w:after="0"/>
            <w:ind w:left="5949" w:right="0" w:hanging="561"/>
            <w:jc w:val="left"/>
            <w:rPr>
              <w:b w:val="0"/>
            </w:rPr>
          </w:pPr>
          <w:hyperlink w:history="true" w:anchor="_bookmark25">
            <w:r>
              <w:rPr/>
              <w:t>Other price indices</w:t>
            </w:r>
          </w:hyperlink>
          <w:r>
            <w:rPr/>
            <w:tab/>
          </w:r>
          <w:r>
            <w:rPr>
              <w:b w:val="0"/>
            </w:rPr>
            <w:t>38</w:t>
          </w:r>
        </w:p>
        <w:p>
          <w:pPr>
            <w:pStyle w:val="TOC3"/>
            <w:numPr>
              <w:ilvl w:val="1"/>
              <w:numId w:val="1"/>
            </w:numPr>
            <w:tabs>
              <w:tab w:pos="5949" w:val="left" w:leader="none"/>
              <w:tab w:pos="5950" w:val="left" w:leader="none"/>
              <w:tab w:pos="10049" w:val="left" w:leader="none"/>
            </w:tabs>
            <w:spacing w:line="240" w:lineRule="auto" w:before="44" w:after="220"/>
            <w:ind w:left="5949" w:right="0" w:hanging="561"/>
            <w:jc w:val="left"/>
            <w:rPr>
              <w:b w:val="0"/>
            </w:rPr>
          </w:pPr>
          <w:hyperlink w:history="true" w:anchor="_bookmark26">
            <w:r>
              <w:rPr/>
              <w:t>Summary</w:t>
            </w:r>
          </w:hyperlink>
          <w:r>
            <w:rPr/>
            <w:tab/>
          </w:r>
          <w:r>
            <w:rPr>
              <w:b w:val="0"/>
            </w:rPr>
            <w:t>39</w:t>
          </w:r>
        </w:p>
        <w:p>
          <w:pPr>
            <w:pStyle w:val="TOC2"/>
            <w:numPr>
              <w:ilvl w:val="0"/>
              <w:numId w:val="1"/>
            </w:numPr>
            <w:tabs>
              <w:tab w:pos="5379" w:val="left" w:leader="none"/>
              <w:tab w:pos="5380" w:val="left" w:leader="none"/>
            </w:tabs>
            <w:spacing w:line="240" w:lineRule="auto" w:before="73" w:after="0"/>
            <w:ind w:left="5379" w:right="0" w:hanging="380"/>
            <w:jc w:val="left"/>
            <w:rPr>
              <w:b w:val="0"/>
              <w:i w:val="0"/>
              <w:sz w:val="24"/>
            </w:rPr>
          </w:pPr>
          <w:hyperlink w:history="true" w:anchor="_bookmark27">
            <w:r>
              <w:rPr>
                <w:i w:val="0"/>
                <w:color w:val="0093C1"/>
                <w:sz w:val="24"/>
              </w:rPr>
              <w:t>Monetary policy since the November </w:t>
            </w:r>
            <w:r>
              <w:rPr>
                <w:i/>
                <w:color w:val="0093C1"/>
                <w:sz w:val="24"/>
              </w:rPr>
              <w:t>Report</w:t>
            </w:r>
          </w:hyperlink>
          <w:r>
            <w:rPr>
              <w:i/>
              <w:color w:val="0093C1"/>
              <w:sz w:val="24"/>
            </w:rPr>
            <w:t> </w:t>
          </w:r>
          <w:r>
            <w:rPr>
              <w:i/>
              <w:color w:val="0093C1"/>
              <w:spacing w:val="52"/>
              <w:sz w:val="24"/>
            </w:rPr>
            <w:t> </w:t>
          </w:r>
          <w:r>
            <w:rPr>
              <w:b w:val="0"/>
              <w:i w:val="0"/>
              <w:sz w:val="24"/>
            </w:rPr>
            <w:t>40</w:t>
          </w:r>
        </w:p>
        <w:p>
          <w:pPr>
            <w:pStyle w:val="TOC1"/>
            <w:numPr>
              <w:ilvl w:val="0"/>
              <w:numId w:val="1"/>
            </w:numPr>
            <w:tabs>
              <w:tab w:pos="5379" w:val="left" w:leader="none"/>
              <w:tab w:pos="5380" w:val="left" w:leader="none"/>
              <w:tab w:pos="10039" w:val="left" w:leader="none"/>
            </w:tabs>
            <w:spacing w:line="240" w:lineRule="auto" w:before="364" w:after="0"/>
            <w:ind w:left="5379" w:right="0" w:hanging="380"/>
            <w:jc w:val="left"/>
            <w:rPr>
              <w:b w:val="0"/>
            </w:rPr>
          </w:pPr>
          <w:hyperlink w:history="true" w:anchor="_bookmark28">
            <w:r>
              <w:rPr>
                <w:color w:val="0093C1"/>
              </w:rPr>
              <w:t>Prospects</w:t>
            </w:r>
            <w:r>
              <w:rPr>
                <w:color w:val="0093C1"/>
                <w:spacing w:val="-3"/>
              </w:rPr>
              <w:t> </w:t>
            </w:r>
            <w:r>
              <w:rPr>
                <w:color w:val="0093C1"/>
              </w:rPr>
              <w:t>for</w:t>
            </w:r>
            <w:r>
              <w:rPr>
                <w:color w:val="0093C1"/>
                <w:spacing w:val="-3"/>
              </w:rPr>
              <w:t> </w:t>
            </w:r>
            <w:r>
              <w:rPr>
                <w:color w:val="0093C1"/>
              </w:rPr>
              <w:t>inflation</w:t>
            </w:r>
          </w:hyperlink>
          <w:r>
            <w:rPr>
              <w:color w:val="0093C1"/>
            </w:rPr>
            <w:tab/>
          </w:r>
          <w:r>
            <w:rPr>
              <w:b w:val="0"/>
            </w:rPr>
            <w:t>45</w:t>
          </w:r>
        </w:p>
        <w:p>
          <w:pPr>
            <w:pStyle w:val="TOC3"/>
            <w:numPr>
              <w:ilvl w:val="1"/>
              <w:numId w:val="1"/>
            </w:numPr>
            <w:tabs>
              <w:tab w:pos="5939" w:val="left" w:leader="none"/>
              <w:tab w:pos="5940" w:val="left" w:leader="none"/>
              <w:tab w:pos="10039" w:val="left" w:leader="none"/>
            </w:tabs>
            <w:spacing w:line="240" w:lineRule="auto" w:before="44" w:after="0"/>
            <w:ind w:left="5939" w:right="0" w:hanging="561"/>
            <w:jc w:val="left"/>
            <w:rPr>
              <w:b w:val="0"/>
            </w:rPr>
          </w:pPr>
          <w:hyperlink w:history="true" w:anchor="_bookmark28">
            <w:r>
              <w:rPr/>
              <w:t>The inflation</w:t>
            </w:r>
            <w:r>
              <w:rPr>
                <w:spacing w:val="-2"/>
              </w:rPr>
              <w:t> </w:t>
            </w:r>
            <w:r>
              <w:rPr/>
              <w:t>projection</w:t>
            </w:r>
            <w:r>
              <w:rPr>
                <w:spacing w:val="-1"/>
              </w:rPr>
              <w:t> </w:t>
            </w:r>
            <w:r>
              <w:rPr/>
              <w:t>assumptions</w:t>
            </w:r>
          </w:hyperlink>
          <w:r>
            <w:rPr/>
            <w:tab/>
          </w:r>
          <w:r>
            <w:rPr>
              <w:b w:val="0"/>
            </w:rPr>
            <w:t>45</w:t>
          </w:r>
        </w:p>
        <w:p>
          <w:pPr>
            <w:pStyle w:val="TOC3"/>
            <w:numPr>
              <w:ilvl w:val="1"/>
              <w:numId w:val="1"/>
            </w:numPr>
            <w:tabs>
              <w:tab w:pos="5939" w:val="left" w:leader="none"/>
              <w:tab w:pos="5940" w:val="left" w:leader="none"/>
              <w:tab w:pos="10039" w:val="left" w:leader="none"/>
            </w:tabs>
            <w:spacing w:line="240" w:lineRule="auto" w:before="44" w:after="0"/>
            <w:ind w:left="5939" w:right="0" w:hanging="561"/>
            <w:jc w:val="left"/>
            <w:rPr>
              <w:b w:val="0"/>
            </w:rPr>
          </w:pPr>
          <w:hyperlink w:history="true" w:anchor="_bookmark29">
            <w:r>
              <w:rPr/>
              <w:t>The output and</w:t>
            </w:r>
            <w:r>
              <w:rPr>
                <w:spacing w:val="-3"/>
              </w:rPr>
              <w:t> </w:t>
            </w:r>
            <w:r>
              <w:rPr/>
              <w:t>inflation</w:t>
            </w:r>
            <w:r>
              <w:rPr>
                <w:spacing w:val="-1"/>
              </w:rPr>
              <w:t> </w:t>
            </w:r>
            <w:r>
              <w:rPr/>
              <w:t>projections</w:t>
            </w:r>
          </w:hyperlink>
          <w:r>
            <w:rPr/>
            <w:tab/>
          </w:r>
          <w:r>
            <w:rPr>
              <w:b w:val="0"/>
            </w:rPr>
            <w:t>48</w:t>
          </w:r>
        </w:p>
        <w:p>
          <w:pPr>
            <w:pStyle w:val="TOC3"/>
            <w:numPr>
              <w:ilvl w:val="1"/>
              <w:numId w:val="1"/>
            </w:numPr>
            <w:tabs>
              <w:tab w:pos="5939" w:val="left" w:leader="none"/>
              <w:tab w:pos="5940" w:val="left" w:leader="none"/>
              <w:tab w:pos="10039" w:val="left" w:leader="none"/>
            </w:tabs>
            <w:spacing w:line="240" w:lineRule="auto" w:before="45" w:after="0"/>
            <w:ind w:left="5939" w:right="0" w:hanging="561"/>
            <w:jc w:val="left"/>
            <w:rPr>
              <w:b w:val="0"/>
            </w:rPr>
          </w:pPr>
          <w:hyperlink w:history="true" w:anchor="_bookmark32">
            <w:r>
              <w:rPr/>
              <w:t>Other</w:t>
            </w:r>
            <w:r>
              <w:rPr>
                <w:spacing w:val="-4"/>
              </w:rPr>
              <w:t> </w:t>
            </w:r>
            <w:r>
              <w:rPr/>
              <w:t>forecasts</w:t>
            </w:r>
          </w:hyperlink>
          <w:r>
            <w:rPr/>
            <w:tab/>
          </w:r>
          <w:r>
            <w:rPr>
              <w:b w:val="0"/>
            </w:rPr>
            <w:t>58</w:t>
          </w:r>
        </w:p>
        <w:p>
          <w:pPr>
            <w:pStyle w:val="TOC1"/>
            <w:tabs>
              <w:tab w:pos="10039" w:val="left" w:leader="none"/>
            </w:tabs>
            <w:spacing w:before="344"/>
            <w:ind w:firstLine="0"/>
            <w:rPr>
              <w:b w:val="0"/>
            </w:rPr>
          </w:pPr>
          <w:hyperlink w:history="true" w:anchor="_bookmark33">
            <w:r>
              <w:rPr>
                <w:color w:val="0093C1"/>
              </w:rPr>
              <w:t>Agents’ summary of</w:t>
            </w:r>
            <w:r>
              <w:rPr>
                <w:color w:val="0093C1"/>
                <w:spacing w:val="-3"/>
              </w:rPr>
              <w:t> </w:t>
            </w:r>
            <w:r>
              <w:rPr>
                <w:color w:val="0093C1"/>
              </w:rPr>
              <w:t>business</w:t>
            </w:r>
            <w:r>
              <w:rPr>
                <w:color w:val="0093C1"/>
                <w:spacing w:val="-1"/>
              </w:rPr>
              <w:t> </w:t>
            </w:r>
            <w:r>
              <w:rPr>
                <w:color w:val="0093C1"/>
              </w:rPr>
              <w:t>conditions</w:t>
            </w:r>
          </w:hyperlink>
          <w:r>
            <w:rPr>
              <w:color w:val="0093C1"/>
            </w:rPr>
            <w:tab/>
          </w:r>
          <w:r>
            <w:rPr>
              <w:b w:val="0"/>
            </w:rPr>
            <w:t>61</w:t>
          </w:r>
        </w:p>
        <w:p>
          <w:pPr>
            <w:pStyle w:val="TOC1"/>
            <w:tabs>
              <w:tab w:pos="10039" w:val="left" w:leader="none"/>
            </w:tabs>
            <w:spacing w:line="278" w:lineRule="auto"/>
            <w:ind w:left="5979" w:right="359" w:hanging="980"/>
            <w:rPr>
              <w:b w:val="0"/>
            </w:rPr>
          </w:pPr>
          <w:hyperlink w:history="true" w:anchor="_bookmark34">
            <w:r>
              <w:rPr>
                <w:color w:val="0093C1"/>
              </w:rPr>
              <w:t>Annex:  Minutes of the Monetary Policy Committee</w:t>
            </w:r>
          </w:hyperlink>
          <w:r>
            <w:rPr>
              <w:color w:val="0093C1"/>
            </w:rPr>
            <w:tab/>
          </w:r>
          <w:r>
            <w:rPr>
              <w:b w:val="0"/>
              <w:spacing w:val="-9"/>
            </w:rPr>
            <w:t>65</w:t>
          </w:r>
        </w:p>
        <w:p>
          <w:pPr>
            <w:pStyle w:val="TOC4"/>
            <w:tabs>
              <w:tab w:pos="10039" w:val="left" w:leader="none"/>
            </w:tabs>
            <w:spacing w:line="276" w:lineRule="exact" w:before="0"/>
            <w:rPr>
              <w:b w:val="0"/>
            </w:rPr>
          </w:pPr>
          <w:hyperlink w:history="true" w:anchor="_bookmark35">
            <w:r>
              <w:rPr/>
              <w:t>November</w:t>
            </w:r>
            <w:r>
              <w:rPr>
                <w:spacing w:val="-2"/>
              </w:rPr>
              <w:t> </w:t>
            </w:r>
            <w:r>
              <w:rPr/>
              <w:t>meeting</w:t>
            </w:r>
          </w:hyperlink>
          <w:r>
            <w:rPr/>
            <w:tab/>
          </w:r>
          <w:r>
            <w:rPr>
              <w:b w:val="0"/>
            </w:rPr>
            <w:t>67</w:t>
          </w:r>
        </w:p>
        <w:p>
          <w:pPr>
            <w:pStyle w:val="TOC4"/>
            <w:tabs>
              <w:tab w:pos="10039" w:val="left" w:leader="none"/>
            </w:tabs>
            <w:rPr>
              <w:b w:val="0"/>
            </w:rPr>
          </w:pPr>
          <w:hyperlink w:history="true" w:anchor="_bookmark36">
            <w:r>
              <w:rPr/>
              <w:t>December meeting</w:t>
            </w:r>
          </w:hyperlink>
          <w:r>
            <w:rPr/>
            <w:tab/>
          </w:r>
          <w:r>
            <w:rPr>
              <w:b w:val="0"/>
            </w:rPr>
            <w:t>75</w:t>
          </w:r>
        </w:p>
        <w:p>
          <w:pPr>
            <w:pStyle w:val="TOC4"/>
            <w:tabs>
              <w:tab w:pos="10039" w:val="left" w:leader="none"/>
            </w:tabs>
            <w:rPr>
              <w:b w:val="0"/>
            </w:rPr>
          </w:pPr>
          <w:hyperlink w:history="true" w:anchor="_bookmark37">
            <w:r>
              <w:rPr/>
              <w:t>December</w:t>
            </w:r>
            <w:r>
              <w:rPr>
                <w:spacing w:val="-2"/>
              </w:rPr>
              <w:t> </w:t>
            </w:r>
            <w:r>
              <w:rPr/>
              <w:t>Press</w:t>
            </w:r>
            <w:r>
              <w:rPr>
                <w:spacing w:val="-1"/>
              </w:rPr>
              <w:t> </w:t>
            </w:r>
            <w:r>
              <w:rPr/>
              <w:t>Notice</w:t>
            </w:r>
          </w:hyperlink>
          <w:r>
            <w:rPr/>
            <w:tab/>
          </w:r>
          <w:r>
            <w:rPr>
              <w:b w:val="0"/>
            </w:rPr>
            <w:t>83</w:t>
          </w:r>
        </w:p>
        <w:p>
          <w:pPr>
            <w:pStyle w:val="TOC4"/>
            <w:tabs>
              <w:tab w:pos="10039" w:val="left" w:leader="none"/>
            </w:tabs>
            <w:rPr>
              <w:b w:val="0"/>
            </w:rPr>
          </w:pPr>
          <w:hyperlink w:history="true" w:anchor="_bookmark38">
            <w:r>
              <w:rPr/>
              <w:t>January</w:t>
            </w:r>
            <w:r>
              <w:rPr>
                <w:spacing w:val="-2"/>
              </w:rPr>
              <w:t> </w:t>
            </w:r>
            <w:r>
              <w:rPr/>
              <w:t>meeting</w:t>
            </w:r>
          </w:hyperlink>
          <w:r>
            <w:rPr/>
            <w:tab/>
          </w:r>
          <w:r>
            <w:rPr>
              <w:b w:val="0"/>
            </w:rPr>
            <w:t>84</w:t>
          </w:r>
        </w:p>
        <w:p>
          <w:pPr>
            <w:pStyle w:val="TOC4"/>
            <w:tabs>
              <w:tab w:pos="10039" w:val="left" w:leader="none"/>
            </w:tabs>
            <w:rPr>
              <w:b w:val="0"/>
            </w:rPr>
          </w:pPr>
          <w:hyperlink w:history="true" w:anchor="_bookmark39">
            <w:r>
              <w:rPr/>
              <w:t>January</w:t>
            </w:r>
            <w:r>
              <w:rPr>
                <w:spacing w:val="-3"/>
              </w:rPr>
              <w:t> </w:t>
            </w:r>
            <w:r>
              <w:rPr/>
              <w:t>Press</w:t>
            </w:r>
            <w:r>
              <w:rPr>
                <w:spacing w:val="-2"/>
              </w:rPr>
              <w:t> </w:t>
            </w:r>
            <w:r>
              <w:rPr/>
              <w:t>Notice</w:t>
            </w:r>
          </w:hyperlink>
          <w:r>
            <w:rPr/>
            <w:tab/>
          </w:r>
          <w:r>
            <w:rPr>
              <w:b w:val="0"/>
            </w:rPr>
            <w:t>92</w:t>
          </w:r>
        </w:p>
        <w:p>
          <w:pPr>
            <w:pStyle w:val="TOC4"/>
            <w:tabs>
              <w:tab w:pos="10039" w:val="left" w:leader="none"/>
            </w:tabs>
            <w:rPr>
              <w:b w:val="0"/>
            </w:rPr>
          </w:pPr>
          <w:hyperlink w:history="true" w:anchor="_bookmark40">
            <w:r>
              <w:rPr/>
              <w:t>February</w:t>
            </w:r>
            <w:r>
              <w:rPr>
                <w:spacing w:val="-3"/>
              </w:rPr>
              <w:t> </w:t>
            </w:r>
            <w:r>
              <w:rPr/>
              <w:t>Press</w:t>
            </w:r>
            <w:r>
              <w:rPr>
                <w:spacing w:val="-3"/>
              </w:rPr>
              <w:t> </w:t>
            </w:r>
            <w:r>
              <w:rPr/>
              <w:t>Notice</w:t>
            </w:r>
          </w:hyperlink>
          <w:r>
            <w:rPr/>
            <w:tab/>
          </w:r>
          <w:r>
            <w:rPr>
              <w:b w:val="0"/>
            </w:rPr>
            <w:t>93</w:t>
          </w:r>
        </w:p>
        <w:p>
          <w:pPr>
            <w:pStyle w:val="TOC1"/>
            <w:tabs>
              <w:tab w:pos="10039" w:val="left" w:leader="none"/>
            </w:tabs>
            <w:ind w:firstLine="0"/>
            <w:rPr>
              <w:b w:val="0"/>
            </w:rPr>
          </w:pPr>
          <w:hyperlink w:history="true" w:anchor="_bookmark41">
            <w:r>
              <w:rPr>
                <w:color w:val="0093C1"/>
              </w:rPr>
              <w:t>Glossary and</w:t>
            </w:r>
            <w:r>
              <w:rPr>
                <w:color w:val="0093C1"/>
                <w:spacing w:val="-3"/>
              </w:rPr>
              <w:t> </w:t>
            </w:r>
            <w:r>
              <w:rPr>
                <w:color w:val="0093C1"/>
              </w:rPr>
              <w:t>other</w:t>
            </w:r>
            <w:r>
              <w:rPr>
                <w:color w:val="0093C1"/>
                <w:spacing w:val="-1"/>
              </w:rPr>
              <w:t> </w:t>
            </w:r>
            <w:r>
              <w:rPr>
                <w:color w:val="0093C1"/>
              </w:rPr>
              <w:t>information</w:t>
            </w:r>
          </w:hyperlink>
          <w:r>
            <w:rPr>
              <w:color w:val="0093C1"/>
            </w:rPr>
            <w:tab/>
          </w:r>
          <w:r>
            <w:rPr>
              <w:b w:val="0"/>
            </w:rPr>
            <w:t>94</w:t>
          </w:r>
        </w:p>
      </w:sdtContent>
    </w:sdt>
    <w:p>
      <w:pPr>
        <w:spacing w:after="0"/>
        <w:sectPr>
          <w:type w:val="continuous"/>
          <w:pgSz w:w="11900" w:h="16840"/>
          <w:pgMar w:top="660" w:bottom="1170" w:left="620" w:right="640"/>
        </w:sectPr>
      </w:pPr>
    </w:p>
    <w:p>
      <w:pPr>
        <w:pStyle w:val="BodyText"/>
        <w:rPr>
          <w:sz w:val="26"/>
        </w:rPr>
      </w:pPr>
    </w:p>
    <w:p>
      <w:pPr>
        <w:pStyle w:val="BodyText"/>
        <w:rPr>
          <w:sz w:val="26"/>
        </w:rPr>
      </w:pPr>
    </w:p>
    <w:p>
      <w:pPr>
        <w:pStyle w:val="BodyText"/>
        <w:rPr>
          <w:sz w:val="26"/>
        </w:rPr>
      </w:pPr>
    </w:p>
    <w:p>
      <w:pPr>
        <w:pStyle w:val="BodyText"/>
        <w:spacing w:before="4"/>
        <w:rPr>
          <w:sz w:val="30"/>
        </w:rPr>
      </w:pPr>
    </w:p>
    <w:p>
      <w:pPr>
        <w:spacing w:before="1"/>
        <w:ind w:left="5000" w:right="0" w:firstLine="0"/>
        <w:jc w:val="left"/>
        <w:rPr>
          <w:b/>
          <w:sz w:val="28"/>
        </w:rPr>
      </w:pPr>
      <w:r>
        <w:rPr>
          <w:b/>
          <w:color w:val="009483"/>
          <w:sz w:val="28"/>
        </w:rPr>
        <w:t>Link to Quarterly Bulletin</w:t>
      </w:r>
    </w:p>
    <w:p>
      <w:pPr>
        <w:pStyle w:val="BodyText"/>
        <w:spacing w:before="10"/>
        <w:rPr>
          <w:b/>
          <w:sz w:val="30"/>
        </w:rPr>
      </w:pPr>
    </w:p>
    <w:p>
      <w:pPr>
        <w:spacing w:before="0"/>
        <w:ind w:left="5000" w:right="0" w:firstLine="0"/>
        <w:jc w:val="left"/>
        <w:rPr>
          <w:b/>
          <w:sz w:val="24"/>
        </w:rPr>
      </w:pPr>
      <w:r>
        <w:rPr>
          <w:b/>
          <w:color w:val="0093C1"/>
          <w:sz w:val="24"/>
        </w:rPr>
        <w:t>Section 1</w:t>
      </w:r>
    </w:p>
    <w:p>
      <w:pPr>
        <w:pStyle w:val="BodyText"/>
        <w:spacing w:before="7"/>
        <w:rPr>
          <w:b/>
          <w:sz w:val="31"/>
        </w:rPr>
      </w:pPr>
    </w:p>
    <w:p>
      <w:pPr>
        <w:spacing w:line="278" w:lineRule="auto" w:before="0"/>
        <w:ind w:left="5000" w:right="0" w:firstLine="0"/>
        <w:jc w:val="left"/>
        <w:rPr>
          <w:sz w:val="24"/>
        </w:rPr>
      </w:pPr>
      <w:hyperlink r:id="rId15">
        <w:r>
          <w:rPr>
            <w:sz w:val="24"/>
          </w:rPr>
          <w:t>Sterling wholesale markets: developments in 1999 Quarterly Bulletin, February 2000, pages 38–49.</w:t>
        </w:r>
      </w:hyperlink>
    </w:p>
    <w:p>
      <w:pPr>
        <w:pStyle w:val="BodyText"/>
        <w:spacing w:before="10"/>
        <w:rPr>
          <w:sz w:val="27"/>
        </w:rPr>
      </w:pPr>
    </w:p>
    <w:p>
      <w:pPr>
        <w:spacing w:line="278" w:lineRule="auto" w:before="0"/>
        <w:ind w:left="5000" w:right="0" w:firstLine="0"/>
        <w:jc w:val="left"/>
        <w:rPr>
          <w:sz w:val="24"/>
        </w:rPr>
      </w:pPr>
      <w:hyperlink r:id="rId16">
        <w:r>
          <w:rPr>
            <w:sz w:val="24"/>
          </w:rPr>
          <w:t>New estimates of the UK real and nominal yield curves Quarterly Bulletin, November 1999, pages 384–92.</w:t>
        </w:r>
      </w:hyperlink>
    </w:p>
    <w:p>
      <w:pPr>
        <w:pStyle w:val="BodyText"/>
        <w:spacing w:before="9"/>
        <w:rPr>
          <w:sz w:val="27"/>
        </w:rPr>
      </w:pPr>
    </w:p>
    <w:p>
      <w:pPr>
        <w:spacing w:line="278" w:lineRule="auto" w:before="0"/>
        <w:ind w:left="5120" w:right="0" w:hanging="120"/>
        <w:jc w:val="left"/>
        <w:rPr>
          <w:sz w:val="24"/>
        </w:rPr>
      </w:pPr>
      <w:hyperlink r:id="rId17">
        <w:r>
          <w:rPr>
            <w:sz w:val="24"/>
          </w:rPr>
          <w:t>Recent developments in extracting information from options markets</w:t>
        </w:r>
      </w:hyperlink>
    </w:p>
    <w:p>
      <w:pPr>
        <w:spacing w:line="276" w:lineRule="exact" w:before="0"/>
        <w:ind w:left="5000" w:right="0" w:firstLine="0"/>
        <w:jc w:val="left"/>
        <w:rPr>
          <w:sz w:val="24"/>
        </w:rPr>
      </w:pPr>
      <w:hyperlink r:id="rId17">
        <w:r>
          <w:rPr>
            <w:sz w:val="24"/>
          </w:rPr>
          <w:t>Quarterly Bulletin, February 2000, pages 50–60.</w:t>
        </w:r>
      </w:hyperlink>
    </w:p>
    <w:p>
      <w:pPr>
        <w:pStyle w:val="BodyText"/>
        <w:spacing w:before="7"/>
        <w:rPr>
          <w:sz w:val="31"/>
        </w:rPr>
      </w:pPr>
    </w:p>
    <w:p>
      <w:pPr>
        <w:spacing w:before="1"/>
        <w:ind w:left="5000" w:right="0" w:firstLine="0"/>
        <w:jc w:val="left"/>
        <w:rPr>
          <w:b/>
          <w:sz w:val="24"/>
        </w:rPr>
      </w:pPr>
      <w:r>
        <w:rPr>
          <w:b/>
          <w:color w:val="0093C1"/>
          <w:sz w:val="24"/>
        </w:rPr>
        <w:t>Section 2</w:t>
      </w:r>
    </w:p>
    <w:p>
      <w:pPr>
        <w:pStyle w:val="BodyText"/>
        <w:spacing w:before="7"/>
        <w:rPr>
          <w:b/>
          <w:sz w:val="31"/>
        </w:rPr>
      </w:pPr>
    </w:p>
    <w:p>
      <w:pPr>
        <w:spacing w:before="0"/>
        <w:ind w:left="5000" w:right="0" w:firstLine="0"/>
        <w:jc w:val="left"/>
        <w:rPr>
          <w:sz w:val="24"/>
        </w:rPr>
      </w:pPr>
      <w:hyperlink r:id="rId18">
        <w:r>
          <w:rPr>
            <w:sz w:val="24"/>
          </w:rPr>
          <w:t>The international environment</w:t>
        </w:r>
      </w:hyperlink>
    </w:p>
    <w:p>
      <w:pPr>
        <w:spacing w:before="44"/>
        <w:ind w:left="5000" w:right="0" w:firstLine="0"/>
        <w:jc w:val="left"/>
        <w:rPr>
          <w:sz w:val="24"/>
        </w:rPr>
      </w:pPr>
      <w:hyperlink r:id="rId18">
        <w:r>
          <w:rPr>
            <w:sz w:val="24"/>
          </w:rPr>
          <w:t>Quarterly Bulletin, February 2000, pages 23–37.</w:t>
        </w:r>
      </w:hyperlink>
    </w:p>
    <w:p>
      <w:pPr>
        <w:pStyle w:val="BodyText"/>
        <w:spacing w:before="8"/>
        <w:rPr>
          <w:sz w:val="31"/>
        </w:rPr>
      </w:pPr>
    </w:p>
    <w:p>
      <w:pPr>
        <w:spacing w:before="0"/>
        <w:ind w:left="5000" w:right="0" w:firstLine="0"/>
        <w:jc w:val="left"/>
        <w:rPr>
          <w:b/>
          <w:sz w:val="24"/>
        </w:rPr>
      </w:pPr>
      <w:r>
        <w:rPr>
          <w:b/>
          <w:color w:val="0093C1"/>
          <w:sz w:val="24"/>
        </w:rPr>
        <w:t>Section 4</w:t>
      </w:r>
    </w:p>
    <w:p>
      <w:pPr>
        <w:pStyle w:val="BodyText"/>
        <w:spacing w:before="7"/>
        <w:rPr>
          <w:b/>
          <w:sz w:val="31"/>
        </w:rPr>
      </w:pPr>
    </w:p>
    <w:p>
      <w:pPr>
        <w:spacing w:line="278" w:lineRule="auto" w:before="0"/>
        <w:ind w:left="5120" w:right="0" w:hanging="120"/>
        <w:jc w:val="left"/>
        <w:rPr>
          <w:sz w:val="24"/>
        </w:rPr>
      </w:pPr>
      <w:hyperlink r:id="rId19">
        <w:r>
          <w:rPr>
            <w:sz w:val="24"/>
          </w:rPr>
          <w:t>Recent developments in extracting information from options markets</w:t>
        </w:r>
      </w:hyperlink>
    </w:p>
    <w:p>
      <w:pPr>
        <w:spacing w:line="276" w:lineRule="exact" w:before="0"/>
        <w:ind w:left="5000" w:right="0" w:firstLine="0"/>
        <w:jc w:val="left"/>
        <w:rPr>
          <w:sz w:val="24"/>
        </w:rPr>
      </w:pPr>
      <w:hyperlink r:id="rId19">
        <w:r>
          <w:rPr>
            <w:sz w:val="24"/>
          </w:rPr>
          <w:t>Quarterly Bulletin, February 2000, pages 50–60.</w:t>
        </w:r>
      </w:hyperlink>
    </w:p>
    <w:p>
      <w:pPr>
        <w:spacing w:after="0" w:line="276" w:lineRule="exact"/>
        <w:jc w:val="left"/>
        <w:rPr>
          <w:sz w:val="24"/>
        </w:rPr>
        <w:sectPr>
          <w:type w:val="continuous"/>
          <w:pgSz w:w="11900" w:h="16840"/>
          <w:pgMar w:top="660" w:bottom="280" w:left="620" w:right="640"/>
        </w:sectPr>
      </w:pPr>
    </w:p>
    <w:p>
      <w:pPr>
        <w:pStyle w:val="BodyText"/>
        <w:spacing w:line="20" w:lineRule="exact"/>
        <w:ind w:left="15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090pt;margin-top:12.000977pt;width:516pt;height:48pt;mso-position-horizontal-relative:page;mso-position-vertical-relative:paragraph;z-index:-15714304;mso-wrap-distance-left:0;mso-wrap-distance-right:0" type="#_x0000_t202" filled="true" fillcolor="#b5dad6" stroked="false">
            <v:textbox inset="0,0,0,0">
              <w:txbxContent>
                <w:p>
                  <w:pPr>
                    <w:tabs>
                      <w:tab w:pos="10099" w:val="right" w:leader="none"/>
                    </w:tabs>
                    <w:spacing w:before="40"/>
                    <w:ind w:left="260" w:right="0" w:firstLine="0"/>
                    <w:jc w:val="left"/>
                    <w:rPr>
                      <w:b/>
                      <w:sz w:val="72"/>
                    </w:rPr>
                  </w:pPr>
                  <w:bookmarkStart w:name="Money and financial markets" w:id="6"/>
                  <w:bookmarkEnd w:id="6"/>
                  <w:r>
                    <w:rPr/>
                  </w:r>
                  <w:bookmarkStart w:name="Money and credit" w:id="7"/>
                  <w:bookmarkEnd w:id="7"/>
                  <w:r>
                    <w:rPr/>
                  </w:r>
                  <w:bookmarkStart w:name="Narrow money" w:id="8"/>
                  <w:bookmarkEnd w:id="8"/>
                  <w:r>
                    <w:rPr/>
                  </w:r>
                  <w:bookmarkStart w:name="_bookmark2" w:id="9"/>
                  <w:bookmarkEnd w:id="9"/>
                  <w:r>
                    <w:rPr/>
                  </w:r>
                  <w:r>
                    <w:rPr>
                      <w:b/>
                      <w:color w:val="009483"/>
                      <w:sz w:val="48"/>
                    </w:rPr>
                    <w:t>Money and financial markets</w:t>
                    <w:tab/>
                  </w:r>
                  <w:r>
                    <w:rPr>
                      <w:b/>
                      <w:color w:val="009483"/>
                      <w:sz w:val="72"/>
                    </w:rPr>
                    <w:t>1</w:t>
                  </w:r>
                </w:p>
              </w:txbxContent>
            </v:textbox>
            <v:fill type="solid"/>
            <w10:wrap type="topAndBottom"/>
          </v:shape>
        </w:pict>
      </w:r>
    </w:p>
    <w:p>
      <w:pPr>
        <w:pStyle w:val="BodyText"/>
        <w:rPr>
          <w:sz w:val="20"/>
        </w:rPr>
      </w:pPr>
    </w:p>
    <w:p>
      <w:pPr>
        <w:pStyle w:val="BodyText"/>
        <w:rPr>
          <w:sz w:val="20"/>
        </w:rPr>
      </w:pPr>
    </w:p>
    <w:p>
      <w:pPr>
        <w:spacing w:line="242" w:lineRule="auto" w:before="205"/>
        <w:ind w:left="5000" w:right="235" w:firstLine="0"/>
        <w:jc w:val="left"/>
        <w:rPr>
          <w:sz w:val="24"/>
        </w:rPr>
      </w:pPr>
      <w:r>
        <w:rPr>
          <w:sz w:val="24"/>
        </w:rPr>
        <w:t>Narrow money growth remains strong, but unusually erratic movements around the turn of the millennium have obscured the underlying position. Annual broad money growth picked up slightly in 1999 Q4, but has remained slow, owing to further reductions in deposits held by non-bank financial corporations. However, deposits held by households and private non-financial corporations have grown more steadily over the past year. Secured lending growth has strengthened, in line with robust housing market activity, and has included rising flows of mortgage equity withdrawal.</w:t>
      </w:r>
    </w:p>
    <w:p>
      <w:pPr>
        <w:pStyle w:val="BodyText"/>
        <w:spacing w:before="6"/>
        <w:rPr>
          <w:sz w:val="25"/>
        </w:rPr>
      </w:pPr>
    </w:p>
    <w:p>
      <w:pPr>
        <w:spacing w:line="242" w:lineRule="auto" w:before="0"/>
        <w:ind w:left="5000" w:right="641" w:firstLine="0"/>
        <w:jc w:val="left"/>
        <w:rPr>
          <w:sz w:val="24"/>
        </w:rPr>
      </w:pPr>
      <w:r>
        <w:rPr>
          <w:sz w:val="24"/>
        </w:rPr>
        <w:t>Since the November </w:t>
      </w:r>
      <w:r>
        <w:rPr>
          <w:i/>
          <w:color w:val="231F20"/>
          <w:sz w:val="24"/>
        </w:rPr>
        <w:t>Report</w:t>
      </w:r>
      <w:r>
        <w:rPr>
          <w:color w:val="231F20"/>
          <w:sz w:val="24"/>
        </w:rPr>
        <w:t>, short-term interest rate expectations have risen in UK, euro-area and US financial markets, perhaps in response to</w:t>
      </w:r>
    </w:p>
    <w:p>
      <w:pPr>
        <w:spacing w:line="242" w:lineRule="auto" w:before="4"/>
        <w:ind w:left="5000" w:right="195" w:firstLine="0"/>
        <w:jc w:val="left"/>
        <w:rPr>
          <w:sz w:val="24"/>
        </w:rPr>
      </w:pPr>
      <w:r>
        <w:rPr>
          <w:color w:val="231F20"/>
          <w:sz w:val="24"/>
        </w:rPr>
        <w:t>stronger-than-expected global economic data and the absence of significant economic disruption associated with the century date change. Official interest rates </w:t>
      </w:r>
      <w:r>
        <w:rPr>
          <w:color w:val="231F20"/>
          <w:spacing w:val="-5"/>
          <w:sz w:val="24"/>
        </w:rPr>
        <w:t>have </w:t>
      </w:r>
      <w:r>
        <w:rPr>
          <w:color w:val="231F20"/>
          <w:sz w:val="24"/>
        </w:rPr>
        <w:t>also increased. In the United Kingdom, the MPC voted to raise the Bank of England’s official repo rate</w:t>
      </w:r>
      <w:r>
        <w:rPr>
          <w:color w:val="231F20"/>
          <w:spacing w:val="-9"/>
          <w:sz w:val="24"/>
        </w:rPr>
        <w:t> </w:t>
      </w:r>
      <w:r>
        <w:rPr>
          <w:color w:val="231F20"/>
          <w:sz w:val="24"/>
        </w:rPr>
        <w:t>by</w:t>
      </w:r>
    </w:p>
    <w:p>
      <w:pPr>
        <w:spacing w:line="242" w:lineRule="auto" w:before="7"/>
        <w:ind w:left="5000" w:right="167" w:firstLine="0"/>
        <w:jc w:val="left"/>
        <w:rPr>
          <w:sz w:val="24"/>
        </w:rPr>
      </w:pPr>
      <w:r>
        <w:rPr>
          <w:color w:val="231F20"/>
          <w:sz w:val="24"/>
        </w:rPr>
        <w:t>0.25 percentage points to 5.75% at its January meeting. And at its February meeting, the MPC voted to raise the Bank’s repo rate by a further 0.25 percentage points to 6%. Since the November </w:t>
      </w:r>
      <w:r>
        <w:rPr>
          <w:i/>
          <w:color w:val="231F20"/>
          <w:sz w:val="24"/>
        </w:rPr>
        <w:t>Report</w:t>
      </w:r>
      <w:r>
        <w:rPr>
          <w:color w:val="231F20"/>
          <w:sz w:val="24"/>
        </w:rPr>
        <w:t>, ten-year nominal government bond yields have risen slightly in the United Kingdom, the euro area and the United States.</w:t>
      </w:r>
    </w:p>
    <w:p>
      <w:pPr>
        <w:pStyle w:val="BodyText"/>
        <w:spacing w:before="2"/>
        <w:rPr>
          <w:sz w:val="17"/>
        </w:rPr>
      </w:pPr>
    </w:p>
    <w:p>
      <w:pPr>
        <w:spacing w:after="0"/>
        <w:rPr>
          <w:sz w:val="17"/>
        </w:rPr>
        <w:sectPr>
          <w:headerReference w:type="default" r:id="rId20"/>
          <w:footerReference w:type="default" r:id="rId21"/>
          <w:footerReference w:type="even" r:id="rId22"/>
          <w:pgSz w:w="11900" w:h="16840"/>
          <w:pgMar w:header="0" w:footer="617" w:top="780" w:bottom="800" w:left="620" w:right="640"/>
          <w:pgNumType w:start="3"/>
        </w:sectPr>
      </w:pPr>
    </w:p>
    <w:p>
      <w:pPr>
        <w:pStyle w:val="BodyText"/>
        <w:rPr>
          <w:sz w:val="22"/>
        </w:rPr>
      </w:pPr>
    </w:p>
    <w:p>
      <w:pPr>
        <w:pStyle w:val="BodyText"/>
        <w:spacing w:before="2"/>
        <w:rPr>
          <w:sz w:val="23"/>
        </w:rPr>
      </w:pPr>
    </w:p>
    <w:p>
      <w:pPr>
        <w:pStyle w:val="Heading9"/>
        <w:spacing w:before="0"/>
        <w:ind w:left="200"/>
      </w:pPr>
      <w:r>
        <w:rPr>
          <w:color w:val="0093C1"/>
        </w:rPr>
        <w:t>Chart 1.1</w:t>
      </w:r>
    </w:p>
    <w:p>
      <w:pPr>
        <w:spacing w:before="10"/>
        <w:ind w:left="200" w:right="0" w:firstLine="0"/>
        <w:jc w:val="left"/>
        <w:rPr>
          <w:sz w:val="12"/>
        </w:rPr>
      </w:pPr>
      <w:r>
        <w:rPr>
          <w:b/>
          <w:color w:val="0093C1"/>
          <w:sz w:val="20"/>
        </w:rPr>
        <w:t>Year-end notes and coin in circulation</w:t>
      </w:r>
      <w:r>
        <w:rPr>
          <w:position w:val="4"/>
          <w:sz w:val="12"/>
        </w:rPr>
        <w:t>(a)</w:t>
      </w:r>
    </w:p>
    <w:p>
      <w:pPr>
        <w:spacing w:line="175" w:lineRule="auto" w:before="193"/>
        <w:ind w:left="2135" w:right="166" w:firstLine="422"/>
        <w:jc w:val="left"/>
        <w:rPr>
          <w:sz w:val="12"/>
        </w:rPr>
      </w:pPr>
      <w:r>
        <w:rPr/>
        <w:pict>
          <v:group style="position:absolute;margin-left:43pt;margin-top:19.2414pt;width:152.5pt;height:141pt;mso-position-horizontal-relative:page;mso-position-vertical-relative:paragraph;z-index:15745024" coordorigin="860,385" coordsize="3050,2820">
            <v:line style="position:absolute" from="1010,2946" to="1185,2946" stroked="true" strokeweight="1.875pt" strokecolor="#ed1b2d">
              <v:stroke dashstyle="solid"/>
            </v:line>
            <v:line style="position:absolute" from="1175,2937" to="1320,2955" stroked="true" strokeweight="1pt" strokecolor="#ed1b2d">
              <v:stroke dashstyle="solid"/>
            </v:line>
            <v:line style="position:absolute" from="1310,2962" to="1485,2962" stroked="true" strokeweight="1.75pt" strokecolor="#ed1b2d">
              <v:stroke dashstyle="solid"/>
            </v:line>
            <v:shape style="position:absolute;left:1475;top:477;width:2250;height:2493" coordorigin="1475,477" coordsize="2250,2493" path="m1475,2970l1620,2887m1620,2887l1778,2822m1778,2822l1923,2772m1923,2772l2078,2672m2078,2672l2223,2457m2223,2457l2378,2260m2378,2260l2523,2127m2523,2127l2678,1797m2678,1797l2823,1005m2823,1005l2978,477m2978,477l3125,987m3125,987l3280,2095m3280,2095l3425,2607m3425,2607l3580,2740m3580,2740l3725,2772e" filled="false" stroked="true" strokeweight="1pt" strokecolor="#ed1b2d">
              <v:path arrowok="t"/>
              <v:stroke dashstyle="solid"/>
            </v:shape>
            <v:shape style="position:absolute;left:1020;top:2954;width:300;height:65" coordorigin="1020,2955" coordsize="300,65" path="m1020,2955l1175,2987m1175,2987l1320,3020e" filled="false" stroked="true" strokeweight="1pt" strokecolor="#0066a5">
              <v:path arrowok="t"/>
              <v:stroke dashstyle="solid"/>
            </v:shape>
            <v:line style="position:absolute" from="1310,3021" to="1485,3021" stroked="true" strokeweight="1.125pt" strokecolor="#0066a5">
              <v:stroke dashstyle="solid"/>
            </v:line>
            <v:line style="position:absolute" from="1475,3020" to="1620,2970" stroked="true" strokeweight="1pt" strokecolor="#0066a5">
              <v:stroke dashstyle="solid"/>
            </v:line>
            <v:line style="position:absolute" from="1610,2962" to="1788,2962" stroked="true" strokeweight="1.75pt" strokecolor="#0066a5">
              <v:stroke dashstyle="solid"/>
            </v:line>
            <v:line style="position:absolute" from="1768,2956" to="1933,2956" stroked="true" strokeweight="1.125pt" strokecolor="#0066a5">
              <v:stroke dashstyle="solid"/>
            </v:line>
            <v:shape style="position:absolute;left:1922;top:1664;width:1803;height:1373" coordorigin="1923,1665" coordsize="1803,1373" path="m1923,2955l2078,2920m2078,2920l2223,2822m2223,2822l2378,2657m2378,2657l2523,2525m2523,2525l2678,2227m2678,2227l2823,1665m2823,1665l2978,1830m2978,1830l3125,2457m3125,2457l3280,2887m3280,2887l3425,3020m3580,3037l3725,2987e" filled="false" stroked="true" strokeweight="1pt" strokecolor="#0066a5">
              <v:path arrowok="t"/>
              <v:stroke dashstyle="solid"/>
            </v:shape>
            <v:shape style="position:absolute;left:860;top:549;width:3020;height:2654" coordorigin="860,550" coordsize="3020,2654" path="m947,1990l860,1990m947,2240l860,2240m947,2470l860,2470m947,2720l860,2720m947,2950l860,2950m947,550l860,550m947,800l860,800m947,1030l860,1030m947,1280l860,1280m947,1510l860,1510m947,1760l860,1760m947,3200l860,3200m1020,3143l1020,3196m1171,3146l1171,3200m1472,3146l1472,3200m1321,3143l1321,3196m1020,3200l3880,3200m1622,3146l1622,3200m1773,3150l1773,3204m2074,3150l2074,3204m1923,3146l1923,3200m2224,3146l2224,3200m2375,3150l2375,3204m2676,3150l2676,3204m2525,3146l2525,3200m2826,3146l2826,3200m2977,3150l2977,3204m3278,3150l3278,3204m3127,3146l3127,3200m3428,3146l3428,3200m3579,3150l3579,3204m3880,3150l3880,3204m3729,3146l3729,3200e" filled="false" stroked="true" strokeweight=".5pt" strokecolor="#000000">
              <v:path arrowok="t"/>
              <v:stroke dashstyle="solid"/>
            </v:shape>
            <v:line style="position:absolute" from="2978,385" to="2978,3195" stroked="true" strokeweight=".5pt" strokecolor="#231f20">
              <v:stroke dashstyle="dash"/>
            </v:line>
            <v:line style="position:absolute" from="1600,2175" to="2165,2740" stroked="true" strokeweight=".5pt" strokecolor="#000000">
              <v:stroke dashstyle="solid"/>
            </v:line>
            <v:shape style="position:absolute;left:2135;top:2710;width:78;height:78" coordorigin="2135,2710" coordsize="78,78" path="m2171,2710l2135,2746,2151,2752,2163,2758,2213,2788,2208,2781,2202,2772,2196,2761,2189,2749,2184,2739,2171,2710xe" filled="true" fillcolor="#000000" stroked="false">
              <v:path arrowok="t"/>
              <v:fill type="solid"/>
            </v:shape>
            <v:shape style="position:absolute;left:3220;top:1392;width:534;height:133" type="#_x0000_t202" filled="false" stroked="false">
              <v:textbox inset="0,0,0,0">
                <w:txbxContent>
                  <w:p>
                    <w:pPr>
                      <w:spacing w:line="133" w:lineRule="exact" w:before="0"/>
                      <w:ind w:left="0" w:right="0" w:firstLine="0"/>
                      <w:jc w:val="left"/>
                      <w:rPr>
                        <w:sz w:val="12"/>
                      </w:rPr>
                    </w:pPr>
                    <w:r>
                      <w:rPr>
                        <w:sz w:val="12"/>
                      </w:rPr>
                      <w:t>1999/2000</w:t>
                    </w:r>
                  </w:p>
                </w:txbxContent>
              </v:textbox>
              <w10:wrap type="none"/>
            </v:shape>
            <v:shape style="position:absolute;left:1220;top:1876;width:1060;height:273" type="#_x0000_t202" filled="false" stroked="false">
              <v:textbox inset="0,0,0,0">
                <w:txbxContent>
                  <w:p>
                    <w:pPr>
                      <w:spacing w:line="242" w:lineRule="auto" w:before="0"/>
                      <w:ind w:left="30" w:right="0" w:hanging="30"/>
                      <w:jc w:val="left"/>
                      <w:rPr>
                        <w:sz w:val="12"/>
                      </w:rPr>
                    </w:pPr>
                    <w:r>
                      <w:rPr>
                        <w:sz w:val="12"/>
                      </w:rPr>
                      <w:t>Average 1995/96–1998/99 (c)</w:t>
                    </w:r>
                  </w:p>
                </w:txbxContent>
              </v:textbox>
              <w10:wrap type="none"/>
            </v:shape>
            <v:shape style="position:absolute;left:3415;top:2887;width:495;height:133" type="#_x0000_t202" filled="false" stroked="false">
              <v:textbox inset="0,0,0,0">
                <w:txbxContent>
                  <w:p>
                    <w:pPr>
                      <w:spacing w:line="133" w:lineRule="exact" w:before="0"/>
                      <w:ind w:left="0" w:right="0" w:firstLine="0"/>
                      <w:jc w:val="left"/>
                      <w:rPr>
                        <w:sz w:val="12"/>
                      </w:rPr>
                    </w:pPr>
                    <w:r>
                      <w:rPr>
                        <w:sz w:val="12"/>
                        <w:u w:val="thick" w:color="0066A5"/>
                      </w:rPr>
                      <w:t>     </w:t>
                    </w:r>
                    <w:r>
                      <w:rPr>
                        <w:spacing w:val="-5"/>
                        <w:sz w:val="12"/>
                        <w:u w:val="thick" w:color="0066A5"/>
                      </w:rPr>
                      <w:t> </w:t>
                    </w:r>
                    <w:r>
                      <w:rPr>
                        <w:sz w:val="12"/>
                      </w:rPr>
                      <w:t>   </w:t>
                    </w:r>
                    <w:r>
                      <w:rPr>
                        <w:spacing w:val="5"/>
                        <w:sz w:val="12"/>
                      </w:rPr>
                      <w:t> </w:t>
                    </w:r>
                    <w:r>
                      <w:rPr>
                        <w:sz w:val="12"/>
                        <w:u w:val="thick" w:color="0066A5"/>
                      </w:rPr>
                      <w:t> </w:t>
                    </w:r>
                    <w:r>
                      <w:rPr>
                        <w:spacing w:val="-5"/>
                        <w:sz w:val="12"/>
                        <w:u w:val="thick" w:color="0066A5"/>
                      </w:rPr>
                      <w:t> </w:t>
                    </w:r>
                  </w:p>
                </w:txbxContent>
              </v:textbox>
              <w10:wrap type="none"/>
            </v:shape>
            <w10:wrap type="none"/>
          </v:group>
        </w:pict>
      </w:r>
      <w:r>
        <w:rPr/>
        <w:pict>
          <v:line style="position:absolute;mso-position-horizontal-relative:page;mso-position-vertical-relative:paragraph;z-index:15745536" from="47.333pt,15.491399pt" to="43pt,15.491399pt" stroked="true" strokeweight=".5pt" strokecolor="#000000">
            <v:stroke dashstyle="solid"/>
            <w10:wrap type="none"/>
          </v:line>
        </w:pict>
      </w:r>
      <w:r>
        <w:rPr/>
        <w:pict>
          <v:shape style="position:absolute;margin-left:208.25pt;margin-top:12.267719pt;width:9pt;height:6.65pt;mso-position-horizontal-relative:page;mso-position-vertical-relative:paragraph;z-index:15752192" type="#_x0000_t202" filled="false" stroked="false">
            <v:textbox inset="0,0,0,0">
              <w:txbxContent>
                <w:p>
                  <w:pPr>
                    <w:spacing w:line="133" w:lineRule="exact" w:before="0"/>
                    <w:ind w:left="0" w:right="0" w:firstLine="0"/>
                    <w:jc w:val="left"/>
                    <w:rPr>
                      <w:sz w:val="12"/>
                    </w:rPr>
                  </w:pPr>
                  <w:r>
                    <w:rPr>
                      <w:sz w:val="12"/>
                    </w:rPr>
                    <w:t>122</w:t>
                  </w:r>
                </w:p>
              </w:txbxContent>
            </v:textbox>
            <w10:wrap type="none"/>
          </v:shape>
        </w:pict>
      </w:r>
      <w:r>
        <w:rPr>
          <w:sz w:val="12"/>
        </w:rPr>
        <w:t>Week 39 = 100 (</w:t>
      </w:r>
      <w:r>
        <w:rPr>
          <w:sz w:val="12"/>
          <w:u w:val="single"/>
        </w:rPr>
        <w:t>b</w:t>
      </w:r>
      <w:r>
        <w:rPr>
          <w:sz w:val="12"/>
        </w:rPr>
        <w:t>) </w:t>
      </w:r>
      <w:r>
        <w:rPr>
          <w:color w:val="231F20"/>
          <w:sz w:val="12"/>
        </w:rPr>
        <w:t>Year-end</w:t>
      </w:r>
    </w:p>
    <w:p>
      <w:pPr>
        <w:pStyle w:val="Heading6"/>
        <w:spacing w:line="242" w:lineRule="auto" w:before="90"/>
        <w:ind w:left="200" w:right="415"/>
      </w:pPr>
      <w:r>
        <w:rPr/>
        <w:br w:type="column"/>
      </w:r>
      <w:r>
        <w:rPr>
          <w:color w:val="231F20"/>
        </w:rPr>
        <w:t>The sterling exchange rate has strengthened appreciably since the November </w:t>
      </w:r>
      <w:r>
        <w:rPr>
          <w:i/>
          <w:color w:val="231F20"/>
        </w:rPr>
        <w:t>Report</w:t>
      </w:r>
      <w:r>
        <w:rPr>
          <w:color w:val="231F20"/>
        </w:rPr>
        <w:t>, largely reflecting further rises against the euro. Robust house price inflation and higher equity prices have increased household sector wealth, supporting the outlook for</w:t>
      </w:r>
    </w:p>
    <w:p>
      <w:pPr>
        <w:spacing w:after="0" w:line="242" w:lineRule="auto"/>
        <w:sectPr>
          <w:type w:val="continuous"/>
          <w:pgSz w:w="11900" w:h="16840"/>
          <w:pgMar w:top="1220" w:bottom="280" w:left="620" w:right="640"/>
          <w:cols w:num="2" w:equalWidth="0">
            <w:col w:w="3634" w:space="1166"/>
            <w:col w:w="584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1"/>
        </w:rPr>
      </w:pPr>
    </w:p>
    <w:p>
      <w:pPr>
        <w:spacing w:line="134" w:lineRule="exact" w:before="1"/>
        <w:ind w:left="344" w:right="0" w:firstLine="0"/>
        <w:jc w:val="left"/>
        <w:rPr>
          <w:sz w:val="12"/>
        </w:rPr>
      </w:pPr>
      <w:r>
        <w:rPr>
          <w:sz w:val="12"/>
        </w:rPr>
        <w:t>39 41 43 45 47 49 51</w:t>
      </w:r>
    </w:p>
    <w:p>
      <w:pPr>
        <w:spacing w:line="134" w:lineRule="exact" w:before="0"/>
        <w:ind w:left="1670" w:right="0" w:firstLine="0"/>
        <w:jc w:val="left"/>
        <w:rPr>
          <w:sz w:val="12"/>
        </w:rPr>
      </w:pPr>
      <w:r>
        <w:rPr>
          <w:sz w:val="12"/>
        </w:rPr>
        <w:t>Week</w:t>
      </w:r>
    </w:p>
    <w:p>
      <w:pPr>
        <w:spacing w:line="115" w:lineRule="exact" w:before="87"/>
        <w:ind w:left="200" w:right="0" w:firstLine="0"/>
        <w:jc w:val="left"/>
        <w:rPr>
          <w:sz w:val="12"/>
        </w:rPr>
      </w:pPr>
      <w:r>
        <w:rPr>
          <w:sz w:val="12"/>
        </w:rPr>
        <w:t>Source: Bank of England.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1"/>
        </w:rPr>
      </w:pPr>
    </w:p>
    <w:p>
      <w:pPr>
        <w:tabs>
          <w:tab w:pos="472" w:val="left" w:leader="none"/>
          <w:tab w:pos="774" w:val="left" w:leader="none"/>
        </w:tabs>
        <w:spacing w:before="0"/>
        <w:ind w:left="172" w:right="0" w:firstLine="0"/>
        <w:jc w:val="left"/>
        <w:rPr>
          <w:sz w:val="12"/>
        </w:rPr>
      </w:pPr>
      <w:r>
        <w:rPr>
          <w:sz w:val="12"/>
        </w:rPr>
        <w:t>1</w:t>
        <w:tab/>
        <w:t>3</w:t>
        <w:tab/>
        <w:t>5</w:t>
      </w:r>
    </w:p>
    <w:p>
      <w:pPr>
        <w:spacing w:line="132" w:lineRule="exact" w:before="0"/>
        <w:ind w:left="200" w:right="0" w:firstLine="0"/>
        <w:jc w:val="left"/>
        <w:rPr>
          <w:sz w:val="12"/>
        </w:rPr>
      </w:pPr>
      <w:r>
        <w:rPr/>
        <w:br w:type="column"/>
      </w:r>
      <w:r>
        <w:rPr>
          <w:sz w:val="12"/>
        </w:rPr>
        <w:t>120</w:t>
      </w:r>
    </w:p>
    <w:p>
      <w:pPr>
        <w:spacing w:before="94"/>
        <w:ind w:left="200" w:right="0" w:firstLine="0"/>
        <w:jc w:val="left"/>
        <w:rPr>
          <w:sz w:val="12"/>
        </w:rPr>
      </w:pPr>
      <w:r>
        <w:rPr/>
        <w:pict>
          <v:line style="position:absolute;mso-position-horizontal-relative:page;mso-position-vertical-relative:paragraph;z-index:15749120" from="204.166993pt,-3.822934pt" to="199.832993pt,-3.822934pt" stroked="true" strokeweight=".5pt" strokecolor="#000000">
            <v:stroke dashstyle="solid"/>
            <w10:wrap type="none"/>
          </v:line>
        </w:pict>
      </w:r>
      <w:r>
        <w:rPr/>
        <w:pict>
          <v:line style="position:absolute;mso-position-horizontal-relative:page;mso-position-vertical-relative:paragraph;z-index:15749632" from="204.166993pt,8.677066pt" to="199.832993pt,8.677066pt" stroked="true" strokeweight=".5pt" strokecolor="#000000">
            <v:stroke dashstyle="solid"/>
            <w10:wrap type="none"/>
          </v:line>
        </w:pict>
      </w:r>
      <w:r>
        <w:rPr>
          <w:sz w:val="12"/>
        </w:rPr>
        <w:t>118</w:t>
      </w:r>
    </w:p>
    <w:p>
      <w:pPr>
        <w:pStyle w:val="BodyText"/>
        <w:spacing w:before="6"/>
        <w:rPr>
          <w:sz w:val="9"/>
        </w:rPr>
      </w:pPr>
    </w:p>
    <w:p>
      <w:pPr>
        <w:spacing w:before="0"/>
        <w:ind w:left="200" w:right="0" w:firstLine="0"/>
        <w:jc w:val="left"/>
        <w:rPr>
          <w:sz w:val="12"/>
        </w:rPr>
      </w:pPr>
      <w:r>
        <w:rPr/>
        <w:pict>
          <v:line style="position:absolute;mso-position-horizontal-relative:page;mso-position-vertical-relative:paragraph;z-index:15750144" from="204.166993pt,3.102066pt" to="199.832993pt,3.102066pt" stroked="true" strokeweight=".5pt" strokecolor="#000000">
            <v:stroke dashstyle="solid"/>
            <w10:wrap type="none"/>
          </v:line>
        </w:pict>
      </w:r>
      <w:r>
        <w:rPr>
          <w:sz w:val="12"/>
        </w:rPr>
        <w:t>116</w:t>
      </w:r>
    </w:p>
    <w:p>
      <w:pPr>
        <w:spacing w:before="92"/>
        <w:ind w:left="200" w:right="0" w:firstLine="0"/>
        <w:jc w:val="left"/>
        <w:rPr>
          <w:sz w:val="12"/>
        </w:rPr>
      </w:pPr>
      <w:r>
        <w:rPr/>
        <w:pict>
          <v:line style="position:absolute;mso-position-horizontal-relative:page;mso-position-vertical-relative:paragraph;z-index:15750656" from="204.166993pt,8.701868pt" to="199.832993pt,8.701868pt" stroked="true" strokeweight=".5pt" strokecolor="#000000">
            <v:stroke dashstyle="solid"/>
            <w10:wrap type="none"/>
          </v:line>
        </w:pict>
      </w:r>
      <w:r>
        <w:rPr>
          <w:sz w:val="12"/>
        </w:rPr>
        <w:t>114</w:t>
      </w:r>
    </w:p>
    <w:p>
      <w:pPr>
        <w:pStyle w:val="BodyText"/>
        <w:spacing w:before="6"/>
        <w:rPr>
          <w:sz w:val="9"/>
        </w:rPr>
      </w:pPr>
    </w:p>
    <w:p>
      <w:pPr>
        <w:spacing w:before="0"/>
        <w:ind w:left="200" w:right="0" w:firstLine="0"/>
        <w:jc w:val="left"/>
        <w:rPr>
          <w:sz w:val="12"/>
        </w:rPr>
      </w:pPr>
      <w:r>
        <w:rPr/>
        <w:pict>
          <v:line style="position:absolute;mso-position-horizontal-relative:page;mso-position-vertical-relative:paragraph;z-index:15751168" from="204.166993pt,3.226868pt" to="199.832993pt,3.226868pt" stroked="true" strokeweight=".5pt" strokecolor="#000000">
            <v:stroke dashstyle="solid"/>
            <w10:wrap type="none"/>
          </v:line>
        </w:pict>
      </w:r>
      <w:r>
        <w:rPr>
          <w:sz w:val="12"/>
        </w:rPr>
        <w:t>112</w:t>
      </w:r>
    </w:p>
    <w:p>
      <w:pPr>
        <w:pStyle w:val="BodyText"/>
        <w:spacing w:before="9"/>
        <w:rPr>
          <w:sz w:val="9"/>
        </w:rPr>
      </w:pPr>
    </w:p>
    <w:p>
      <w:pPr>
        <w:spacing w:before="0"/>
        <w:ind w:left="200" w:right="0" w:firstLine="0"/>
        <w:jc w:val="left"/>
        <w:rPr>
          <w:sz w:val="12"/>
        </w:rPr>
      </w:pPr>
      <w:r>
        <w:rPr/>
        <w:pict>
          <v:line style="position:absolute;mso-position-horizontal-relative:page;mso-position-vertical-relative:paragraph;z-index:15751680" from="204.166993pt,3.227066pt" to="199.832993pt,3.227066pt" stroked="true" strokeweight=".5pt" strokecolor="#000000">
            <v:stroke dashstyle="solid"/>
            <w10:wrap type="none"/>
          </v:line>
        </w:pict>
      </w:r>
      <w:r>
        <w:rPr>
          <w:sz w:val="12"/>
        </w:rPr>
        <w:t>110</w:t>
      </w:r>
    </w:p>
    <w:p>
      <w:pPr>
        <w:spacing w:before="92"/>
        <w:ind w:left="200" w:right="0" w:firstLine="0"/>
        <w:jc w:val="left"/>
        <w:rPr>
          <w:sz w:val="12"/>
        </w:rPr>
      </w:pPr>
      <w:r>
        <w:rPr/>
        <w:pict>
          <v:line style="position:absolute;mso-position-horizontal-relative:page;mso-position-vertical-relative:paragraph;z-index:15746048" from="204.166993pt,7.826868pt" to="199.832993pt,7.826868pt" stroked="true" strokeweight=".5pt" strokecolor="#000000">
            <v:stroke dashstyle="solid"/>
            <w10:wrap type="none"/>
          </v:line>
        </w:pict>
      </w:r>
      <w:r>
        <w:rPr>
          <w:sz w:val="12"/>
        </w:rPr>
        <w:t>108</w:t>
      </w:r>
    </w:p>
    <w:p>
      <w:pPr>
        <w:pStyle w:val="BodyText"/>
        <w:spacing w:before="6"/>
        <w:rPr>
          <w:sz w:val="9"/>
        </w:rPr>
      </w:pPr>
    </w:p>
    <w:p>
      <w:pPr>
        <w:spacing w:before="0"/>
        <w:ind w:left="200" w:right="0" w:firstLine="0"/>
        <w:jc w:val="left"/>
        <w:rPr>
          <w:sz w:val="12"/>
        </w:rPr>
      </w:pPr>
      <w:r>
        <w:rPr/>
        <w:pict>
          <v:line style="position:absolute;mso-position-horizontal-relative:page;mso-position-vertical-relative:paragraph;z-index:15746560" from="204.166993pt,3.351868pt" to="199.832993pt,3.351868pt" stroked="true" strokeweight=".5pt" strokecolor="#000000">
            <v:stroke dashstyle="solid"/>
            <w10:wrap type="none"/>
          </v:line>
        </w:pict>
      </w:r>
      <w:r>
        <w:rPr>
          <w:sz w:val="12"/>
        </w:rPr>
        <w:t>106</w:t>
      </w:r>
    </w:p>
    <w:p>
      <w:pPr>
        <w:spacing w:before="94"/>
        <w:ind w:left="200" w:right="0" w:firstLine="0"/>
        <w:jc w:val="left"/>
        <w:rPr>
          <w:sz w:val="12"/>
        </w:rPr>
      </w:pPr>
      <w:r>
        <w:rPr/>
        <w:pict>
          <v:line style="position:absolute;mso-position-horizontal-relative:page;mso-position-vertical-relative:paragraph;z-index:15747072" from="204.166993pt,7.926867pt" to="199.832993pt,7.926867pt" stroked="true" strokeweight=".5pt" strokecolor="#000000">
            <v:stroke dashstyle="solid"/>
            <w10:wrap type="none"/>
          </v:line>
        </w:pict>
      </w:r>
      <w:r>
        <w:rPr>
          <w:sz w:val="12"/>
        </w:rPr>
        <w:t>104</w:t>
      </w:r>
    </w:p>
    <w:p>
      <w:pPr>
        <w:pStyle w:val="BodyText"/>
        <w:spacing w:before="6"/>
        <w:rPr>
          <w:sz w:val="9"/>
        </w:rPr>
      </w:pPr>
    </w:p>
    <w:p>
      <w:pPr>
        <w:spacing w:before="0"/>
        <w:ind w:left="200" w:right="0" w:firstLine="0"/>
        <w:jc w:val="left"/>
        <w:rPr>
          <w:sz w:val="12"/>
        </w:rPr>
      </w:pPr>
      <w:r>
        <w:rPr/>
        <w:pict>
          <v:line style="position:absolute;mso-position-horizontal-relative:page;mso-position-vertical-relative:paragraph;z-index:15747584" from="204.166993pt,3.351868pt" to="199.832993pt,3.351868pt" stroked="true" strokeweight=".5pt" strokecolor="#000000">
            <v:stroke dashstyle="solid"/>
            <w10:wrap type="none"/>
          </v:line>
        </w:pict>
      </w:r>
      <w:r>
        <w:rPr>
          <w:sz w:val="12"/>
        </w:rPr>
        <w:t>102</w:t>
      </w:r>
    </w:p>
    <w:p>
      <w:pPr>
        <w:spacing w:before="92"/>
        <w:ind w:left="200" w:right="0" w:firstLine="0"/>
        <w:jc w:val="left"/>
        <w:rPr>
          <w:sz w:val="12"/>
        </w:rPr>
      </w:pPr>
      <w:r>
        <w:rPr/>
        <w:pict>
          <v:line style="position:absolute;mso-position-horizontal-relative:page;mso-position-vertical-relative:paragraph;z-index:15748096" from="204.166993pt,7.951662pt" to="199.832993pt,7.951662pt" stroked="true" strokeweight=".5pt" strokecolor="#000000">
            <v:stroke dashstyle="solid"/>
            <w10:wrap type="none"/>
          </v:line>
        </w:pict>
      </w:r>
      <w:r>
        <w:rPr>
          <w:sz w:val="12"/>
        </w:rPr>
        <w:t>100</w:t>
      </w:r>
    </w:p>
    <w:p>
      <w:pPr>
        <w:pStyle w:val="BodyText"/>
        <w:spacing w:before="6"/>
        <w:rPr>
          <w:sz w:val="9"/>
        </w:rPr>
      </w:pPr>
    </w:p>
    <w:p>
      <w:pPr>
        <w:spacing w:before="0"/>
        <w:ind w:left="260" w:right="0" w:firstLine="0"/>
        <w:jc w:val="left"/>
        <w:rPr>
          <w:sz w:val="12"/>
        </w:rPr>
      </w:pPr>
      <w:r>
        <w:rPr/>
        <w:pict>
          <v:line style="position:absolute;mso-position-horizontal-relative:page;mso-position-vertical-relative:paragraph;z-index:15748608" from="204.166993pt,3.476563pt" to="199.832993pt,3.476563pt" stroked="true" strokeweight=".5pt" strokecolor="#000000">
            <v:stroke dashstyle="solid"/>
            <w10:wrap type="none"/>
          </v:line>
        </w:pict>
      </w:r>
      <w:r>
        <w:rPr>
          <w:sz w:val="12"/>
        </w:rPr>
        <w:t>98</w:t>
      </w:r>
    </w:p>
    <w:p>
      <w:pPr>
        <w:pStyle w:val="Heading6"/>
        <w:spacing w:before="6"/>
        <w:ind w:left="200"/>
      </w:pPr>
      <w:r>
        <w:rPr/>
        <w:br w:type="column"/>
      </w:r>
      <w:r>
        <w:rPr>
          <w:color w:val="231F20"/>
        </w:rPr>
        <w:t>consumption.</w:t>
      </w:r>
    </w:p>
    <w:p>
      <w:pPr>
        <w:pStyle w:val="BodyText"/>
        <w:spacing w:before="2"/>
        <w:rPr>
          <w:sz w:val="23"/>
        </w:rPr>
      </w:pPr>
    </w:p>
    <w:p>
      <w:pPr>
        <w:tabs>
          <w:tab w:pos="3369" w:val="left" w:leader="none"/>
        </w:tabs>
        <w:spacing w:before="0"/>
        <w:ind w:left="200" w:right="0" w:firstLine="0"/>
        <w:jc w:val="left"/>
        <w:rPr>
          <w:b/>
          <w:sz w:val="28"/>
        </w:rPr>
      </w:pPr>
      <w:r>
        <w:rPr>
          <w:b/>
          <w:color w:val="009483"/>
          <w:sz w:val="28"/>
          <w:u w:val="thick" w:color="0093C1"/>
        </w:rPr>
        <w:t>1.1</w:t>
        <w:tab/>
        <w:t>Money and</w:t>
      </w:r>
      <w:r>
        <w:rPr>
          <w:b/>
          <w:color w:val="009483"/>
          <w:spacing w:val="-2"/>
          <w:sz w:val="28"/>
          <w:u w:val="thick" w:color="0093C1"/>
        </w:rPr>
        <w:t> </w:t>
      </w:r>
      <w:r>
        <w:rPr>
          <w:b/>
          <w:color w:val="009483"/>
          <w:sz w:val="28"/>
          <w:u w:val="thick" w:color="0093C1"/>
        </w:rPr>
        <w:t>credit</w:t>
      </w:r>
      <w:r>
        <w:rPr>
          <w:b/>
          <w:color w:val="009483"/>
          <w:spacing w:val="-11"/>
          <w:sz w:val="28"/>
          <w:u w:val="thick" w:color="0093C1"/>
        </w:rPr>
        <w:t> </w:t>
      </w:r>
    </w:p>
    <w:p>
      <w:pPr>
        <w:spacing w:before="260"/>
        <w:ind w:left="200" w:right="0" w:firstLine="0"/>
        <w:jc w:val="left"/>
        <w:rPr>
          <w:i/>
          <w:sz w:val="24"/>
        </w:rPr>
      </w:pPr>
      <w:r>
        <w:rPr>
          <w:i/>
          <w:color w:val="009483"/>
          <w:sz w:val="24"/>
        </w:rPr>
        <w:t>Narrow money</w:t>
      </w:r>
    </w:p>
    <w:p>
      <w:pPr>
        <w:spacing w:line="242" w:lineRule="auto" w:before="124"/>
        <w:ind w:left="200" w:right="48" w:firstLine="0"/>
        <w:jc w:val="left"/>
        <w:rPr>
          <w:sz w:val="24"/>
        </w:rPr>
      </w:pPr>
      <w:r>
        <w:rPr>
          <w:sz w:val="24"/>
        </w:rPr>
        <w:t>Since the November </w:t>
      </w:r>
      <w:r>
        <w:rPr>
          <w:i/>
          <w:sz w:val="24"/>
        </w:rPr>
        <w:t>Report</w:t>
      </w:r>
      <w:r>
        <w:rPr>
          <w:sz w:val="24"/>
        </w:rPr>
        <w:t>, there has been an unusually large fluctuation in the value of notes and coin in circulation in the United Kingdom (see Chart 1.1). The level of notes and coin in circulation typically rises sharply each year over the Christmas and New Year period before falling back in January, reflecting seasonal</w:t>
      </w:r>
    </w:p>
    <w:p>
      <w:pPr>
        <w:spacing w:after="0" w:line="242" w:lineRule="auto"/>
        <w:jc w:val="left"/>
        <w:rPr>
          <w:sz w:val="24"/>
        </w:rPr>
        <w:sectPr>
          <w:type w:val="continuous"/>
          <w:pgSz w:w="11900" w:h="16840"/>
          <w:pgMar w:top="1220" w:bottom="280" w:left="620" w:right="640"/>
          <w:cols w:num="4" w:equalWidth="0">
            <w:col w:w="2268" w:space="40"/>
            <w:col w:w="876" w:space="161"/>
            <w:col w:w="421" w:space="1034"/>
            <w:col w:w="5840"/>
          </w:cols>
        </w:sectPr>
      </w:pPr>
    </w:p>
    <w:p>
      <w:pPr>
        <w:pStyle w:val="BodyText"/>
        <w:spacing w:before="10"/>
        <w:rPr>
          <w:sz w:val="10"/>
        </w:rPr>
      </w:pPr>
    </w:p>
    <w:p>
      <w:pPr>
        <w:pStyle w:val="ListParagraph"/>
        <w:numPr>
          <w:ilvl w:val="0"/>
          <w:numId w:val="2"/>
        </w:numPr>
        <w:tabs>
          <w:tab w:pos="440" w:val="left" w:leader="none"/>
        </w:tabs>
        <w:spacing w:line="129" w:lineRule="exact" w:before="0" w:after="0"/>
        <w:ind w:left="439" w:right="0" w:hanging="240"/>
        <w:jc w:val="left"/>
        <w:rPr>
          <w:sz w:val="12"/>
        </w:rPr>
      </w:pPr>
      <w:r>
        <w:rPr>
          <w:sz w:val="12"/>
        </w:rPr>
        <w:t>Not seasonally adjusted.</w:t>
      </w:r>
    </w:p>
    <w:p>
      <w:pPr>
        <w:pStyle w:val="ListParagraph"/>
        <w:numPr>
          <w:ilvl w:val="0"/>
          <w:numId w:val="2"/>
        </w:numPr>
        <w:tabs>
          <w:tab w:pos="441" w:val="left" w:leader="none"/>
        </w:tabs>
        <w:spacing w:line="120" w:lineRule="exact" w:before="0" w:after="0"/>
        <w:ind w:left="440" w:right="0" w:hanging="241"/>
        <w:jc w:val="left"/>
        <w:rPr>
          <w:sz w:val="12"/>
        </w:rPr>
      </w:pPr>
      <w:r>
        <w:rPr>
          <w:sz w:val="12"/>
        </w:rPr>
        <w:t>Week 39 typically corresponds to the start of October.</w:t>
      </w:r>
    </w:p>
    <w:p>
      <w:pPr>
        <w:pStyle w:val="ListParagraph"/>
        <w:numPr>
          <w:ilvl w:val="0"/>
          <w:numId w:val="2"/>
        </w:numPr>
        <w:tabs>
          <w:tab w:pos="440" w:val="left" w:leader="none"/>
        </w:tabs>
        <w:spacing w:line="129" w:lineRule="exact" w:before="0" w:after="0"/>
        <w:ind w:left="439" w:right="0" w:hanging="240"/>
        <w:jc w:val="left"/>
        <w:rPr>
          <w:sz w:val="12"/>
        </w:rPr>
      </w:pPr>
      <w:r>
        <w:rPr>
          <w:sz w:val="12"/>
        </w:rPr>
        <w:t>In 1996/97 the series starts at week 40 owing to the leap year.</w:t>
      </w:r>
    </w:p>
    <w:p>
      <w:pPr>
        <w:pStyle w:val="Heading6"/>
        <w:spacing w:line="242" w:lineRule="auto"/>
        <w:ind w:left="200" w:right="241"/>
      </w:pPr>
      <w:r>
        <w:rPr/>
        <w:br w:type="column"/>
      </w:r>
      <w:r>
        <w:rPr/>
        <w:t>transactions-based demand (the value of retail sales is typically about 40% higher in December than in the rest</w:t>
      </w:r>
    </w:p>
    <w:p>
      <w:pPr>
        <w:spacing w:after="0" w:line="242" w:lineRule="auto"/>
        <w:sectPr>
          <w:type w:val="continuous"/>
          <w:pgSz w:w="11900" w:h="16840"/>
          <w:pgMar w:top="1220" w:bottom="280" w:left="620" w:right="640"/>
          <w:cols w:num="2" w:equalWidth="0">
            <w:col w:w="3443" w:space="1357"/>
            <w:col w:w="5840"/>
          </w:cols>
        </w:sectPr>
      </w:pPr>
    </w:p>
    <w:p>
      <w:pPr>
        <w:pStyle w:val="BodyText"/>
        <w:rPr>
          <w:sz w:val="20"/>
        </w:rPr>
      </w:pPr>
    </w:p>
    <w:p>
      <w:pPr>
        <w:spacing w:after="0"/>
        <w:rPr>
          <w:sz w:val="20"/>
        </w:rPr>
        <w:sectPr>
          <w:headerReference w:type="default" r:id="rId23"/>
          <w:headerReference w:type="even" r:id="rId24"/>
          <w:pgSz w:w="11900" w:h="16840"/>
          <w:pgMar w:header="584" w:footer="617" w:top="780" w:bottom="780" w:left="62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3"/>
        </w:rPr>
      </w:pPr>
    </w:p>
    <w:p>
      <w:pPr>
        <w:pStyle w:val="Heading9"/>
        <w:spacing w:before="0"/>
        <w:ind w:left="220"/>
      </w:pPr>
      <w:bookmarkStart w:name="Broad money" w:id="10"/>
      <w:bookmarkEnd w:id="10"/>
      <w:r>
        <w:rPr>
          <w:b w:val="0"/>
        </w:rPr>
      </w:r>
      <w:bookmarkStart w:name="_bookmark3" w:id="11"/>
      <w:bookmarkEnd w:id="11"/>
      <w:r>
        <w:rPr>
          <w:b w:val="0"/>
        </w:rPr>
      </w:r>
      <w:r>
        <w:rPr>
          <w:color w:val="0093C1"/>
        </w:rPr>
        <w:t>Chart 1.2</w:t>
      </w:r>
    </w:p>
    <w:p>
      <w:pPr>
        <w:spacing w:line="249" w:lineRule="auto" w:before="10"/>
        <w:ind w:left="220" w:right="706" w:firstLine="0"/>
        <w:jc w:val="left"/>
        <w:rPr>
          <w:b/>
          <w:sz w:val="20"/>
        </w:rPr>
      </w:pPr>
      <w:r>
        <w:rPr>
          <w:b/>
          <w:color w:val="0093C1"/>
          <w:sz w:val="20"/>
        </w:rPr>
        <w:t>Growth of notes and coin and retail sales values</w:t>
      </w:r>
    </w:p>
    <w:p>
      <w:pPr>
        <w:spacing w:before="153"/>
        <w:ind w:left="1801" w:right="0" w:firstLine="0"/>
        <w:jc w:val="left"/>
        <w:rPr>
          <w:sz w:val="12"/>
        </w:rPr>
      </w:pPr>
      <w:r>
        <w:rPr>
          <w:sz w:val="12"/>
        </w:rPr>
        <w:t>Percentage changes, three months</w:t>
      </w:r>
    </w:p>
    <w:p>
      <w:pPr>
        <w:spacing w:before="5"/>
        <w:ind w:left="1191" w:right="0" w:firstLine="0"/>
        <w:jc w:val="center"/>
        <w:rPr>
          <w:sz w:val="12"/>
        </w:rPr>
      </w:pPr>
      <w:r>
        <w:rPr/>
        <w:pict>
          <v:line style="position:absolute;mso-position-horizontal-relative:page;mso-position-vertical-relative:paragraph;z-index:15754752" from="47.292pt,7.897312pt" to="42.958pt,7.897312pt" stroked="true" strokeweight=".5pt" strokecolor="#000000">
            <v:stroke dashstyle="solid"/>
            <w10:wrap type="none"/>
          </v:line>
        </w:pict>
      </w:r>
      <w:r>
        <w:rPr>
          <w:sz w:val="12"/>
        </w:rPr>
        <w:t>on three months a year earli</w:t>
      </w:r>
      <w:r>
        <w:rPr>
          <w:sz w:val="12"/>
          <w:u w:val="single"/>
        </w:rPr>
        <w:t>er</w:t>
      </w:r>
      <w:r>
        <w:rPr>
          <w:sz w:val="12"/>
        </w:rPr>
        <w:t> </w:t>
      </w:r>
      <w:r>
        <w:rPr>
          <w:spacing w:val="15"/>
          <w:sz w:val="12"/>
        </w:rPr>
        <w:t> </w:t>
      </w:r>
      <w:r>
        <w:rPr>
          <w:position w:val="-7"/>
          <w:sz w:val="12"/>
        </w:rPr>
        <w:t>12</w:t>
      </w:r>
    </w:p>
    <w:p>
      <w:pPr>
        <w:spacing w:before="112"/>
        <w:ind w:left="0" w:right="804" w:firstLine="0"/>
        <w:jc w:val="right"/>
        <w:rPr>
          <w:sz w:val="12"/>
        </w:rPr>
      </w:pPr>
      <w:r>
        <w:rPr/>
        <w:pict>
          <v:group style="position:absolute;margin-left:42.958pt;margin-top:4.619256pt;width:153.050pt;height:113.25pt;mso-position-horizontal-relative:page;mso-position-vertical-relative:paragraph;z-index:-22391808" coordorigin="859,92" coordsize="3061,2265">
            <v:shape style="position:absolute;left:1017;top:1477;width:263;height:305" coordorigin="1018,1477" coordsize="263,305" path="m1018,1597l1038,1660m1038,1660l1060,1735m1060,1735l1070,1782m1070,1782l1090,1750m1090,1750l1113,1705m1113,1705l1133,1690m1133,1690l1143,1692m1143,1690l1165,1675m1165,1675l1205,1645m1205,1645l1218,1660m1218,1660l1238,1690m1238,1690l1260,1597m1260,1597l1280,1477e" filled="false" stroked="true" strokeweight="1pt" strokecolor="#ff0000">
              <v:path arrowok="t"/>
              <v:stroke dashstyle="solid"/>
            </v:shape>
            <v:line style="position:absolute" from="1285,1315" to="1285,1487" stroked="true" strokeweight="1.5pt" strokecolor="#ff0000">
              <v:stroke dashstyle="solid"/>
            </v:line>
            <v:shape style="position:absolute;left:1290;top:897;width:305;height:580" coordorigin="1290,897" coordsize="305,580" path="m1290,1325l1313,1277m1313,1277l1333,1232m1333,1232l1353,1155m1353,1155l1365,1065m1365,1065l1385,927m1385,927l1405,897m1405,897l1428,900m1428,897l1448,957m1448,957l1460,972m1460,972l1480,1050m1480,1050l1500,1155m1500,1155l1523,1262m1523,1262l1533,1307m1533,1307l1553,1370m1553,1370l1575,1430m1575,1430l1595,1477e" filled="false" stroked="true" strokeweight="1pt" strokecolor="#ff0000">
              <v:path arrowok="t"/>
              <v:stroke dashstyle="solid"/>
            </v:shape>
            <v:line style="position:absolute" from="1600,1467" to="1600,1592" stroked="true" strokeweight="1.5pt" strokecolor="#ff0000">
              <v:stroke dashstyle="solid"/>
            </v:line>
            <v:shape style="position:absolute;left:1605;top:1247;width:233;height:368" coordorigin="1605,1247" coordsize="233,368" path="m1605,1582l1628,1612m1628,1612l1648,1615m1648,1612l1670,1507m1670,1507l1680,1445m1680,1445l1700,1385m1700,1385l1723,1340m1723,1340l1743,1292m1743,1292l1765,1262m1765,1262l1775,1247m1775,1247l1795,1307m1795,1307l1818,1415m1818,1415l1838,1537e" filled="false" stroked="true" strokeweight="1pt" strokecolor="#ff0000">
              <v:path arrowok="t"/>
              <v:stroke dashstyle="solid"/>
            </v:shape>
            <v:line style="position:absolute" from="1843,1527" to="1843,1685" stroked="true" strokeweight="1.5pt" strokecolor="#ff0000">
              <v:stroke dashstyle="solid"/>
            </v:line>
            <v:shape style="position:absolute;left:1847;top:1674;width:528;height:673" coordorigin="1848,1675" coordsize="528,673" path="m1848,1675l1870,1797m1870,1797l1890,1950m1890,1950l1913,2040m1913,2040l1923,2117m1923,2117l1943,2177m1943,2177l1965,2285m1965,2285l1985,2345m1985,2345l1995,2347m1995,2345l2018,2300m2018,2300l2058,2270m2058,2270l2070,2225m2070,2225l2090,2177m2090,2177l2110,2162m2110,2162l2133,2210m2133,2210l2153,2270m2153,2270l2165,2315m2165,2315l2185,2285m2185,2285l2205,2270m2205,2270l2228,2300m2228,2300l2238,2345m2238,2345l2258,2330m2258,2330l2280,2270m2280,2270l2300,2240m2300,2240l2310,2210m2310,2210l2333,2147m2333,2147l2353,2010m2353,2010l2375,1872e" filled="false" stroked="true" strokeweight="1pt" strokecolor="#ff0000">
              <v:path arrowok="t"/>
              <v:stroke dashstyle="solid"/>
            </v:shape>
            <v:line style="position:absolute" from="2380,1740" to="2380,1882" stroked="true" strokeweight="1.5pt" strokecolor="#ff0000">
              <v:stroke dashstyle="solid"/>
            </v:line>
            <v:shape style="position:absolute;left:2385;top:1017;width:863;height:733" coordorigin="2385,1017" coordsize="863,733" path="m2385,1750l2405,1720m2405,1720l2428,1750m2428,1750l2448,1720m2448,1720l2470,1660m2470,1660l2480,1597m2480,1597l2500,1567m2500,1567l2523,1570m2523,1567l2543,1522m2543,1522l2553,1477m2553,1477l2575,1445m2575,1445l2595,1430m2595,1430l2618,1432m2618,1430l2628,1385m2628,1385l2648,1307m2648,1307l2670,1262m2670,1262l2690,1265m2690,1262l2700,1265m2700,1262l2723,1247m2723,1247l2743,1187m2743,1187l2763,1172m2763,1172l2775,1202m2775,1202l2795,1262m2795,1262l2818,1307m2818,1307l2838,1340m2838,1340l2858,1355m2858,1355l2870,1357m2870,1355l2890,1370m2890,1370l2910,1372m2910,1370l2933,1400m2933,1400l2943,1415m2943,1415l2963,1460m2963,1460l2985,1477m2985,1477l3005,1480m3005,1477l3018,1445m3018,1445l3058,1325m3058,1325l3080,1277m3080,1277l3090,1280m3090,1277l3110,1217m3110,1217l3133,1155m3133,1155l3153,1050m3153,1050l3163,1017m3163,1017l3185,1020m3185,1017l3205,1050m3205,1050l3228,1095m3228,1095l3248,1125e" filled="false" stroked="true" strokeweight="1pt" strokecolor="#ff0000">
              <v:path arrowok="t"/>
              <v:stroke dashstyle="solid"/>
            </v:shape>
            <v:line style="position:absolute" from="3253,1115" to="3253,1227" stroked="true" strokeweight="1.5pt" strokecolor="#ff0000">
              <v:stroke dashstyle="solid"/>
            </v:line>
            <v:shape style="position:absolute;left:3257;top:1172;width:380;height:305" coordorigin="3258,1172" coordsize="380,305" path="m3258,1217l3280,1262m3280,1262l3300,1307m3300,1307l3323,1325m3323,1325l3333,1340m3333,1340l3353,1385m3353,1385l3375,1445m3375,1445l3395,1477m3395,1477l3405,1415m3405,1415l3428,1307m3428,1307l3448,1247m3448,1247l3470,1217m3470,1217l3480,1172m3480,1172l3500,1187m3500,1187l3523,1232m3523,1232l3543,1307m3543,1307l3563,1400m3563,1400l3575,1445m3575,1445l3595,1447m3595,1445l3615,1400m3615,1400l3638,1445e" filled="false" stroked="true" strokeweight="1pt" strokecolor="#ff0000">
              <v:path arrowok="t"/>
              <v:stroke dashstyle="solid"/>
            </v:shape>
            <v:line style="position:absolute" from="3643,1435" to="3643,1547" stroked="true" strokeweight="1.5pt" strokecolor="#ff0000">
              <v:stroke dashstyle="solid"/>
            </v:line>
            <v:shape style="position:absolute;left:3647;top:1217;width:138;height:443" coordorigin="3648,1217" coordsize="138,443" path="m3648,1537l3668,1645m3668,1645l3690,1660m3690,1660l3710,1612m3710,1612l3723,1552m3723,1552l3743,1477m3743,1477l3785,1217e" filled="false" stroked="true" strokeweight="1pt" strokecolor="#ff0000">
              <v:path arrowok="t"/>
              <v:stroke dashstyle="solid"/>
            </v:shape>
            <v:line style="position:absolute" from="3790,1085" to="3790,1227" stroked="true" strokeweight="1.5pt" strokecolor="#ff0000">
              <v:stroke dashstyle="solid"/>
            </v:line>
            <v:shape style="position:absolute;left:3795;top:102;width:115;height:993" coordorigin="3795,102" coordsize="115,993" path="m3795,1095l3815,1017m3815,1017l3838,1050m3838,1050l3858,1065m3858,1065l3868,987m3868,987l3890,560m3890,560l3910,102e" filled="false" stroked="true" strokeweight="1pt" strokecolor="#ff0000">
              <v:path arrowok="t"/>
              <v:stroke dashstyle="solid"/>
            </v:shape>
            <v:shape style="position:absolute;left:1017;top:957;width:43;height:138" coordorigin="1018,957" coordsize="43,138" path="m1018,1095l1038,957m1038,957l1060,1050e" filled="false" stroked="true" strokeweight="1pt" strokecolor="#000080">
              <v:path arrowok="t"/>
              <v:stroke dashstyle="solid"/>
            </v:shape>
            <v:line style="position:absolute" from="1065,780" to="1065,1060" stroked="true" strokeweight="1.5pt" strokecolor="#000080">
              <v:stroke dashstyle="solid"/>
            </v:line>
            <v:line style="position:absolute" from="1080,780" to="1080,982" stroked="true" strokeweight="2pt" strokecolor="#000080">
              <v:stroke dashstyle="solid"/>
            </v:line>
            <v:shape style="position:absolute;left:1090;top:972;width:43;height:123" coordorigin="1090,972" coordsize="43,123" path="m1090,972l1113,975m1113,972l1133,1095e" filled="false" stroked="true" strokeweight="1pt" strokecolor="#000080">
              <v:path arrowok="t"/>
              <v:stroke dashstyle="solid"/>
            </v:shape>
            <v:line style="position:absolute" from="1138,962" to="1138,1105" stroked="true" strokeweight="1.5pt" strokecolor="#000080">
              <v:stroke dashstyle="solid"/>
            </v:line>
            <v:shape style="position:absolute;left:1142;top:819;width:63;height:153" coordorigin="1143,820" coordsize="63,153" path="m1143,972l1165,882m1165,882l1185,850m1185,850l1205,820e" filled="false" stroked="true" strokeweight="1pt" strokecolor="#000080">
              <v:path arrowok="t"/>
              <v:stroke dashstyle="solid"/>
            </v:shape>
            <v:line style="position:absolute" from="1211,642" to="1211,830" stroked="true" strokeweight="1.625pt" strokecolor="#000080">
              <v:stroke dashstyle="solid"/>
            </v:line>
            <v:line style="position:absolute" from="1228,382" to="1228,662" stroked="true" strokeweight="2pt" strokecolor="#000080">
              <v:stroke dashstyle="solid"/>
            </v:line>
            <v:shape style="position:absolute;left:1237;top:317;width:53;height:335" coordorigin="1238,317" coordsize="53,335" path="m1238,392l1260,440m1260,440l1280,317m1280,317l1290,652e" filled="false" stroked="true" strokeweight="1pt" strokecolor="#000080">
              <v:path arrowok="t"/>
              <v:stroke dashstyle="solid"/>
            </v:shape>
            <v:line style="position:absolute" from="1301,430" to="1301,662" stroked="true" strokeweight="2.125pt" strokecolor="#000080">
              <v:stroke dashstyle="solid"/>
            </v:line>
            <v:line style="position:absolute" from="1313,440" to="1333,485" stroked="true" strokeweight="1pt" strokecolor="#000080">
              <v:stroke dashstyle="solid"/>
            </v:line>
            <v:line style="position:absolute" from="1343,292" to="1343,495" stroked="true" strokeweight="2pt" strokecolor="#000080">
              <v:stroke dashstyle="solid"/>
            </v:line>
            <v:shape style="position:absolute;left:1352;top:302;width:95;height:258" coordorigin="1353,302" coordsize="95,258" path="m1353,302l1365,362m1365,362l1385,407m1385,407l1405,485m1405,485l1428,515m1428,515l1448,560e" filled="false" stroked="true" strokeweight="1pt" strokecolor="#000080">
              <v:path arrowok="t"/>
              <v:stroke dashstyle="solid"/>
            </v:shape>
            <v:line style="position:absolute" from="1454,550" to="1454,845" stroked="true" strokeweight="1.625pt" strokecolor="#000080">
              <v:stroke dashstyle="solid"/>
            </v:line>
            <v:shape style="position:absolute;left:1460;top:789;width:73;height:75" coordorigin="1460,790" coordsize="73,75" path="m1460,835l1480,850m1480,850l1500,835m1500,835l1523,790m1523,790l1533,865e" filled="false" stroked="true" strokeweight="1pt" strokecolor="#000080">
              <v:path arrowok="t"/>
              <v:stroke dashstyle="solid"/>
            </v:shape>
            <v:line style="position:absolute" from="1543,855" to="1543,1060" stroked="true" strokeweight="2pt" strokecolor="#000080">
              <v:stroke dashstyle="solid"/>
            </v:line>
            <v:line style="position:absolute" from="1553,1050" to="1575,1217" stroked="true" strokeweight="1pt" strokecolor="#000080">
              <v:stroke dashstyle="solid"/>
            </v:line>
            <v:line style="position:absolute" from="1585,1207" to="1585,1410" stroked="true" strokeweight="2pt" strokecolor="#000080">
              <v:stroke dashstyle="solid"/>
            </v:line>
            <v:shape style="position:absolute;left:1595;top:1339;width:75;height:105" coordorigin="1595,1340" coordsize="75,105" path="m1595,1400l1605,1445m1605,1445l1628,1340m1628,1340l1648,1385m1648,1385l1670,1355e" filled="false" stroked="true" strokeweight="1pt" strokecolor="#000080">
              <v:path arrowok="t"/>
              <v:stroke dashstyle="solid"/>
            </v:shape>
            <v:line style="position:absolute" from="1675,1192" to="1675,1365" stroked="true" strokeweight="1.5pt" strokecolor="#000080">
              <v:stroke dashstyle="solid"/>
            </v:line>
            <v:line style="position:absolute" from="1690,962" to="1690,1212" stroked="true" strokeweight="2pt" strokecolor="#000080">
              <v:stroke dashstyle="solid"/>
            </v:line>
            <v:shape style="position:absolute;left:1700;top:912;width:213;height:778" coordorigin="1700,912" coordsize="213,778" path="m1700,972l1723,975m1723,972l1743,927m1743,927l1765,942m1765,942l1775,972m1775,972l1795,912m1795,912l1818,1002m1818,1002l1838,1005m1838,1002l1848,1292m1848,1292l1870,1477m1870,1477l1890,1597m1890,1597l1913,1690e" filled="false" stroked="true" strokeweight="1pt" strokecolor="#000080">
              <v:path arrowok="t"/>
              <v:stroke dashstyle="solid"/>
            </v:shape>
            <v:line style="position:absolute" from="1918,1680" to="1918,1912" stroked="true" strokeweight="1.5pt" strokecolor="#000080">
              <v:stroke dashstyle="solid"/>
            </v:line>
            <v:shape style="position:absolute;left:1922;top:1492;width:230;height:443" coordorigin="1923,1492" coordsize="230,443" path="m1923,1902l1943,1935m1943,1935l1965,1887m1965,1887l1985,1827m1985,1827l1995,1767m1995,1767l2018,1735m2018,1735l2038,1567m2038,1567l2058,1690m2058,1690l2070,1675m2070,1675l2090,1612m2090,1612l2110,1552m2110,1552l2133,1492m2133,1492l2153,1552e" filled="false" stroked="true" strokeweight="1pt" strokecolor="#000080">
              <v:path arrowok="t"/>
              <v:stroke dashstyle="solid"/>
            </v:shape>
            <v:line style="position:absolute" from="2159,1542" to="2159,1715" stroked="true" strokeweight="1.625pt" strokecolor="#000080">
              <v:stroke dashstyle="solid"/>
            </v:line>
            <v:shape style="position:absolute;left:2165;top:1704;width:63;height:183" coordorigin="2165,1705" coordsize="63,183" path="m2165,1705l2185,1797m2185,1797l2205,1887m2205,1887l2228,1842e" filled="false" stroked="true" strokeweight="1pt" strokecolor="#000080">
              <v:path arrowok="t"/>
              <v:stroke dashstyle="solid"/>
            </v:shape>
            <v:line style="position:absolute" from="2233,1832" to="2233,2097" stroked="true" strokeweight="1.5pt" strokecolor="#000080">
              <v:stroke dashstyle="solid"/>
            </v:line>
            <v:shape style="position:absolute;left:2237;top:2087;width:43;height:105" coordorigin="2238,2087" coordsize="43,105" path="m2238,2087l2258,2192m2258,2192l2280,2132e" filled="false" stroked="true" strokeweight="1pt" strokecolor="#000080">
              <v:path arrowok="t"/>
              <v:stroke dashstyle="solid"/>
            </v:shape>
            <v:line style="position:absolute" from="2290,1847" to="2290,2142" stroked="true" strokeweight="2pt" strokecolor="#000080">
              <v:stroke dashstyle="solid"/>
            </v:line>
            <v:shape style="position:absolute;left:2300;top:1782;width:75;height:138" coordorigin="2300,1782" coordsize="75,138" path="m2300,1857l2310,1797m2310,1797l2333,1887m2333,1887l2353,1920m2353,1920l2375,1782e" filled="false" stroked="true" strokeweight="1pt" strokecolor="#000080">
              <v:path arrowok="t"/>
              <v:stroke dashstyle="solid"/>
            </v:shape>
            <v:line style="position:absolute" from="2380,1557" to="2380,1792" stroked="true" strokeweight="1.5pt" strokecolor="#000080">
              <v:stroke dashstyle="solid"/>
            </v:line>
            <v:shape style="position:absolute;left:2385;top:1537;width:85;height:168" coordorigin="2385,1537" coordsize="85,168" path="m2385,1567l2405,1537m2405,1537l2428,1645m2428,1645l2448,1705m2448,1705l2470,1552e" filled="false" stroked="true" strokeweight="1pt" strokecolor="#000080">
              <v:path arrowok="t"/>
              <v:stroke dashstyle="solid"/>
            </v:shape>
            <v:line style="position:absolute" from="2475,1420" to="2475,1562" stroked="true" strokeweight="1.5pt" strokecolor="#000080">
              <v:stroke dashstyle="solid"/>
            </v:line>
            <v:shape style="position:absolute;left:2480;top:1399;width:578;height:535" coordorigin="2480,1400" coordsize="578,535" path="m2480,1430l2500,1400m2500,1400l2523,1477m2523,1477l2543,1507m2543,1507l2553,1552m2553,1552l2575,1522m2575,1522l2595,1645m2595,1645l2618,1690m2618,1690l2628,1767m2628,1767l2648,1690m2648,1690l2670,1675m2670,1675l2690,1630m2690,1630l2700,1675m2700,1675l2723,1690m2723,1690l2743,1767m2743,1767l2763,1797m2763,1797l2775,1800m2775,1797l2795,1857m2795,1857l2818,1812m2818,1812l2838,1902m2838,1902l2858,1842m2858,1842l2870,1902m2870,1902l2910,1872m2910,1872l2933,1902m2933,1902l2943,1920m2943,1920l2963,1935m2963,1935l2985,1827m2985,1827l3005,1782m3005,1782l3018,1857m3018,1857l3038,1827m3038,1827l3058,1767e" filled="false" stroked="true" strokeweight="1pt" strokecolor="#000080">
              <v:path arrowok="t"/>
              <v:stroke dashstyle="solid"/>
            </v:shape>
            <v:line style="position:absolute" from="3069,1542" to="3069,1777" stroked="true" strokeweight="2.125pt" strokecolor="#000080">
              <v:stroke dashstyle="solid"/>
            </v:line>
            <v:line style="position:absolute" from="3085,1435" to="3085,1562" stroked="true" strokeweight="1.5pt" strokecolor="#000080">
              <v:stroke dashstyle="solid"/>
            </v:line>
            <v:shape style="position:absolute;left:3090;top:1262;width:243;height:245" coordorigin="3090,1262" coordsize="243,245" path="m3090,1445l3110,1400m3110,1400l3133,1507m3133,1507l3153,1477m3153,1477l3163,1480m3163,1477l3185,1340m3185,1340l3205,1355m3205,1355l3228,1325m3228,1325l3248,1262m3248,1262l3258,1325m3258,1325l3280,1292m3280,1292l3300,1430m3300,1430l3323,1432m3323,1430l3333,1415e" filled="false" stroked="true" strokeweight="1pt" strokecolor="#000080">
              <v:path arrowok="t"/>
              <v:stroke dashstyle="solid"/>
            </v:shape>
            <v:line style="position:absolute" from="3343,1222" to="3343,1425" stroked="true" strokeweight="2pt" strokecolor="#000080">
              <v:stroke dashstyle="solid"/>
            </v:line>
            <v:shape style="position:absolute;left:3352;top:1172;width:190;height:413" coordorigin="3353,1172" coordsize="190,413" path="m3353,1232l3375,1172m3375,1172l3395,1292m3395,1292l3405,1370m3405,1370l3428,1477m3428,1477l3448,1340m3448,1340l3470,1307m3470,1307l3480,1262m3480,1262l3500,1385m3500,1385l3523,1582m3523,1582l3543,1585e" filled="false" stroked="true" strokeweight="1pt" strokecolor="#000080">
              <v:path arrowok="t"/>
              <v:stroke dashstyle="solid"/>
            </v:shape>
            <v:line style="position:absolute" from="3553,1572" to="3553,1792" stroked="true" strokeweight="2pt" strokecolor="#000080">
              <v:stroke dashstyle="solid"/>
            </v:line>
            <v:line style="position:absolute" from="3563,1782" to="3575,1872" stroked="true" strokeweight="1pt" strokecolor="#000080">
              <v:stroke dashstyle="solid"/>
            </v:line>
            <v:line style="position:absolute" from="3585,1862" to="3585,2082" stroked="true" strokeweight="2pt" strokecolor="#000080">
              <v:stroke dashstyle="solid"/>
            </v:line>
            <v:shape style="position:absolute;left:3595;top:1919;width:53;height:153" coordorigin="3595,1920" coordsize="53,153" path="m3595,2072l3615,1920m3615,1920l3638,2055m3638,2055l3648,2057e" filled="false" stroked="true" strokeweight="1pt" strokecolor="#000080">
              <v:path arrowok="t"/>
              <v:stroke dashstyle="solid"/>
            </v:shape>
            <v:line style="position:absolute" from="3658,2045" to="3658,2265" stroked="true" strokeweight="2pt" strokecolor="#000080">
              <v:stroke dashstyle="solid"/>
            </v:line>
            <v:shape style="position:absolute;left:3667;top:1964;width:223;height:305" coordorigin="3668,1965" coordsize="223,305" path="m3668,2255l3690,2225m3690,2225l3710,2270m3710,2270l3723,2192m3723,2192l3743,2162m3743,2162l3763,2240m3763,2240l3785,2147m3785,2147l3795,2132m3795,2132l3815,2040m3815,2040l3838,2117m3838,2117l3858,2055m3858,2055l3868,2040m3868,2040l3890,1965e" filled="false" stroked="true" strokeweight="1pt" strokecolor="#000080">
              <v:path arrowok="t"/>
              <v:stroke dashstyle="solid"/>
            </v:shape>
            <v:shape style="position:absolute;left:859;top:179;width:87;height:2165" coordorigin="859,179" coordsize="87,2165" path="m946,1614l859,1614m946,1850l859,1850m946,2095l859,2095m946,2344l859,2344m946,179l859,179m946,415l859,415m946,660l859,660m946,909l859,909m946,1140l859,1140m946,1381l859,1381e" filled="false" stroked="true" strokeweight=".5pt" strokecolor="#000000">
              <v:path arrowok="t"/>
              <v:stroke dashstyle="solid"/>
            </v:shape>
            <v:shape style="position:absolute;left:1459;top:314;width:570;height:133" type="#_x0000_t202" filled="false" stroked="false">
              <v:textbox inset="0,0,0,0">
                <w:txbxContent>
                  <w:p>
                    <w:pPr>
                      <w:spacing w:line="133" w:lineRule="exact" w:before="0"/>
                      <w:ind w:left="0" w:right="0" w:firstLine="0"/>
                      <w:jc w:val="left"/>
                      <w:rPr>
                        <w:sz w:val="12"/>
                      </w:rPr>
                    </w:pPr>
                    <w:r>
                      <w:rPr>
                        <w:sz w:val="12"/>
                      </w:rPr>
                      <w:t>Retail sales</w:t>
                    </w:r>
                  </w:p>
                </w:txbxContent>
              </v:textbox>
              <w10:wrap type="none"/>
            </v:shape>
            <w10:wrap type="none"/>
          </v:group>
        </w:pict>
      </w:r>
      <w:r>
        <w:rPr/>
        <w:pict>
          <v:line style="position:absolute;mso-position-horizontal-relative:page;mso-position-vertical-relative:paragraph;z-index:15758336" from="203.875007pt,8.911257pt" to="199.542007pt,8.911257pt" stroked="true" strokeweight=".5pt" strokecolor="#000000">
            <v:stroke dashstyle="solid"/>
            <w10:wrap type="none"/>
          </v:line>
        </w:pict>
      </w:r>
      <w:r>
        <w:rPr>
          <w:sz w:val="12"/>
        </w:rPr>
        <w:t>11</w:t>
      </w:r>
    </w:p>
    <w:p>
      <w:pPr>
        <w:spacing w:before="107"/>
        <w:ind w:left="0" w:right="804" w:firstLine="0"/>
        <w:jc w:val="right"/>
        <w:rPr>
          <w:sz w:val="12"/>
        </w:rPr>
      </w:pPr>
      <w:r>
        <w:rPr/>
        <w:pict>
          <v:line style="position:absolute;mso-position-horizontal-relative:page;mso-position-vertical-relative:paragraph;z-index:15758848" from="203.875007pt,8.202073pt" to="199.542007pt,8.202073pt" stroked="true" strokeweight=".5pt" strokecolor="#000000">
            <v:stroke dashstyle="solid"/>
            <w10:wrap type="none"/>
          </v:line>
        </w:pict>
      </w:r>
      <w:r>
        <w:rPr>
          <w:sz w:val="12"/>
        </w:rPr>
        <w:t>10</w:t>
      </w:r>
    </w:p>
    <w:p>
      <w:pPr>
        <w:spacing w:before="89"/>
        <w:ind w:left="0" w:right="804" w:firstLine="0"/>
        <w:jc w:val="right"/>
        <w:rPr>
          <w:sz w:val="12"/>
        </w:rPr>
      </w:pPr>
      <w:r>
        <w:rPr/>
        <w:pict>
          <v:line style="position:absolute;mso-position-horizontal-relative:page;mso-position-vertical-relative:paragraph;z-index:15759360" from="203.875007pt,8.177165pt" to="199.542007pt,8.177165pt" stroked="true" strokeweight=".5pt" strokecolor="#000000">
            <v:stroke dashstyle="solid"/>
            <w10:wrap type="none"/>
          </v:line>
        </w:pict>
      </w:r>
      <w:r>
        <w:rPr>
          <w:sz w:val="12"/>
        </w:rPr>
        <w:t>9</w:t>
      </w:r>
    </w:p>
    <w:p>
      <w:pPr>
        <w:spacing w:before="107"/>
        <w:ind w:left="0" w:right="804" w:firstLine="0"/>
        <w:jc w:val="right"/>
        <w:rPr>
          <w:sz w:val="12"/>
        </w:rPr>
      </w:pPr>
      <w:r>
        <w:rPr/>
        <w:pict>
          <v:line style="position:absolute;mso-position-horizontal-relative:page;mso-position-vertical-relative:paragraph;z-index:15759872" from="203.875007pt,9.285952pt" to="199.542007pt,9.285952pt" stroked="true" strokeweight=".5pt" strokecolor="#000000">
            <v:stroke dashstyle="solid"/>
            <w10:wrap type="none"/>
          </v:line>
        </w:pict>
      </w:r>
      <w:r>
        <w:rPr>
          <w:sz w:val="12"/>
        </w:rPr>
        <w:t>8</w:t>
      </w:r>
    </w:p>
    <w:p>
      <w:pPr>
        <w:spacing w:before="107"/>
        <w:ind w:left="0" w:right="804" w:firstLine="0"/>
        <w:jc w:val="right"/>
        <w:rPr>
          <w:sz w:val="12"/>
        </w:rPr>
      </w:pPr>
      <w:r>
        <w:rPr/>
        <w:pict>
          <v:line style="position:absolute;mso-position-horizontal-relative:page;mso-position-vertical-relative:paragraph;z-index:15760384" from="203.875007pt,8.597769pt" to="199.542007pt,8.597769pt" stroked="true" strokeweight=".5pt" strokecolor="#000000">
            <v:stroke dashstyle="solid"/>
            <w10:wrap type="none"/>
          </v:line>
        </w:pict>
      </w:r>
      <w:r>
        <w:rPr>
          <w:sz w:val="12"/>
        </w:rPr>
        <w:t>7</w:t>
      </w:r>
    </w:p>
    <w:p>
      <w:pPr>
        <w:spacing w:before="105"/>
        <w:ind w:left="0" w:right="804" w:firstLine="0"/>
        <w:jc w:val="right"/>
        <w:rPr>
          <w:sz w:val="12"/>
        </w:rPr>
      </w:pPr>
      <w:r>
        <w:rPr/>
        <w:pict>
          <v:line style="position:absolute;mso-position-horizontal-relative:page;mso-position-vertical-relative:paragraph;z-index:15760896" from="203.875007pt,8.393951pt" to="199.542007pt,8.393951pt" stroked="true" strokeweight=".5pt" strokecolor="#000000">
            <v:stroke dashstyle="solid"/>
            <w10:wrap type="none"/>
          </v:line>
        </w:pict>
      </w:r>
      <w:r>
        <w:rPr>
          <w:sz w:val="12"/>
        </w:rPr>
        <w:t>6</w:t>
      </w:r>
    </w:p>
    <w:p>
      <w:pPr>
        <w:spacing w:before="92"/>
        <w:ind w:left="0" w:right="804" w:firstLine="0"/>
        <w:jc w:val="right"/>
        <w:rPr>
          <w:sz w:val="12"/>
        </w:rPr>
      </w:pPr>
      <w:r>
        <w:rPr/>
        <w:pict>
          <v:line style="position:absolute;mso-position-horizontal-relative:page;mso-position-vertical-relative:paragraph;z-index:15755264" from="203.875007pt,7.910769pt" to="199.542007pt,7.910769pt" stroked="true" strokeweight=".5pt" strokecolor="#000000">
            <v:stroke dashstyle="solid"/>
            <w10:wrap type="none"/>
          </v:line>
        </w:pict>
      </w:r>
      <w:r>
        <w:rPr>
          <w:sz w:val="12"/>
        </w:rPr>
        <w:t>5</w:t>
      </w:r>
    </w:p>
    <w:p>
      <w:pPr>
        <w:spacing w:before="105"/>
        <w:ind w:left="0" w:right="804" w:firstLine="0"/>
        <w:jc w:val="right"/>
        <w:rPr>
          <w:sz w:val="12"/>
        </w:rPr>
      </w:pPr>
      <w:r>
        <w:rPr/>
        <w:pict>
          <v:line style="position:absolute;mso-position-horizontal-relative:page;mso-position-vertical-relative:paragraph;z-index:15755776" from="203.875007pt,8.226952pt" to="199.542007pt,8.226952pt" stroked="true" strokeweight=".5pt" strokecolor="#000000">
            <v:stroke dashstyle="solid"/>
            <w10:wrap type="none"/>
          </v:line>
        </w:pict>
      </w:r>
      <w:r>
        <w:rPr>
          <w:sz w:val="12"/>
        </w:rPr>
        <w:t>4</w:t>
      </w:r>
    </w:p>
    <w:p>
      <w:pPr>
        <w:spacing w:before="107"/>
        <w:ind w:left="0" w:right="804" w:firstLine="0"/>
        <w:jc w:val="right"/>
        <w:rPr>
          <w:sz w:val="12"/>
        </w:rPr>
      </w:pPr>
      <w:r>
        <w:rPr/>
        <w:pict>
          <v:line style="position:absolute;mso-position-horizontal-relative:page;mso-position-vertical-relative:paragraph;z-index:15756288" from="203.875007pt,8.326768pt" to="199.542007pt,8.326768pt" stroked="true" strokeweight=".5pt" strokecolor="#000000">
            <v:stroke dashstyle="solid"/>
            <w10:wrap type="none"/>
          </v:line>
        </w:pict>
      </w:r>
      <w:r>
        <w:rPr>
          <w:sz w:val="12"/>
        </w:rPr>
        <w:t>3</w:t>
      </w:r>
    </w:p>
    <w:p>
      <w:pPr>
        <w:tabs>
          <w:tab w:pos="3623" w:val="right" w:leader="none"/>
        </w:tabs>
        <w:spacing w:before="107"/>
        <w:ind w:left="1127" w:right="0" w:firstLine="0"/>
        <w:jc w:val="left"/>
        <w:rPr>
          <w:sz w:val="12"/>
        </w:rPr>
      </w:pPr>
      <w:r>
        <w:rPr/>
        <w:pict>
          <v:line style="position:absolute;mso-position-horizontal-relative:page;mso-position-vertical-relative:paragraph;z-index:-22388224" from="203.875007pt,8.499269pt" to="199.542007pt,8.499269pt" stroked="true" strokeweight=".5pt" strokecolor="#000000">
            <v:stroke dashstyle="solid"/>
            <w10:wrap type="none"/>
          </v:line>
        </w:pict>
      </w:r>
      <w:r>
        <w:rPr>
          <w:sz w:val="12"/>
        </w:rPr>
        <w:t>Notes and coin</w:t>
        <w:tab/>
      </w:r>
      <w:r>
        <w:rPr>
          <w:position w:val="7"/>
          <w:sz w:val="12"/>
        </w:rPr>
        <w:t>2</w:t>
      </w:r>
    </w:p>
    <w:p>
      <w:pPr>
        <w:spacing w:before="19"/>
        <w:ind w:left="0" w:right="804" w:firstLine="0"/>
        <w:jc w:val="right"/>
        <w:rPr>
          <w:sz w:val="12"/>
        </w:rPr>
      </w:pPr>
      <w:r>
        <w:rPr/>
        <w:pict>
          <v:line style="position:absolute;mso-position-horizontal-relative:page;mso-position-vertical-relative:paragraph;z-index:15753728" from="47.292pt,4.364769pt" to="42.958pt,4.364769pt" stroked="true" strokeweight=".5pt" strokecolor="#000000">
            <v:stroke dashstyle="solid"/>
            <w10:wrap type="none"/>
          </v:line>
        </w:pict>
      </w:r>
      <w:r>
        <w:rPr/>
        <w:pict>
          <v:line style="position:absolute;mso-position-horizontal-relative:page;mso-position-vertical-relative:paragraph;z-index:15757312" from="203.875007pt,4.322768pt" to="199.542007pt,4.322768pt" stroked="true" strokeweight=".5pt" strokecolor="#000000">
            <v:stroke dashstyle="solid"/>
            <w10:wrap type="none"/>
          </v:line>
        </w:pict>
      </w:r>
      <w:r>
        <w:rPr>
          <w:sz w:val="12"/>
        </w:rPr>
        <w:t>1</w:t>
      </w:r>
    </w:p>
    <w:p>
      <w:pPr>
        <w:spacing w:line="118" w:lineRule="exact" w:before="107"/>
        <w:ind w:left="3563" w:right="0" w:firstLine="0"/>
        <w:jc w:val="left"/>
        <w:rPr>
          <w:sz w:val="12"/>
        </w:rPr>
      </w:pPr>
      <w:r>
        <w:rPr/>
        <w:pict>
          <v:group style="position:absolute;margin-left:42.958pt;margin-top:6.118555pt;width:153pt;height:2.7pt;mso-position-horizontal-relative:page;mso-position-vertical-relative:paragraph;z-index:15754240" coordorigin="859,122" coordsize="3060,54">
            <v:shape style="position:absolute;left:859;top:122;width:3055;height:54" coordorigin="859,122" coordsize="3055,54" path="m946,171l859,171m1013,122l1013,176m3913,122l3913,176m1236,122l1236,176m3690,122l3690,176e" filled="false" stroked="true" strokeweight=".5pt" strokecolor="#000000">
              <v:path arrowok="t"/>
              <v:stroke dashstyle="solid"/>
            </v:shape>
            <v:line style="position:absolute" from="1013,171" to="3913,171" stroked="true" strokeweight=".5pt" strokecolor="#000000">
              <v:stroke dashstyle="solid"/>
            </v:line>
            <v:shape style="position:absolute;left:1459;top:122;width:2008;height:54" coordorigin="1459,122" coordsize="2008,54" path="m1459,122l1459,176m1683,122l1683,176m1906,122l1906,176m2129,122l2129,176m2352,122l2352,176m2575,122l2575,176m2798,122l2798,176m3021,122l3021,176m3244,122l3244,176m3467,122l3467,176e" filled="false" stroked="true" strokeweight=".5pt" strokecolor="#000000">
              <v:path arrowok="t"/>
              <v:stroke dashstyle="solid"/>
            </v:shape>
            <w10:wrap type="none"/>
          </v:group>
        </w:pict>
      </w:r>
      <w:r>
        <w:rPr/>
        <w:pict>
          <v:line style="position:absolute;mso-position-horizontal-relative:page;mso-position-vertical-relative:paragraph;z-index:15757824" from="203.875007pt,8.493555pt" to="199.542007pt,8.493555pt" stroked="true" strokeweight=".5pt" strokecolor="#000000">
            <v:stroke dashstyle="solid"/>
            <w10:wrap type="none"/>
          </v:line>
        </w:pict>
      </w:r>
      <w:r>
        <w:rPr>
          <w:sz w:val="12"/>
        </w:rPr>
        <w:t>0</w:t>
      </w:r>
    </w:p>
    <w:p>
      <w:pPr>
        <w:spacing w:line="118" w:lineRule="exact" w:before="0"/>
        <w:ind w:left="384" w:right="0" w:firstLine="0"/>
        <w:jc w:val="left"/>
        <w:rPr>
          <w:sz w:val="12"/>
        </w:rPr>
      </w:pPr>
      <w:r>
        <w:rPr>
          <w:sz w:val="12"/>
        </w:rPr>
        <w:t>1987 88 89 90 91 92 93 94 95 96 97 98 99</w:t>
      </w:r>
    </w:p>
    <w:p>
      <w:pPr>
        <w:pStyle w:val="BodyText"/>
        <w:rPr>
          <w:sz w:val="12"/>
        </w:rPr>
      </w:pPr>
    </w:p>
    <w:p>
      <w:pPr>
        <w:spacing w:before="91"/>
        <w:ind w:left="200" w:right="0" w:firstLine="0"/>
        <w:jc w:val="left"/>
        <w:rPr>
          <w:sz w:val="12"/>
        </w:rPr>
      </w:pPr>
      <w:r>
        <w:rPr>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0"/>
        </w:rPr>
      </w:pPr>
    </w:p>
    <w:p>
      <w:pPr>
        <w:pStyle w:val="Heading9"/>
        <w:spacing w:before="0"/>
        <w:ind w:left="180"/>
      </w:pPr>
      <w:r>
        <w:rPr>
          <w:color w:val="0093C1"/>
        </w:rPr>
        <w:t>Table 1.A</w:t>
      </w:r>
    </w:p>
    <w:p>
      <w:pPr>
        <w:spacing w:line="249" w:lineRule="auto" w:before="10"/>
        <w:ind w:left="180" w:right="841" w:firstLine="0"/>
        <w:jc w:val="left"/>
        <w:rPr>
          <w:sz w:val="12"/>
        </w:rPr>
      </w:pPr>
      <w:r>
        <w:rPr>
          <w:b/>
          <w:color w:val="0093C1"/>
          <w:sz w:val="20"/>
        </w:rPr>
        <w:t>Growth rates of notes and coin, M4 and M4 lending</w:t>
      </w:r>
      <w:r>
        <w:rPr>
          <w:position w:val="4"/>
          <w:sz w:val="12"/>
        </w:rPr>
        <w:t>(a)</w:t>
      </w:r>
    </w:p>
    <w:p>
      <w:pPr>
        <w:spacing w:before="78"/>
        <w:ind w:left="180" w:right="0" w:firstLine="0"/>
        <w:jc w:val="left"/>
        <w:rPr>
          <w:sz w:val="14"/>
        </w:rPr>
      </w:pPr>
      <w:r>
        <w:rPr>
          <w:sz w:val="14"/>
        </w:rPr>
        <w:t>Per cent</w:t>
      </w:r>
    </w:p>
    <w:p>
      <w:pPr>
        <w:tabs>
          <w:tab w:pos="1889" w:val="left" w:leader="none"/>
          <w:tab w:pos="2829" w:val="left" w:leader="none"/>
        </w:tabs>
        <w:spacing w:before="119"/>
        <w:ind w:left="1220" w:right="0" w:firstLine="0"/>
        <w:jc w:val="center"/>
        <w:rPr>
          <w:sz w:val="14"/>
        </w:rPr>
      </w:pPr>
      <w:r>
        <w:rPr>
          <w:sz w:val="14"/>
          <w:u w:val="single"/>
        </w:rPr>
        <w:t>1999</w:t>
      </w:r>
      <w:r>
        <w:rPr>
          <w:sz w:val="14"/>
        </w:rPr>
        <w:tab/>
      </w:r>
      <w:r>
        <w:rPr>
          <w:sz w:val="14"/>
          <w:u w:val="single"/>
        </w:rPr>
        <w:t>3</w:t>
      </w:r>
      <w:r>
        <w:rPr>
          <w:spacing w:val="-1"/>
          <w:sz w:val="14"/>
          <w:u w:val="single"/>
        </w:rPr>
        <w:t> </w:t>
      </w:r>
      <w:r>
        <w:rPr>
          <w:sz w:val="14"/>
          <w:u w:val="single"/>
        </w:rPr>
        <w:t>months</w:t>
      </w:r>
      <w:r>
        <w:rPr>
          <w:spacing w:val="-1"/>
          <w:sz w:val="14"/>
          <w:u w:val="single"/>
        </w:rPr>
        <w:t> </w:t>
      </w:r>
      <w:r>
        <w:rPr>
          <w:sz w:val="12"/>
          <w:u w:val="single"/>
        </w:rPr>
        <w:t>(b</w:t>
      </w:r>
      <w:r>
        <w:rPr>
          <w:sz w:val="12"/>
        </w:rPr>
        <w:t>)</w:t>
        <w:tab/>
      </w:r>
      <w:r>
        <w:rPr>
          <w:sz w:val="14"/>
          <w:u w:val="single"/>
        </w:rPr>
        <w:t>6 months </w:t>
      </w:r>
      <w:r>
        <w:rPr>
          <w:sz w:val="12"/>
          <w:u w:val="single"/>
        </w:rPr>
        <w:t>(b)</w:t>
      </w:r>
      <w:r>
        <w:rPr>
          <w:sz w:val="12"/>
        </w:rPr>
        <w:t> </w:t>
      </w:r>
      <w:r>
        <w:rPr>
          <w:sz w:val="14"/>
          <w:u w:val="single"/>
        </w:rPr>
        <w:t>12</w:t>
      </w:r>
      <w:r>
        <w:rPr>
          <w:spacing w:val="-15"/>
          <w:sz w:val="14"/>
          <w:u w:val="single"/>
        </w:rPr>
        <w:t> </w:t>
      </w:r>
      <w:r>
        <w:rPr>
          <w:sz w:val="14"/>
          <w:u w:val="single"/>
        </w:rPr>
        <w:t>months</w:t>
      </w:r>
      <w:r>
        <w:rPr>
          <w:spacing w:val="2"/>
          <w:sz w:val="14"/>
          <w:u w:val="single"/>
        </w:rPr>
        <w:t> </w:t>
      </w:r>
    </w:p>
    <w:p>
      <w:pPr>
        <w:pStyle w:val="BodyText"/>
        <w:spacing w:before="9" w:after="1"/>
        <w:rPr>
          <w:sz w:val="10"/>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5"/>
        <w:gridCol w:w="769"/>
        <w:gridCol w:w="855"/>
        <w:gridCol w:w="900"/>
        <w:gridCol w:w="618"/>
      </w:tblGrid>
      <w:tr>
        <w:trPr>
          <w:trHeight w:val="147" w:hRule="atLeast"/>
        </w:trPr>
        <w:tc>
          <w:tcPr>
            <w:tcW w:w="1684" w:type="dxa"/>
            <w:gridSpan w:val="2"/>
          </w:tcPr>
          <w:p>
            <w:pPr>
              <w:pStyle w:val="TableParagraph"/>
              <w:spacing w:line="128" w:lineRule="exact"/>
              <w:ind w:left="50"/>
              <w:rPr>
                <w:sz w:val="14"/>
              </w:rPr>
            </w:pPr>
            <w:r>
              <w:rPr>
                <w:sz w:val="14"/>
              </w:rPr>
              <w:t>Notes and coin </w:t>
            </w:r>
            <w:r>
              <w:rPr>
                <w:sz w:val="12"/>
              </w:rPr>
              <w:t>(c) </w:t>
            </w:r>
            <w:r>
              <w:rPr>
                <w:sz w:val="14"/>
              </w:rPr>
              <w:t>Nov.</w:t>
            </w:r>
          </w:p>
        </w:tc>
        <w:tc>
          <w:tcPr>
            <w:tcW w:w="855" w:type="dxa"/>
          </w:tcPr>
          <w:p>
            <w:pPr>
              <w:pStyle w:val="TableParagraph"/>
              <w:spacing w:line="128" w:lineRule="exact"/>
              <w:ind w:left="257" w:right="245"/>
              <w:jc w:val="center"/>
              <w:rPr>
                <w:sz w:val="14"/>
              </w:rPr>
            </w:pPr>
            <w:r>
              <w:rPr>
                <w:sz w:val="14"/>
              </w:rPr>
              <w:t>7.9</w:t>
            </w:r>
          </w:p>
        </w:tc>
        <w:tc>
          <w:tcPr>
            <w:tcW w:w="900" w:type="dxa"/>
          </w:tcPr>
          <w:p>
            <w:pPr>
              <w:pStyle w:val="TableParagraph"/>
              <w:spacing w:line="128" w:lineRule="exact"/>
              <w:ind w:left="311" w:right="234"/>
              <w:jc w:val="center"/>
              <w:rPr>
                <w:sz w:val="14"/>
              </w:rPr>
            </w:pPr>
            <w:r>
              <w:rPr>
                <w:sz w:val="14"/>
              </w:rPr>
              <w:t>8.8</w:t>
            </w:r>
          </w:p>
        </w:tc>
        <w:tc>
          <w:tcPr>
            <w:tcW w:w="618" w:type="dxa"/>
          </w:tcPr>
          <w:p>
            <w:pPr>
              <w:pStyle w:val="TableParagraph"/>
              <w:spacing w:line="128" w:lineRule="exact"/>
              <w:ind w:right="49"/>
              <w:jc w:val="right"/>
              <w:rPr>
                <w:sz w:val="14"/>
              </w:rPr>
            </w:pPr>
            <w:r>
              <w:rPr>
                <w:sz w:val="14"/>
              </w:rPr>
              <w:t>8.7</w:t>
            </w:r>
          </w:p>
        </w:tc>
      </w:tr>
      <w:tr>
        <w:trPr>
          <w:trHeight w:val="140" w:hRule="atLeast"/>
        </w:trPr>
        <w:tc>
          <w:tcPr>
            <w:tcW w:w="1684" w:type="dxa"/>
            <w:gridSpan w:val="2"/>
          </w:tcPr>
          <w:p>
            <w:pPr>
              <w:pStyle w:val="TableParagraph"/>
              <w:spacing w:line="120" w:lineRule="exact"/>
              <w:ind w:right="291"/>
              <w:jc w:val="right"/>
              <w:rPr>
                <w:sz w:val="14"/>
              </w:rPr>
            </w:pPr>
            <w:r>
              <w:rPr>
                <w:sz w:val="14"/>
              </w:rPr>
              <w:t>Dec.</w:t>
            </w:r>
          </w:p>
        </w:tc>
        <w:tc>
          <w:tcPr>
            <w:tcW w:w="855" w:type="dxa"/>
          </w:tcPr>
          <w:p>
            <w:pPr>
              <w:pStyle w:val="TableParagraph"/>
              <w:spacing w:line="120" w:lineRule="exact"/>
              <w:ind w:left="257" w:right="312"/>
              <w:jc w:val="center"/>
              <w:rPr>
                <w:sz w:val="14"/>
              </w:rPr>
            </w:pPr>
            <w:r>
              <w:rPr>
                <w:sz w:val="14"/>
              </w:rPr>
              <w:t>23.8</w:t>
            </w:r>
          </w:p>
        </w:tc>
        <w:tc>
          <w:tcPr>
            <w:tcW w:w="900" w:type="dxa"/>
          </w:tcPr>
          <w:p>
            <w:pPr>
              <w:pStyle w:val="TableParagraph"/>
              <w:spacing w:line="120" w:lineRule="exact"/>
              <w:ind w:left="311" w:right="304"/>
              <w:jc w:val="center"/>
              <w:rPr>
                <w:sz w:val="14"/>
              </w:rPr>
            </w:pPr>
            <w:r>
              <w:rPr>
                <w:sz w:val="14"/>
              </w:rPr>
              <w:t>15.0</w:t>
            </w:r>
          </w:p>
        </w:tc>
        <w:tc>
          <w:tcPr>
            <w:tcW w:w="618" w:type="dxa"/>
          </w:tcPr>
          <w:p>
            <w:pPr>
              <w:pStyle w:val="TableParagraph"/>
              <w:spacing w:line="120" w:lineRule="exact"/>
              <w:ind w:right="49"/>
              <w:jc w:val="right"/>
              <w:rPr>
                <w:sz w:val="14"/>
              </w:rPr>
            </w:pPr>
            <w:r>
              <w:rPr>
                <w:sz w:val="14"/>
              </w:rPr>
              <w:t>12.1</w:t>
            </w:r>
          </w:p>
        </w:tc>
      </w:tr>
      <w:tr>
        <w:trPr>
          <w:trHeight w:val="147" w:hRule="atLeast"/>
        </w:trPr>
        <w:tc>
          <w:tcPr>
            <w:tcW w:w="1684" w:type="dxa"/>
            <w:gridSpan w:val="2"/>
          </w:tcPr>
          <w:p>
            <w:pPr>
              <w:pStyle w:val="TableParagraph"/>
              <w:spacing w:line="128" w:lineRule="exact"/>
              <w:ind w:right="330"/>
              <w:jc w:val="right"/>
              <w:rPr>
                <w:sz w:val="14"/>
              </w:rPr>
            </w:pPr>
            <w:r>
              <w:rPr>
                <w:sz w:val="14"/>
              </w:rPr>
              <w:t>Jan.</w:t>
            </w:r>
          </w:p>
        </w:tc>
        <w:tc>
          <w:tcPr>
            <w:tcW w:w="855" w:type="dxa"/>
          </w:tcPr>
          <w:p>
            <w:pPr>
              <w:pStyle w:val="TableParagraph"/>
              <w:spacing w:line="128" w:lineRule="exact"/>
              <w:ind w:left="257" w:right="312"/>
              <w:jc w:val="center"/>
              <w:rPr>
                <w:sz w:val="14"/>
              </w:rPr>
            </w:pPr>
            <w:r>
              <w:rPr>
                <w:sz w:val="14"/>
              </w:rPr>
              <w:t>30.2</w:t>
            </w:r>
          </w:p>
        </w:tc>
        <w:tc>
          <w:tcPr>
            <w:tcW w:w="900" w:type="dxa"/>
          </w:tcPr>
          <w:p>
            <w:pPr>
              <w:pStyle w:val="TableParagraph"/>
              <w:spacing w:line="128" w:lineRule="exact"/>
              <w:ind w:left="311" w:right="304"/>
              <w:jc w:val="center"/>
              <w:rPr>
                <w:sz w:val="14"/>
              </w:rPr>
            </w:pPr>
            <w:r>
              <w:rPr>
                <w:sz w:val="14"/>
              </w:rPr>
              <w:t>17.5</w:t>
            </w:r>
          </w:p>
        </w:tc>
        <w:tc>
          <w:tcPr>
            <w:tcW w:w="618" w:type="dxa"/>
          </w:tcPr>
          <w:p>
            <w:pPr>
              <w:pStyle w:val="TableParagraph"/>
              <w:spacing w:line="128" w:lineRule="exact"/>
              <w:ind w:right="49"/>
              <w:jc w:val="right"/>
              <w:rPr>
                <w:sz w:val="14"/>
              </w:rPr>
            </w:pPr>
            <w:r>
              <w:rPr>
                <w:sz w:val="14"/>
              </w:rPr>
              <w:t>13.0</w:t>
            </w:r>
          </w:p>
        </w:tc>
      </w:tr>
      <w:tr>
        <w:trPr>
          <w:trHeight w:val="272" w:hRule="atLeast"/>
        </w:trPr>
        <w:tc>
          <w:tcPr>
            <w:tcW w:w="915" w:type="dxa"/>
          </w:tcPr>
          <w:p>
            <w:pPr>
              <w:pStyle w:val="TableParagraph"/>
              <w:spacing w:line="133" w:lineRule="exact" w:before="119"/>
              <w:ind w:left="50"/>
              <w:rPr>
                <w:sz w:val="14"/>
              </w:rPr>
            </w:pPr>
            <w:r>
              <w:rPr>
                <w:sz w:val="14"/>
              </w:rPr>
              <w:t>M4</w:t>
            </w:r>
          </w:p>
        </w:tc>
        <w:tc>
          <w:tcPr>
            <w:tcW w:w="769" w:type="dxa"/>
          </w:tcPr>
          <w:p>
            <w:pPr>
              <w:pStyle w:val="TableParagraph"/>
              <w:spacing w:line="133" w:lineRule="exact" w:before="119"/>
              <w:ind w:left="215"/>
              <w:rPr>
                <w:sz w:val="14"/>
              </w:rPr>
            </w:pPr>
            <w:r>
              <w:rPr>
                <w:sz w:val="14"/>
              </w:rPr>
              <w:t>Q1</w:t>
            </w:r>
          </w:p>
        </w:tc>
        <w:tc>
          <w:tcPr>
            <w:tcW w:w="855" w:type="dxa"/>
          </w:tcPr>
          <w:p>
            <w:pPr>
              <w:pStyle w:val="TableParagraph"/>
              <w:spacing w:line="133" w:lineRule="exact" w:before="119"/>
              <w:ind w:left="257" w:right="245"/>
              <w:jc w:val="center"/>
              <w:rPr>
                <w:sz w:val="14"/>
              </w:rPr>
            </w:pPr>
            <w:r>
              <w:rPr>
                <w:sz w:val="14"/>
              </w:rPr>
              <w:t>3.7</w:t>
            </w:r>
          </w:p>
        </w:tc>
        <w:tc>
          <w:tcPr>
            <w:tcW w:w="900" w:type="dxa"/>
          </w:tcPr>
          <w:p>
            <w:pPr>
              <w:pStyle w:val="TableParagraph"/>
              <w:spacing w:line="133" w:lineRule="exact" w:before="119"/>
              <w:ind w:left="311" w:right="234"/>
              <w:jc w:val="center"/>
              <w:rPr>
                <w:sz w:val="14"/>
              </w:rPr>
            </w:pPr>
            <w:r>
              <w:rPr>
                <w:sz w:val="14"/>
              </w:rPr>
              <w:t>4.1</w:t>
            </w:r>
          </w:p>
        </w:tc>
        <w:tc>
          <w:tcPr>
            <w:tcW w:w="618" w:type="dxa"/>
          </w:tcPr>
          <w:p>
            <w:pPr>
              <w:pStyle w:val="TableParagraph"/>
              <w:spacing w:line="133" w:lineRule="exact" w:before="119"/>
              <w:ind w:right="49"/>
              <w:jc w:val="right"/>
              <w:rPr>
                <w:sz w:val="14"/>
              </w:rPr>
            </w:pPr>
            <w:r>
              <w:rPr>
                <w:sz w:val="14"/>
              </w:rPr>
              <w:t>7.0</w:t>
            </w:r>
          </w:p>
        </w:tc>
      </w:tr>
      <w:tr>
        <w:trPr>
          <w:trHeight w:val="140" w:hRule="atLeast"/>
        </w:trPr>
        <w:tc>
          <w:tcPr>
            <w:tcW w:w="915" w:type="dxa"/>
          </w:tcPr>
          <w:p>
            <w:pPr>
              <w:pStyle w:val="TableParagraph"/>
              <w:rPr>
                <w:sz w:val="8"/>
              </w:rPr>
            </w:pPr>
          </w:p>
        </w:tc>
        <w:tc>
          <w:tcPr>
            <w:tcW w:w="769" w:type="dxa"/>
          </w:tcPr>
          <w:p>
            <w:pPr>
              <w:pStyle w:val="TableParagraph"/>
              <w:spacing w:line="120" w:lineRule="exact"/>
              <w:ind w:left="215"/>
              <w:rPr>
                <w:sz w:val="14"/>
              </w:rPr>
            </w:pPr>
            <w:r>
              <w:rPr>
                <w:sz w:val="14"/>
              </w:rPr>
              <w:t>Q2</w:t>
            </w:r>
          </w:p>
        </w:tc>
        <w:tc>
          <w:tcPr>
            <w:tcW w:w="855" w:type="dxa"/>
          </w:tcPr>
          <w:p>
            <w:pPr>
              <w:pStyle w:val="TableParagraph"/>
              <w:spacing w:line="120" w:lineRule="exact"/>
              <w:ind w:left="257" w:right="245"/>
              <w:jc w:val="center"/>
              <w:rPr>
                <w:sz w:val="14"/>
              </w:rPr>
            </w:pPr>
            <w:r>
              <w:rPr>
                <w:sz w:val="14"/>
              </w:rPr>
              <w:t>3.7</w:t>
            </w:r>
          </w:p>
        </w:tc>
        <w:tc>
          <w:tcPr>
            <w:tcW w:w="900" w:type="dxa"/>
          </w:tcPr>
          <w:p>
            <w:pPr>
              <w:pStyle w:val="TableParagraph"/>
              <w:spacing w:line="120" w:lineRule="exact"/>
              <w:ind w:left="311" w:right="234"/>
              <w:jc w:val="center"/>
              <w:rPr>
                <w:sz w:val="14"/>
              </w:rPr>
            </w:pPr>
            <w:r>
              <w:rPr>
                <w:sz w:val="14"/>
              </w:rPr>
              <w:t>3.7</w:t>
            </w:r>
          </w:p>
        </w:tc>
        <w:tc>
          <w:tcPr>
            <w:tcW w:w="618" w:type="dxa"/>
          </w:tcPr>
          <w:p>
            <w:pPr>
              <w:pStyle w:val="TableParagraph"/>
              <w:spacing w:line="120" w:lineRule="exact"/>
              <w:ind w:right="49"/>
              <w:jc w:val="right"/>
              <w:rPr>
                <w:sz w:val="14"/>
              </w:rPr>
            </w:pPr>
            <w:r>
              <w:rPr>
                <w:sz w:val="14"/>
              </w:rPr>
              <w:t>5.5</w:t>
            </w:r>
          </w:p>
        </w:tc>
      </w:tr>
      <w:tr>
        <w:trPr>
          <w:trHeight w:val="140" w:hRule="atLeast"/>
        </w:trPr>
        <w:tc>
          <w:tcPr>
            <w:tcW w:w="915" w:type="dxa"/>
          </w:tcPr>
          <w:p>
            <w:pPr>
              <w:pStyle w:val="TableParagraph"/>
              <w:rPr>
                <w:sz w:val="8"/>
              </w:rPr>
            </w:pPr>
          </w:p>
        </w:tc>
        <w:tc>
          <w:tcPr>
            <w:tcW w:w="769" w:type="dxa"/>
          </w:tcPr>
          <w:p>
            <w:pPr>
              <w:pStyle w:val="TableParagraph"/>
              <w:spacing w:line="120" w:lineRule="exact"/>
              <w:ind w:left="215"/>
              <w:rPr>
                <w:sz w:val="14"/>
              </w:rPr>
            </w:pPr>
            <w:r>
              <w:rPr>
                <w:sz w:val="14"/>
              </w:rPr>
              <w:t>Q3</w:t>
            </w:r>
          </w:p>
        </w:tc>
        <w:tc>
          <w:tcPr>
            <w:tcW w:w="855" w:type="dxa"/>
          </w:tcPr>
          <w:p>
            <w:pPr>
              <w:pStyle w:val="TableParagraph"/>
              <w:spacing w:line="120" w:lineRule="exact"/>
              <w:ind w:left="257" w:right="245"/>
              <w:jc w:val="center"/>
              <w:rPr>
                <w:sz w:val="14"/>
              </w:rPr>
            </w:pPr>
            <w:r>
              <w:rPr>
                <w:sz w:val="14"/>
              </w:rPr>
              <w:t>0.4</w:t>
            </w:r>
          </w:p>
        </w:tc>
        <w:tc>
          <w:tcPr>
            <w:tcW w:w="900" w:type="dxa"/>
          </w:tcPr>
          <w:p>
            <w:pPr>
              <w:pStyle w:val="TableParagraph"/>
              <w:spacing w:line="120" w:lineRule="exact"/>
              <w:ind w:left="311" w:right="234"/>
              <w:jc w:val="center"/>
              <w:rPr>
                <w:sz w:val="14"/>
              </w:rPr>
            </w:pPr>
            <w:r>
              <w:rPr>
                <w:sz w:val="14"/>
              </w:rPr>
              <w:t>2.0</w:t>
            </w:r>
          </w:p>
        </w:tc>
        <w:tc>
          <w:tcPr>
            <w:tcW w:w="618" w:type="dxa"/>
          </w:tcPr>
          <w:p>
            <w:pPr>
              <w:pStyle w:val="TableParagraph"/>
              <w:spacing w:line="120" w:lineRule="exact"/>
              <w:ind w:right="49"/>
              <w:jc w:val="right"/>
              <w:rPr>
                <w:sz w:val="14"/>
              </w:rPr>
            </w:pPr>
            <w:r>
              <w:rPr>
                <w:sz w:val="14"/>
              </w:rPr>
              <w:t>3.0</w:t>
            </w:r>
          </w:p>
        </w:tc>
      </w:tr>
      <w:tr>
        <w:trPr>
          <w:trHeight w:val="210" w:hRule="atLeast"/>
        </w:trPr>
        <w:tc>
          <w:tcPr>
            <w:tcW w:w="915" w:type="dxa"/>
          </w:tcPr>
          <w:p>
            <w:pPr>
              <w:pStyle w:val="TableParagraph"/>
              <w:rPr>
                <w:sz w:val="14"/>
              </w:rPr>
            </w:pPr>
          </w:p>
        </w:tc>
        <w:tc>
          <w:tcPr>
            <w:tcW w:w="769" w:type="dxa"/>
          </w:tcPr>
          <w:p>
            <w:pPr>
              <w:pStyle w:val="TableParagraph"/>
              <w:spacing w:line="148" w:lineRule="exact"/>
              <w:ind w:left="215"/>
              <w:rPr>
                <w:sz w:val="14"/>
              </w:rPr>
            </w:pPr>
            <w:r>
              <w:rPr>
                <w:sz w:val="14"/>
              </w:rPr>
              <w:t>Q4</w:t>
            </w:r>
          </w:p>
        </w:tc>
        <w:tc>
          <w:tcPr>
            <w:tcW w:w="855" w:type="dxa"/>
          </w:tcPr>
          <w:p>
            <w:pPr>
              <w:pStyle w:val="TableParagraph"/>
              <w:spacing w:line="148" w:lineRule="exact"/>
              <w:ind w:left="257" w:right="245"/>
              <w:jc w:val="center"/>
              <w:rPr>
                <w:sz w:val="14"/>
              </w:rPr>
            </w:pPr>
            <w:r>
              <w:rPr>
                <w:sz w:val="14"/>
              </w:rPr>
              <w:t>6.6</w:t>
            </w:r>
          </w:p>
        </w:tc>
        <w:tc>
          <w:tcPr>
            <w:tcW w:w="900" w:type="dxa"/>
          </w:tcPr>
          <w:p>
            <w:pPr>
              <w:pStyle w:val="TableParagraph"/>
              <w:spacing w:line="148" w:lineRule="exact"/>
              <w:ind w:left="311" w:right="234"/>
              <w:jc w:val="center"/>
              <w:rPr>
                <w:sz w:val="14"/>
              </w:rPr>
            </w:pPr>
            <w:r>
              <w:rPr>
                <w:sz w:val="14"/>
              </w:rPr>
              <w:t>3.4</w:t>
            </w:r>
          </w:p>
        </w:tc>
        <w:tc>
          <w:tcPr>
            <w:tcW w:w="618" w:type="dxa"/>
          </w:tcPr>
          <w:p>
            <w:pPr>
              <w:pStyle w:val="TableParagraph"/>
              <w:spacing w:line="148" w:lineRule="exact"/>
              <w:ind w:right="49"/>
              <w:jc w:val="right"/>
              <w:rPr>
                <w:sz w:val="14"/>
              </w:rPr>
            </w:pPr>
            <w:r>
              <w:rPr>
                <w:sz w:val="14"/>
              </w:rPr>
              <w:t>3.6</w:t>
            </w:r>
          </w:p>
        </w:tc>
      </w:tr>
      <w:tr>
        <w:trPr>
          <w:trHeight w:val="210" w:hRule="atLeast"/>
        </w:trPr>
        <w:tc>
          <w:tcPr>
            <w:tcW w:w="915" w:type="dxa"/>
          </w:tcPr>
          <w:p>
            <w:pPr>
              <w:pStyle w:val="TableParagraph"/>
              <w:spacing w:line="133" w:lineRule="exact" w:before="56"/>
              <w:ind w:left="50"/>
              <w:rPr>
                <w:sz w:val="14"/>
              </w:rPr>
            </w:pPr>
            <w:r>
              <w:rPr>
                <w:sz w:val="14"/>
              </w:rPr>
              <w:t>M4 lending</w:t>
            </w:r>
          </w:p>
        </w:tc>
        <w:tc>
          <w:tcPr>
            <w:tcW w:w="769" w:type="dxa"/>
          </w:tcPr>
          <w:p>
            <w:pPr>
              <w:pStyle w:val="TableParagraph"/>
              <w:spacing w:line="133" w:lineRule="exact" w:before="56"/>
              <w:ind w:left="215"/>
              <w:rPr>
                <w:sz w:val="14"/>
              </w:rPr>
            </w:pPr>
            <w:r>
              <w:rPr>
                <w:sz w:val="14"/>
              </w:rPr>
              <w:t>Q1</w:t>
            </w:r>
          </w:p>
        </w:tc>
        <w:tc>
          <w:tcPr>
            <w:tcW w:w="855" w:type="dxa"/>
          </w:tcPr>
          <w:p>
            <w:pPr>
              <w:pStyle w:val="TableParagraph"/>
              <w:spacing w:line="133" w:lineRule="exact" w:before="56"/>
              <w:ind w:left="257" w:right="245"/>
              <w:jc w:val="center"/>
              <w:rPr>
                <w:sz w:val="14"/>
              </w:rPr>
            </w:pPr>
            <w:r>
              <w:rPr>
                <w:sz w:val="14"/>
              </w:rPr>
              <w:t>7.2</w:t>
            </w:r>
          </w:p>
        </w:tc>
        <w:tc>
          <w:tcPr>
            <w:tcW w:w="900" w:type="dxa"/>
          </w:tcPr>
          <w:p>
            <w:pPr>
              <w:pStyle w:val="TableParagraph"/>
              <w:spacing w:line="133" w:lineRule="exact" w:before="56"/>
              <w:ind w:left="311" w:right="234"/>
              <w:jc w:val="center"/>
              <w:rPr>
                <w:sz w:val="14"/>
              </w:rPr>
            </w:pPr>
            <w:r>
              <w:rPr>
                <w:sz w:val="14"/>
              </w:rPr>
              <w:t>5.9</w:t>
            </w:r>
          </w:p>
        </w:tc>
        <w:tc>
          <w:tcPr>
            <w:tcW w:w="618" w:type="dxa"/>
          </w:tcPr>
          <w:p>
            <w:pPr>
              <w:pStyle w:val="TableParagraph"/>
              <w:spacing w:line="133" w:lineRule="exact" w:before="56"/>
              <w:ind w:right="49"/>
              <w:jc w:val="right"/>
              <w:rPr>
                <w:sz w:val="14"/>
              </w:rPr>
            </w:pPr>
            <w:r>
              <w:rPr>
                <w:sz w:val="14"/>
              </w:rPr>
              <w:t>7.3</w:t>
            </w:r>
          </w:p>
        </w:tc>
      </w:tr>
      <w:tr>
        <w:trPr>
          <w:trHeight w:val="140" w:hRule="atLeast"/>
        </w:trPr>
        <w:tc>
          <w:tcPr>
            <w:tcW w:w="915" w:type="dxa"/>
          </w:tcPr>
          <w:p>
            <w:pPr>
              <w:pStyle w:val="TableParagraph"/>
              <w:rPr>
                <w:sz w:val="8"/>
              </w:rPr>
            </w:pPr>
          </w:p>
        </w:tc>
        <w:tc>
          <w:tcPr>
            <w:tcW w:w="769" w:type="dxa"/>
          </w:tcPr>
          <w:p>
            <w:pPr>
              <w:pStyle w:val="TableParagraph"/>
              <w:spacing w:line="120" w:lineRule="exact"/>
              <w:ind w:left="215"/>
              <w:rPr>
                <w:sz w:val="14"/>
              </w:rPr>
            </w:pPr>
            <w:r>
              <w:rPr>
                <w:sz w:val="14"/>
              </w:rPr>
              <w:t>Q2</w:t>
            </w:r>
          </w:p>
        </w:tc>
        <w:tc>
          <w:tcPr>
            <w:tcW w:w="855" w:type="dxa"/>
          </w:tcPr>
          <w:p>
            <w:pPr>
              <w:pStyle w:val="TableParagraph"/>
              <w:spacing w:line="120" w:lineRule="exact"/>
              <w:ind w:left="257" w:right="245"/>
              <w:jc w:val="center"/>
              <w:rPr>
                <w:sz w:val="14"/>
              </w:rPr>
            </w:pPr>
            <w:r>
              <w:rPr>
                <w:sz w:val="14"/>
              </w:rPr>
              <w:t>8.6</w:t>
            </w:r>
          </w:p>
        </w:tc>
        <w:tc>
          <w:tcPr>
            <w:tcW w:w="900" w:type="dxa"/>
          </w:tcPr>
          <w:p>
            <w:pPr>
              <w:pStyle w:val="TableParagraph"/>
              <w:spacing w:line="120" w:lineRule="exact"/>
              <w:ind w:left="311" w:right="234"/>
              <w:jc w:val="center"/>
              <w:rPr>
                <w:sz w:val="14"/>
              </w:rPr>
            </w:pPr>
            <w:r>
              <w:rPr>
                <w:sz w:val="14"/>
              </w:rPr>
              <w:t>7.9</w:t>
            </w:r>
          </w:p>
        </w:tc>
        <w:tc>
          <w:tcPr>
            <w:tcW w:w="618" w:type="dxa"/>
          </w:tcPr>
          <w:p>
            <w:pPr>
              <w:pStyle w:val="TableParagraph"/>
              <w:spacing w:line="120" w:lineRule="exact"/>
              <w:ind w:right="49"/>
              <w:jc w:val="right"/>
              <w:rPr>
                <w:sz w:val="14"/>
              </w:rPr>
            </w:pPr>
            <w:r>
              <w:rPr>
                <w:sz w:val="14"/>
              </w:rPr>
              <w:t>7.7</w:t>
            </w:r>
          </w:p>
        </w:tc>
      </w:tr>
      <w:tr>
        <w:trPr>
          <w:trHeight w:val="140" w:hRule="atLeast"/>
        </w:trPr>
        <w:tc>
          <w:tcPr>
            <w:tcW w:w="915" w:type="dxa"/>
          </w:tcPr>
          <w:p>
            <w:pPr>
              <w:pStyle w:val="TableParagraph"/>
              <w:rPr>
                <w:sz w:val="8"/>
              </w:rPr>
            </w:pPr>
          </w:p>
        </w:tc>
        <w:tc>
          <w:tcPr>
            <w:tcW w:w="769" w:type="dxa"/>
          </w:tcPr>
          <w:p>
            <w:pPr>
              <w:pStyle w:val="TableParagraph"/>
              <w:spacing w:line="120" w:lineRule="exact"/>
              <w:ind w:left="215"/>
              <w:rPr>
                <w:sz w:val="14"/>
              </w:rPr>
            </w:pPr>
            <w:r>
              <w:rPr>
                <w:sz w:val="14"/>
              </w:rPr>
              <w:t>Q3</w:t>
            </w:r>
          </w:p>
        </w:tc>
        <w:tc>
          <w:tcPr>
            <w:tcW w:w="855" w:type="dxa"/>
          </w:tcPr>
          <w:p>
            <w:pPr>
              <w:pStyle w:val="TableParagraph"/>
              <w:spacing w:line="120" w:lineRule="exact"/>
              <w:ind w:left="257" w:right="245"/>
              <w:jc w:val="center"/>
              <w:rPr>
                <w:sz w:val="14"/>
              </w:rPr>
            </w:pPr>
            <w:r>
              <w:rPr>
                <w:sz w:val="14"/>
              </w:rPr>
              <w:t>7.5</w:t>
            </w:r>
          </w:p>
        </w:tc>
        <w:tc>
          <w:tcPr>
            <w:tcW w:w="900" w:type="dxa"/>
          </w:tcPr>
          <w:p>
            <w:pPr>
              <w:pStyle w:val="TableParagraph"/>
              <w:spacing w:line="120" w:lineRule="exact"/>
              <w:ind w:left="311" w:right="234"/>
              <w:jc w:val="center"/>
              <w:rPr>
                <w:sz w:val="14"/>
              </w:rPr>
            </w:pPr>
            <w:r>
              <w:rPr>
                <w:sz w:val="14"/>
              </w:rPr>
              <w:t>8.0</w:t>
            </w:r>
          </w:p>
        </w:tc>
        <w:tc>
          <w:tcPr>
            <w:tcW w:w="618" w:type="dxa"/>
          </w:tcPr>
          <w:p>
            <w:pPr>
              <w:pStyle w:val="TableParagraph"/>
              <w:spacing w:line="120" w:lineRule="exact"/>
              <w:ind w:right="49"/>
              <w:jc w:val="right"/>
              <w:rPr>
                <w:sz w:val="14"/>
              </w:rPr>
            </w:pPr>
            <w:r>
              <w:rPr>
                <w:sz w:val="14"/>
              </w:rPr>
              <w:t>7.0</w:t>
            </w:r>
          </w:p>
        </w:tc>
      </w:tr>
      <w:tr>
        <w:trPr>
          <w:trHeight w:val="147" w:hRule="atLeast"/>
        </w:trPr>
        <w:tc>
          <w:tcPr>
            <w:tcW w:w="915" w:type="dxa"/>
          </w:tcPr>
          <w:p>
            <w:pPr>
              <w:pStyle w:val="TableParagraph"/>
              <w:rPr>
                <w:sz w:val="8"/>
              </w:rPr>
            </w:pPr>
          </w:p>
        </w:tc>
        <w:tc>
          <w:tcPr>
            <w:tcW w:w="769" w:type="dxa"/>
          </w:tcPr>
          <w:p>
            <w:pPr>
              <w:pStyle w:val="TableParagraph"/>
              <w:spacing w:line="128" w:lineRule="exact"/>
              <w:ind w:left="215"/>
              <w:rPr>
                <w:sz w:val="14"/>
              </w:rPr>
            </w:pPr>
            <w:r>
              <w:rPr>
                <w:sz w:val="14"/>
              </w:rPr>
              <w:t>Q4</w:t>
            </w:r>
          </w:p>
        </w:tc>
        <w:tc>
          <w:tcPr>
            <w:tcW w:w="855" w:type="dxa"/>
          </w:tcPr>
          <w:p>
            <w:pPr>
              <w:pStyle w:val="TableParagraph"/>
              <w:spacing w:line="128" w:lineRule="exact"/>
              <w:ind w:left="257" w:right="312"/>
              <w:jc w:val="center"/>
              <w:rPr>
                <w:sz w:val="14"/>
              </w:rPr>
            </w:pPr>
            <w:r>
              <w:rPr>
                <w:sz w:val="14"/>
              </w:rPr>
              <w:t>10.9</w:t>
            </w:r>
          </w:p>
        </w:tc>
        <w:tc>
          <w:tcPr>
            <w:tcW w:w="900" w:type="dxa"/>
          </w:tcPr>
          <w:p>
            <w:pPr>
              <w:pStyle w:val="TableParagraph"/>
              <w:spacing w:line="128" w:lineRule="exact"/>
              <w:ind w:left="311" w:right="234"/>
              <w:jc w:val="center"/>
              <w:rPr>
                <w:sz w:val="14"/>
              </w:rPr>
            </w:pPr>
            <w:r>
              <w:rPr>
                <w:sz w:val="14"/>
              </w:rPr>
              <w:t>9.2</w:t>
            </w:r>
          </w:p>
        </w:tc>
        <w:tc>
          <w:tcPr>
            <w:tcW w:w="618" w:type="dxa"/>
          </w:tcPr>
          <w:p>
            <w:pPr>
              <w:pStyle w:val="TableParagraph"/>
              <w:spacing w:line="128" w:lineRule="exact"/>
              <w:ind w:right="49"/>
              <w:jc w:val="right"/>
              <w:rPr>
                <w:sz w:val="14"/>
              </w:rPr>
            </w:pPr>
            <w:r>
              <w:rPr>
                <w:sz w:val="14"/>
              </w:rPr>
              <w:t>8.5</w:t>
            </w:r>
          </w:p>
        </w:tc>
      </w:tr>
    </w:tbl>
    <w:p>
      <w:pPr>
        <w:spacing w:before="97"/>
        <w:ind w:left="180" w:right="0" w:firstLine="0"/>
        <w:jc w:val="left"/>
        <w:rPr>
          <w:sz w:val="12"/>
        </w:rPr>
      </w:pPr>
      <w:r>
        <w:rPr>
          <w:sz w:val="12"/>
        </w:rPr>
        <w:t>Source: Bank of England.</w:t>
      </w:r>
    </w:p>
    <w:p>
      <w:pPr>
        <w:pStyle w:val="ListParagraph"/>
        <w:numPr>
          <w:ilvl w:val="0"/>
          <w:numId w:val="3"/>
        </w:numPr>
        <w:tabs>
          <w:tab w:pos="420" w:val="left" w:leader="none"/>
        </w:tabs>
        <w:spacing w:line="129" w:lineRule="exact" w:before="102" w:after="0"/>
        <w:ind w:left="419" w:right="0" w:hanging="240"/>
        <w:jc w:val="left"/>
        <w:rPr>
          <w:sz w:val="12"/>
        </w:rPr>
      </w:pPr>
      <w:r>
        <w:rPr>
          <w:sz w:val="12"/>
        </w:rPr>
        <w:t>Seasonally adjusted.</w:t>
      </w:r>
    </w:p>
    <w:p>
      <w:pPr>
        <w:pStyle w:val="ListParagraph"/>
        <w:numPr>
          <w:ilvl w:val="0"/>
          <w:numId w:val="3"/>
        </w:numPr>
        <w:tabs>
          <w:tab w:pos="421" w:val="left" w:leader="none"/>
        </w:tabs>
        <w:spacing w:line="120" w:lineRule="exact" w:before="0" w:after="0"/>
        <w:ind w:left="420" w:right="0" w:hanging="241"/>
        <w:jc w:val="left"/>
        <w:rPr>
          <w:sz w:val="12"/>
        </w:rPr>
      </w:pPr>
      <w:r>
        <w:rPr>
          <w:sz w:val="12"/>
        </w:rPr>
        <w:t>Annualised.</w:t>
      </w:r>
    </w:p>
    <w:p>
      <w:pPr>
        <w:pStyle w:val="ListParagraph"/>
        <w:numPr>
          <w:ilvl w:val="0"/>
          <w:numId w:val="3"/>
        </w:numPr>
        <w:tabs>
          <w:tab w:pos="420" w:val="left" w:leader="none"/>
        </w:tabs>
        <w:spacing w:line="129" w:lineRule="exact" w:before="0" w:after="0"/>
        <w:ind w:left="419" w:right="0" w:hanging="240"/>
        <w:jc w:val="left"/>
        <w:rPr>
          <w:sz w:val="12"/>
        </w:rPr>
      </w:pPr>
      <w:r>
        <w:rPr>
          <w:sz w:val="12"/>
        </w:rPr>
        <w:t>Growth rates based on an average of weekly observations in the month.</w:t>
      </w:r>
    </w:p>
    <w:p>
      <w:pPr>
        <w:pStyle w:val="Heading6"/>
        <w:spacing w:before="206"/>
        <w:ind w:left="180"/>
      </w:pPr>
      <w:r>
        <w:rPr/>
        <w:br w:type="column"/>
      </w:r>
      <w:r>
        <w:rPr/>
        <w:t>of the year). However, the rise in currency in</w:t>
      </w:r>
    </w:p>
    <w:p>
      <w:pPr>
        <w:spacing w:line="242" w:lineRule="auto" w:before="4"/>
        <w:ind w:left="180" w:right="190" w:firstLine="0"/>
        <w:jc w:val="left"/>
        <w:rPr>
          <w:sz w:val="24"/>
        </w:rPr>
      </w:pPr>
      <w:r>
        <w:rPr>
          <w:sz w:val="24"/>
        </w:rPr>
        <w:t>December 1999 was considerably larger than in </w:t>
      </w:r>
      <w:r>
        <w:rPr>
          <w:spacing w:val="-3"/>
          <w:sz w:val="24"/>
        </w:rPr>
        <w:t>previous </w:t>
      </w:r>
      <w:r>
        <w:rPr>
          <w:sz w:val="24"/>
        </w:rPr>
        <w:t>years. After adjusting for estimated seasonal effects, notes and coin in circulation increased by 3.5% in December, the largest one-month rise since decimalisation in 1971. Despite indications of strong retail spending in December, particularly on items often paid for with cash such as food and drink, increased demand for notes and coin by the general public is unlikely to explain such sharp fluctuations. It appears likely that a large proportion of the rise in December reflected efforts by banks and building societies to ensure that their automatic teller machine cash stocks— which count as notes in circulation—were sufficient to satisfy potential peak demand over the unusually long Christmas and new millennium holiday period.</w:t>
      </w:r>
    </w:p>
    <w:p>
      <w:pPr>
        <w:pStyle w:val="BodyText"/>
        <w:rPr>
          <w:sz w:val="26"/>
        </w:rPr>
      </w:pPr>
    </w:p>
    <w:p>
      <w:pPr>
        <w:spacing w:line="242" w:lineRule="auto" w:before="0"/>
        <w:ind w:left="180" w:right="261" w:firstLine="0"/>
        <w:jc w:val="left"/>
        <w:rPr>
          <w:sz w:val="24"/>
        </w:rPr>
      </w:pPr>
      <w:r>
        <w:rPr>
          <w:sz w:val="24"/>
        </w:rPr>
        <w:t>Narrow money growth is calculated using an average of weekly observations of the level of notes and coin in circulation over the course of a month. The unusually high level of notes and coin in circulation persisted well into the New </w:t>
      </w:r>
      <w:r>
        <w:rPr>
          <w:spacing w:val="-7"/>
          <w:sz w:val="24"/>
        </w:rPr>
        <w:t>Year, </w:t>
      </w:r>
      <w:r>
        <w:rPr>
          <w:sz w:val="24"/>
        </w:rPr>
        <w:t>affecting the average weekly level </w:t>
      </w:r>
      <w:r>
        <w:rPr>
          <w:spacing w:val="-9"/>
          <w:sz w:val="24"/>
        </w:rPr>
        <w:t>in </w:t>
      </w:r>
      <w:r>
        <w:rPr>
          <w:sz w:val="24"/>
        </w:rPr>
        <w:t>January proportionately more than in December, before returning to more normal levels later in the month (see Chart 1.1). As a result, monthly growth in notes and coin in circulation remained strong, at 2.0% in</w:t>
      </w:r>
    </w:p>
    <w:p>
      <w:pPr>
        <w:spacing w:before="11"/>
        <w:ind w:left="180" w:right="0" w:firstLine="0"/>
        <w:jc w:val="left"/>
        <w:rPr>
          <w:sz w:val="24"/>
        </w:rPr>
      </w:pPr>
      <w:r>
        <w:rPr>
          <w:sz w:val="24"/>
        </w:rPr>
        <w:t>January.</w:t>
      </w:r>
    </w:p>
    <w:p>
      <w:pPr>
        <w:pStyle w:val="BodyText"/>
        <w:spacing w:before="8"/>
        <w:rPr>
          <w:sz w:val="24"/>
        </w:rPr>
      </w:pPr>
    </w:p>
    <w:p>
      <w:pPr>
        <w:spacing w:line="242" w:lineRule="auto" w:before="0"/>
        <w:ind w:left="180" w:right="159" w:firstLine="0"/>
        <w:jc w:val="left"/>
        <w:rPr>
          <w:sz w:val="24"/>
        </w:rPr>
      </w:pPr>
      <w:r>
        <w:rPr>
          <w:sz w:val="24"/>
        </w:rPr>
        <w:t>Abstracting from these distortions to the underlying pattern, notes and coin growth has nevertheless risen sharply over the past </w:t>
      </w:r>
      <w:r>
        <w:rPr>
          <w:spacing w:val="-3"/>
          <w:sz w:val="24"/>
        </w:rPr>
        <w:t>year. </w:t>
      </w:r>
      <w:r>
        <w:rPr>
          <w:spacing w:val="-4"/>
          <w:sz w:val="24"/>
        </w:rPr>
        <w:t>Weekly </w:t>
      </w:r>
      <w:r>
        <w:rPr>
          <w:sz w:val="24"/>
        </w:rPr>
        <w:t>data from the end of January and start of February, when the distortions had largely unwound, suggested annual growth of about 8%–9%, broadly in line with the annual rate in November 1999 and considerably higher than in early 1999. In the past, increases in narrow money growth have often been associated with higher nominal retail spending growth, although the relationship has been far from perfect (see Chart 1.2). In 1999, retail spending growth rose, but by considerably less than narrow </w:t>
      </w:r>
      <w:r>
        <w:rPr>
          <w:spacing w:val="-4"/>
          <w:sz w:val="24"/>
        </w:rPr>
        <w:t>money </w:t>
      </w:r>
      <w:r>
        <w:rPr>
          <w:sz w:val="24"/>
        </w:rPr>
        <w:t>growth, implying a decline in velocity. Some of this fall in velocity might be explained by the reduced opportunity cost of holding cash, owing to the lower level of nominal interest rates in 1999. However, this downward influence on velocity may weaken this year, given recent rises in nominal interest rates.</w:t>
      </w:r>
    </w:p>
    <w:p>
      <w:pPr>
        <w:pStyle w:val="BodyText"/>
        <w:spacing w:before="4"/>
        <w:rPr>
          <w:sz w:val="26"/>
        </w:rPr>
      </w:pPr>
    </w:p>
    <w:p>
      <w:pPr>
        <w:spacing w:before="0"/>
        <w:ind w:left="180" w:right="0" w:firstLine="0"/>
        <w:jc w:val="left"/>
        <w:rPr>
          <w:i/>
          <w:sz w:val="24"/>
        </w:rPr>
      </w:pPr>
      <w:r>
        <w:rPr>
          <w:i/>
          <w:color w:val="009483"/>
          <w:sz w:val="24"/>
        </w:rPr>
        <w:t>Broad money</w:t>
      </w:r>
    </w:p>
    <w:p>
      <w:pPr>
        <w:spacing w:line="242" w:lineRule="auto" w:before="124"/>
        <w:ind w:left="180" w:right="0" w:firstLine="0"/>
        <w:jc w:val="left"/>
        <w:rPr>
          <w:sz w:val="24"/>
        </w:rPr>
      </w:pPr>
      <w:r>
        <w:rPr>
          <w:sz w:val="24"/>
        </w:rPr>
        <w:t>Total M4 grew by 3.6% in the year to 1999 Q4, slightly higher than annual growth in the previous quarter (see Table 1.A). But broad money growth remains subdued,</w:t>
      </w:r>
    </w:p>
    <w:p>
      <w:pPr>
        <w:spacing w:after="0" w:line="242" w:lineRule="auto"/>
        <w:jc w:val="left"/>
        <w:rPr>
          <w:sz w:val="24"/>
        </w:rPr>
        <w:sectPr>
          <w:type w:val="continuous"/>
          <w:pgSz w:w="11900" w:h="16840"/>
          <w:pgMar w:top="1220" w:bottom="280" w:left="620" w:right="640"/>
          <w:cols w:num="2" w:equalWidth="0">
            <w:col w:w="4430" w:space="370"/>
            <w:col w:w="5840"/>
          </w:cols>
        </w:sectPr>
      </w:pPr>
    </w:p>
    <w:p>
      <w:pPr>
        <w:pStyle w:val="BodyText"/>
        <w:rPr>
          <w:sz w:val="20"/>
        </w:rPr>
      </w:pPr>
    </w:p>
    <w:p>
      <w:pPr>
        <w:spacing w:after="0"/>
        <w:rPr>
          <w:sz w:val="20"/>
        </w:rPr>
        <w:sectPr>
          <w:footerReference w:type="default" r:id="rId25"/>
          <w:footerReference w:type="even" r:id="rId26"/>
          <w:pgSz w:w="11900" w:h="16840"/>
          <w:pgMar w:footer="617" w:header="584" w:top="780" w:bottom="800" w:left="620" w:right="640"/>
          <w:pgNumType w:start="5"/>
        </w:sectPr>
      </w:pPr>
    </w:p>
    <w:p>
      <w:pPr>
        <w:pStyle w:val="BodyText"/>
        <w:spacing w:before="6"/>
        <w:rPr>
          <w:sz w:val="20"/>
        </w:rPr>
      </w:pPr>
    </w:p>
    <w:p>
      <w:pPr>
        <w:pStyle w:val="Heading9"/>
        <w:spacing w:before="0"/>
        <w:ind w:left="180"/>
      </w:pPr>
      <w:bookmarkStart w:name="Household sector" w:id="12"/>
      <w:bookmarkEnd w:id="12"/>
      <w:r>
        <w:rPr>
          <w:b w:val="0"/>
        </w:rPr>
      </w:r>
      <w:bookmarkStart w:name="_bookmark4" w:id="13"/>
      <w:bookmarkEnd w:id="13"/>
      <w:r>
        <w:rPr>
          <w:b w:val="0"/>
        </w:rPr>
      </w:r>
      <w:r>
        <w:rPr>
          <w:color w:val="0093C1"/>
        </w:rPr>
        <w:t>Chart 1.3</w:t>
      </w:r>
    </w:p>
    <w:p>
      <w:pPr>
        <w:spacing w:before="10"/>
        <w:ind w:left="180" w:right="0" w:firstLine="0"/>
        <w:jc w:val="left"/>
        <w:rPr>
          <w:b/>
          <w:sz w:val="20"/>
        </w:rPr>
      </w:pPr>
      <w:r>
        <w:rPr>
          <w:b/>
          <w:color w:val="0093C1"/>
          <w:sz w:val="20"/>
        </w:rPr>
        <w:t>Growth in sectoral M4 deposits</w:t>
      </w:r>
    </w:p>
    <w:p>
      <w:pPr>
        <w:spacing w:line="113" w:lineRule="exact" w:before="138"/>
        <w:ind w:left="1692" w:right="0" w:firstLine="0"/>
        <w:jc w:val="left"/>
        <w:rPr>
          <w:sz w:val="12"/>
        </w:rPr>
      </w:pPr>
      <w:r>
        <w:rPr>
          <w:sz w:val="12"/>
        </w:rPr>
        <w:t>Percentage changes on a year earl</w:t>
      </w:r>
      <w:r>
        <w:rPr>
          <w:sz w:val="12"/>
          <w:u w:val="single"/>
        </w:rPr>
        <w:t>ie</w:t>
      </w:r>
      <w:r>
        <w:rPr>
          <w:sz w:val="12"/>
        </w:rPr>
        <w:t>r</w:t>
      </w:r>
    </w:p>
    <w:p>
      <w:pPr>
        <w:spacing w:line="113" w:lineRule="exact" w:before="0"/>
        <w:ind w:left="3500" w:right="0" w:firstLine="0"/>
        <w:jc w:val="left"/>
        <w:rPr>
          <w:sz w:val="12"/>
        </w:rPr>
      </w:pPr>
      <w:r>
        <w:rPr/>
        <w:pict>
          <v:group style="position:absolute;margin-left:43pt;margin-top:5.931915pt;width:160pt;height:128.25pt;mso-position-horizontal-relative:page;mso-position-vertical-relative:paragraph;z-index:15763968" coordorigin="860,119" coordsize="3200,2565">
            <v:line style="position:absolute" from="1027,2264" to="3902,2264" stroked="true" strokeweight=".5pt" strokecolor="#000000">
              <v:stroke dashstyle="solid"/>
            </v:line>
            <v:shape style="position:absolute;left:1015;top:1056;width:418;height:585" type="#_x0000_t75" stroked="false">
              <v:imagedata r:id="rId27" o:title=""/>
            </v:shape>
            <v:shape style="position:absolute;left:1422;top:1631;width:678;height:653" coordorigin="1423,1631" coordsize="678,653" path="m1423,1631l1493,2074m1493,2074l1563,2284m1563,2284l1620,2091m1620,2091l1690,2056m1690,2056l1760,1649m1760,1649l1830,1719m1830,1719l1890,1879m1890,1879l1960,1861m1960,1861l2030,2214m2030,2214l2100,2091e" filled="false" stroked="true" strokeweight="1pt" strokecolor="#75442b">
              <v:path arrowok="t"/>
              <v:stroke dashstyle="solid"/>
            </v:shape>
            <v:line style="position:absolute" from="2090,2092" to="2168,2092" stroked="true" strokeweight="1.125pt" strokecolor="#75442b">
              <v:stroke dashstyle="solid"/>
            </v:line>
            <v:shape style="position:absolute;left:2157;top:1506;width:665;height:603" coordorigin="2158,1506" coordsize="665,603" path="m2158,2091l2228,2019m2228,2019l2298,1736m2298,1736l2355,1524m2355,1524l2425,1506m2425,1506l2495,1561m2495,1561l2565,1736m2565,1736l2623,1931m2623,1931l2693,2056m2693,2056l2763,2109m2763,2109l2823,1861e" filled="false" stroked="true" strokeweight="1pt" strokecolor="#75442b">
              <v:path arrowok="t"/>
              <v:stroke dashstyle="solid"/>
            </v:shape>
            <v:line style="position:absolute" from="2813,1862" to="2903,1862" stroked="true" strokeweight="1.125pt" strokecolor="#75442b">
              <v:stroke dashstyle="solid"/>
            </v:line>
            <v:shape style="position:absolute;left:2892;top:1561;width:338;height:300" coordorigin="2893,1561" coordsize="338,300" path="m2893,1861l2963,1614m2963,1614l3033,1561m3033,1561l3090,1649m3090,1649l3160,1719m3160,1719l3230,1754e" filled="false" stroked="true" strokeweight="1pt" strokecolor="#75442b">
              <v:path arrowok="t"/>
              <v:stroke dashstyle="solid"/>
            </v:shape>
            <v:rect style="position:absolute;left:3220;top:1743;width:90;height:23" filled="true" fillcolor="#75442b" stroked="false">
              <v:fill type="solid"/>
            </v:rect>
            <v:shape style="position:absolute;left:3300;top:1701;width:595;height:283" coordorigin="3300,1701" coordsize="595,283" path="m3300,1754l3358,1809m3358,1809l3428,1879m3428,1879l3498,1914m3498,1914l3558,1879m3558,1879l3628,1984m3628,1984l3698,1701m3698,1701l3768,1844m3768,1844l3825,1966m3825,1966l3895,1826e" filled="false" stroked="true" strokeweight="1pt" strokecolor="#75442b">
              <v:path arrowok="t"/>
              <v:stroke dashstyle="solid"/>
            </v:shape>
            <v:shape style="position:absolute;left:1025;top:1206;width:270;height:160" coordorigin="1025,1206" coordsize="270,160" path="m1025,1206l1095,1224m1095,1224l1155,1331m1155,1331l1225,1296m1225,1296l1295,1366e" filled="false" stroked="true" strokeweight="1pt" strokecolor="#008256">
              <v:path arrowok="t"/>
              <v:stroke dashstyle="solid"/>
            </v:shape>
            <v:line style="position:absolute" from="1285,1367" to="1375,1367" stroked="true" strokeweight="1.125pt" strokecolor="#008256">
              <v:stroke dashstyle="solid"/>
            </v:line>
            <v:shape style="position:absolute;left:1365;top:1366;width:595;height:583" coordorigin="1365,1366" coordsize="595,583" path="m1365,1366l1423,1419m1423,1419l1493,1524m1493,1524l1563,1544m1563,1544l1620,1631m1620,1631l1690,1701m1690,1701l1760,1789m1760,1789l1830,1844m1830,1844l1890,1896m1890,1896l1960,1949e" filled="false" stroked="true" strokeweight="1pt" strokecolor="#008256">
              <v:path arrowok="t"/>
              <v:stroke dashstyle="solid"/>
            </v:shape>
            <v:line style="position:absolute" from="1950,1950" to="2040,1950" stroked="true" strokeweight="1.125pt" strokecolor="#008256">
              <v:stroke dashstyle="solid"/>
            </v:line>
            <v:shape style="position:absolute;left:2030;top:1948;width:465;height:125" coordorigin="2030,1949" coordsize="465,125" path="m2030,1949l2100,2036m2298,2036l2355,2019m2355,2019l2425,2074m2425,2074l2495,2056e" filled="false" stroked="true" strokeweight="1pt" strokecolor="#008256">
              <v:path arrowok="t"/>
              <v:stroke dashstyle="solid"/>
            </v:shape>
            <v:line style="position:absolute" from="2485,2057" to="2575,2057" stroked="true" strokeweight="1.125pt" strokecolor="#008256">
              <v:stroke dashstyle="solid"/>
            </v:line>
            <v:shape style="position:absolute;left:2565;top:1771;width:665;height:285" coordorigin="2565,1771" coordsize="665,285" path="m2565,2056l2623,2001m2623,2001l2693,1914m2693,1914l2763,1844m2763,1844l2823,1809m2823,1809l2963,1844m2963,1844l3033,1879m3033,1879l3090,1896m3090,1896l3160,1809m3160,1809l3230,1771e" filled="false" stroked="true" strokeweight="1pt" strokecolor="#008256">
              <v:path arrowok="t"/>
              <v:stroke dashstyle="solid"/>
            </v:shape>
            <v:rect style="position:absolute;left:3220;top:1761;width:90;height:23" filled="true" fillcolor="#008256" stroked="false">
              <v:fill type="solid"/>
            </v:rect>
            <v:shape style="position:absolute;left:3300;top:1753;width:328;height:160" coordorigin="3300,1754" coordsize="328,160" path="m3300,1771l3358,1754m3358,1754l3428,1879m3428,1879l3498,1914m3498,1914l3558,1896m3558,1896l3628,1879e" filled="false" stroked="true" strokeweight="1pt" strokecolor="#008256">
              <v:path arrowok="t"/>
              <v:stroke dashstyle="solid"/>
            </v:shape>
            <v:line style="position:absolute" from="3618,1880" to="3708,1880" stroked="true" strokeweight="1.125pt" strokecolor="#008256">
              <v:stroke dashstyle="solid"/>
            </v:line>
            <v:shape style="position:absolute;left:3697;top:1843;width:198;height:35" coordorigin="3698,1844" coordsize="198,35" path="m3698,1879l3768,1844m3768,1844l3825,1879m3825,1879l3895,1861e" filled="false" stroked="true" strokeweight="1pt" strokecolor="#008256">
              <v:path arrowok="t"/>
              <v:stroke dashstyle="solid"/>
            </v:shape>
            <v:shape style="position:absolute;left:1025;top:128;width:538;height:1468" coordorigin="1025,129" coordsize="538,1468" path="m1025,464l1095,359m1095,359l1155,341m1155,341l1225,271m1225,271l1295,129m1295,129l1365,251m1365,251l1423,676m1423,676l1493,941m1493,941l1563,1596e" filled="false" stroked="true" strokeweight="1pt" strokecolor="#ed1b2d">
              <v:path arrowok="t"/>
              <v:stroke dashstyle="solid"/>
            </v:shape>
            <v:line style="position:absolute" from="1591,1586" to="1591,2171" stroked="true" strokeweight="3.875pt" strokecolor="#ed1b2d">
              <v:stroke dashstyle="solid"/>
            </v:line>
            <v:shape style="position:absolute;left:1620;top:498;width:2275;height:2175" coordorigin="1620,499" coordsize="2275,2175" path="m1620,2161l1690,2301m1690,2301l1760,2461m1760,2461l1830,2374m1830,2374l1890,2196m1890,2196l1960,2056m1960,2056l2030,2214m2030,2214l2100,2126m2100,2126l2158,2196m2158,2196l2228,2179m2228,2179l2298,1844m2298,1844l2355,1754m2355,1754l2425,1596m2425,1596l2495,1754m2495,1754l2565,1771m2565,1771l2623,1544m2623,1544l2693,1259m2693,1259l2763,941m2763,941l2823,764m2823,764l2893,784m2893,784l2963,924m2963,924l3033,746m3033,746l3090,801m3090,801l3160,589m3160,589l3230,499m3230,499l3300,571m3300,571l3358,554m3358,554l3428,694m3428,694l3498,711m3498,711l3558,836m3558,836l3628,1189m3628,1189l3698,1736m3698,1736l3768,2161m3768,2161l3825,2656m3825,2656l3895,2674e" filled="false" stroked="true" strokeweight="1pt" strokecolor="#ed1b2d">
              <v:path arrowok="t"/>
              <v:stroke dashstyle="solid"/>
            </v:shape>
            <v:shape style="position:absolute;left:860;top:359;width:3200;height:2214" coordorigin="860,359" coordsize="3200,2214" path="m947,1314l860,1314m947,1632l860,1632m947,1949l860,1949m947,2266l860,2266m947,2573l860,2573m947,359l860,359m947,676l860,676m947,993l860,993m4060,1314l3973,1314m4060,1632l3973,1632m4060,1949l3973,1949m4060,2266l3973,2266m4060,2573l3973,2573m4060,359l3973,359m4060,676l3973,676m4060,993l3973,993e" filled="false" stroked="true" strokeweight=".5pt" strokecolor="#000000">
              <v:path arrowok="t"/>
              <v:stroke dashstyle="solid"/>
            </v:shape>
            <v:line style="position:absolute" from="3070,2425" to="3070,1985" stroked="true" strokeweight=".5pt" strokecolor="#000000">
              <v:stroke dashstyle="solid"/>
            </v:line>
            <v:shape style="position:absolute;left:3044;top:1917;width:51;height:85" coordorigin="3045,1918" coordsize="51,85" path="m3070,1918l3045,2002,3095,2002,3074,1937,3071,1926,3070,1918xe" filled="true" fillcolor="#000000" stroked="false">
              <v:path arrowok="t"/>
              <v:fill type="solid"/>
            </v:shape>
            <v:shape style="position:absolute;left:1434;top:355;width:301;height:133" type="#_x0000_t202" filled="false" stroked="false">
              <v:textbox inset="0,0,0,0">
                <w:txbxContent>
                  <w:p>
                    <w:pPr>
                      <w:spacing w:line="133" w:lineRule="exact" w:before="0"/>
                      <w:ind w:left="0" w:right="0" w:firstLine="0"/>
                      <w:jc w:val="left"/>
                      <w:rPr>
                        <w:sz w:val="12"/>
                      </w:rPr>
                    </w:pPr>
                    <w:r>
                      <w:rPr>
                        <w:sz w:val="12"/>
                      </w:rPr>
                      <w:t>OFCs</w:t>
                    </w:r>
                  </w:p>
                </w:txbxContent>
              </v:textbox>
              <w10:wrap type="none"/>
            </v:shape>
            <v:shape style="position:absolute;left:1081;top:1814;width:367;height:133" type="#_x0000_t202" filled="false" stroked="false">
              <v:textbox inset="0,0,0,0">
                <w:txbxContent>
                  <w:p>
                    <w:pPr>
                      <w:spacing w:line="133" w:lineRule="exact" w:before="0"/>
                      <w:ind w:left="0" w:right="0" w:firstLine="0"/>
                      <w:jc w:val="left"/>
                      <w:rPr>
                        <w:sz w:val="12"/>
                      </w:rPr>
                    </w:pPr>
                    <w:r>
                      <w:rPr>
                        <w:sz w:val="12"/>
                      </w:rPr>
                      <w:t>PNFCs</w:t>
                    </w:r>
                  </w:p>
                </w:txbxContent>
              </v:textbox>
              <w10:wrap type="none"/>
            </v:shape>
            <v:shape style="position:absolute;left:2090;top:1814;width:238;height:133" type="#_x0000_t202" filled="false" stroked="false">
              <v:textbox inset="0,0,0,0">
                <w:txbxContent>
                  <w:p>
                    <w:pPr>
                      <w:spacing w:line="133" w:lineRule="exact" w:before="0"/>
                      <w:ind w:left="0" w:right="0" w:firstLine="0"/>
                      <w:jc w:val="left"/>
                      <w:rPr>
                        <w:sz w:val="12"/>
                      </w:rPr>
                    </w:pPr>
                    <w:r>
                      <w:rPr>
                        <w:sz w:val="12"/>
                        <w:u w:val="thick" w:color="008256"/>
                      </w:rPr>
                      <w:t> </w:t>
                    </w:r>
                    <w:r>
                      <w:rPr>
                        <w:spacing w:val="7"/>
                        <w:sz w:val="12"/>
                        <w:u w:val="thick" w:color="008256"/>
                      </w:rPr>
                      <w:t> </w:t>
                    </w:r>
                  </w:p>
                </w:txbxContent>
              </v:textbox>
              <w10:wrap type="none"/>
            </v:shape>
            <v:shape style="position:absolute;left:2760;top:2433;width:587;height:133" type="#_x0000_t202" filled="false" stroked="false">
              <v:textbox inset="0,0,0,0">
                <w:txbxContent>
                  <w:p>
                    <w:pPr>
                      <w:spacing w:line="133" w:lineRule="exact" w:before="0"/>
                      <w:ind w:left="0" w:right="0" w:firstLine="0"/>
                      <w:jc w:val="left"/>
                      <w:rPr>
                        <w:sz w:val="12"/>
                      </w:rPr>
                    </w:pPr>
                    <w:r>
                      <w:rPr>
                        <w:sz w:val="12"/>
                      </w:rPr>
                      <w:t>Households</w:t>
                    </w:r>
                  </w:p>
                </w:txbxContent>
              </v:textbox>
              <w10:wrap type="none"/>
            </v:shape>
            <w10:wrap type="none"/>
          </v:group>
        </w:pict>
      </w:r>
      <w:r>
        <w:rPr/>
        <w:pict>
          <v:line style="position:absolute;mso-position-horizontal-relative:page;mso-position-vertical-relative:paragraph;z-index:15764992" from="47.333pt,2.046915pt" to="43pt,2.046915pt" stroked="true" strokeweight=".5pt" strokecolor="#000000">
            <v:stroke dashstyle="solid"/>
            <w10:wrap type="none"/>
          </v:line>
        </w:pict>
      </w:r>
      <w:r>
        <w:rPr>
          <w:sz w:val="12"/>
        </w:rPr>
        <w:t>35</w:t>
      </w:r>
    </w:p>
    <w:p>
      <w:pPr>
        <w:pStyle w:val="BodyText"/>
        <w:spacing w:before="7"/>
        <w:rPr>
          <w:sz w:val="15"/>
        </w:rPr>
      </w:pPr>
    </w:p>
    <w:p>
      <w:pPr>
        <w:spacing w:before="0"/>
        <w:ind w:left="0" w:right="707" w:firstLine="0"/>
        <w:jc w:val="right"/>
        <w:rPr>
          <w:sz w:val="12"/>
        </w:rPr>
      </w:pPr>
      <w:r>
        <w:rPr>
          <w:sz w:val="12"/>
        </w:rPr>
        <w:t>30</w:t>
      </w:r>
    </w:p>
    <w:p>
      <w:pPr>
        <w:pStyle w:val="BodyText"/>
        <w:spacing w:before="9"/>
        <w:rPr>
          <w:sz w:val="15"/>
        </w:rPr>
      </w:pPr>
    </w:p>
    <w:p>
      <w:pPr>
        <w:spacing w:before="0"/>
        <w:ind w:left="0" w:right="707" w:firstLine="0"/>
        <w:jc w:val="right"/>
        <w:rPr>
          <w:sz w:val="12"/>
        </w:rPr>
      </w:pPr>
      <w:r>
        <w:rPr>
          <w:sz w:val="12"/>
        </w:rPr>
        <w:t>25</w:t>
      </w:r>
    </w:p>
    <w:p>
      <w:pPr>
        <w:pStyle w:val="BodyText"/>
        <w:spacing w:before="7"/>
        <w:rPr>
          <w:sz w:val="15"/>
        </w:rPr>
      </w:pPr>
    </w:p>
    <w:p>
      <w:pPr>
        <w:spacing w:before="0"/>
        <w:ind w:left="0" w:right="707" w:firstLine="0"/>
        <w:jc w:val="right"/>
        <w:rPr>
          <w:sz w:val="12"/>
        </w:rPr>
      </w:pPr>
      <w:r>
        <w:rPr>
          <w:sz w:val="12"/>
        </w:rPr>
        <w:t>20</w:t>
      </w:r>
    </w:p>
    <w:p>
      <w:pPr>
        <w:pStyle w:val="BodyText"/>
        <w:spacing w:before="7"/>
        <w:rPr>
          <w:sz w:val="15"/>
        </w:rPr>
      </w:pPr>
    </w:p>
    <w:p>
      <w:pPr>
        <w:spacing w:before="0"/>
        <w:ind w:left="0" w:right="707" w:firstLine="0"/>
        <w:jc w:val="right"/>
        <w:rPr>
          <w:sz w:val="12"/>
        </w:rPr>
      </w:pPr>
      <w:r>
        <w:rPr>
          <w:sz w:val="12"/>
        </w:rPr>
        <w:t>15</w:t>
      </w:r>
    </w:p>
    <w:p>
      <w:pPr>
        <w:pStyle w:val="BodyText"/>
        <w:spacing w:before="7"/>
        <w:rPr>
          <w:sz w:val="15"/>
        </w:rPr>
      </w:pPr>
    </w:p>
    <w:p>
      <w:pPr>
        <w:spacing w:before="0"/>
        <w:ind w:left="0" w:right="707" w:firstLine="0"/>
        <w:jc w:val="right"/>
        <w:rPr>
          <w:sz w:val="12"/>
        </w:rPr>
      </w:pPr>
      <w:r>
        <w:rPr>
          <w:sz w:val="12"/>
        </w:rPr>
        <w:t>10</w:t>
      </w:r>
    </w:p>
    <w:p>
      <w:pPr>
        <w:pStyle w:val="BodyText"/>
        <w:spacing w:before="10"/>
        <w:rPr>
          <w:sz w:val="15"/>
        </w:rPr>
      </w:pPr>
    </w:p>
    <w:p>
      <w:pPr>
        <w:spacing w:line="132" w:lineRule="exact" w:before="0"/>
        <w:ind w:left="3560" w:right="0" w:firstLine="0"/>
        <w:jc w:val="left"/>
        <w:rPr>
          <w:sz w:val="12"/>
        </w:rPr>
      </w:pPr>
      <w:r>
        <w:rPr>
          <w:sz w:val="12"/>
        </w:rPr>
        <w:t>5</w:t>
      </w:r>
    </w:p>
    <w:p>
      <w:pPr>
        <w:spacing w:line="173" w:lineRule="exact" w:before="0"/>
        <w:ind w:left="3437" w:right="0" w:firstLine="0"/>
        <w:jc w:val="left"/>
        <w:rPr>
          <w:sz w:val="16"/>
        </w:rPr>
      </w:pPr>
      <w:r>
        <w:rPr>
          <w:sz w:val="16"/>
        </w:rPr>
        <w:t>+</w:t>
      </w:r>
    </w:p>
    <w:p>
      <w:pPr>
        <w:spacing w:line="179" w:lineRule="exact" w:before="0"/>
        <w:ind w:left="3434" w:right="0" w:firstLine="0"/>
        <w:jc w:val="left"/>
        <w:rPr>
          <w:sz w:val="12"/>
        </w:rPr>
      </w:pPr>
      <w:r>
        <w:rPr>
          <w:position w:val="-1"/>
          <w:sz w:val="16"/>
        </w:rPr>
        <w:t>_</w:t>
      </w:r>
      <w:r>
        <w:rPr>
          <w:spacing w:val="5"/>
          <w:position w:val="-1"/>
          <w:sz w:val="16"/>
        </w:rPr>
        <w:t> </w:t>
      </w:r>
      <w:r>
        <w:rPr>
          <w:sz w:val="12"/>
        </w:rPr>
        <w:t>0</w:t>
      </w:r>
    </w:p>
    <w:p>
      <w:pPr>
        <w:spacing w:before="151"/>
        <w:ind w:left="0" w:right="707" w:firstLine="0"/>
        <w:jc w:val="right"/>
        <w:rPr>
          <w:sz w:val="12"/>
        </w:rPr>
      </w:pPr>
      <w:r>
        <w:rPr>
          <w:sz w:val="12"/>
        </w:rPr>
        <w:t>5</w:t>
      </w:r>
    </w:p>
    <w:p>
      <w:pPr>
        <w:pStyle w:val="BodyText"/>
        <w:spacing w:before="7"/>
        <w:rPr>
          <w:sz w:val="15"/>
        </w:rPr>
      </w:pPr>
    </w:p>
    <w:p>
      <w:pPr>
        <w:spacing w:line="131" w:lineRule="exact" w:before="0"/>
        <w:ind w:left="3500" w:right="0" w:firstLine="0"/>
        <w:jc w:val="left"/>
        <w:rPr>
          <w:sz w:val="12"/>
        </w:rPr>
      </w:pPr>
      <w:r>
        <w:rPr/>
        <w:pict>
          <v:shape style="position:absolute;margin-left:43pt;margin-top:.371574pt;width:151.5pt;height:2.7pt;mso-position-horizontal-relative:page;mso-position-vertical-relative:paragraph;z-index:15764480" coordorigin="860,7" coordsize="3030,54" path="m947,61l860,61m1015,7l1015,61m1277,7l1277,61m1550,7l1550,61m1817,7l1817,61m2083,7l2083,61m2345,7l2345,61m2618,7l2618,61m2885,7l2885,61m3143,7l3143,61m3405,7l3405,61m3678,7l3678,61m1015,61l3890,61e" filled="false" stroked="true" strokeweight=".5pt" strokecolor="#000000">
            <v:path arrowok="t"/>
            <v:stroke dashstyle="solid"/>
            <w10:wrap type="none"/>
          </v:shape>
        </w:pict>
      </w:r>
      <w:r>
        <w:rPr/>
        <w:pict>
          <v:line style="position:absolute;mso-position-horizontal-relative:page;mso-position-vertical-relative:paragraph;z-index:15765504" from="203.000007pt,3.043574pt" to="198.667007pt,3.043574pt" stroked="true" strokeweight=".5pt" strokecolor="#000000">
            <v:stroke dashstyle="solid"/>
            <w10:wrap type="none"/>
          </v:line>
        </w:pict>
      </w:r>
      <w:r>
        <w:rPr>
          <w:sz w:val="12"/>
        </w:rPr>
        <w:t>10</w:t>
      </w:r>
    </w:p>
    <w:p>
      <w:pPr>
        <w:spacing w:line="131" w:lineRule="exact" w:before="0"/>
        <w:ind w:left="403" w:right="0" w:firstLine="0"/>
        <w:jc w:val="left"/>
        <w:rPr>
          <w:sz w:val="12"/>
        </w:rPr>
      </w:pPr>
      <w:r>
        <w:rPr>
          <w:sz w:val="12"/>
        </w:rPr>
        <w:t>1989 90 91 92 93 94 95 96 97 98 99</w:t>
      </w:r>
    </w:p>
    <w:p>
      <w:pPr>
        <w:pStyle w:val="BodyText"/>
        <w:spacing w:before="7"/>
        <w:rPr>
          <w:sz w:val="14"/>
        </w:rPr>
      </w:pPr>
    </w:p>
    <w:p>
      <w:pPr>
        <w:spacing w:before="0"/>
        <w:ind w:left="180" w:right="0" w:firstLine="0"/>
        <w:jc w:val="left"/>
        <w:rPr>
          <w:sz w:val="12"/>
        </w:rPr>
      </w:pPr>
      <w:r>
        <w:rPr>
          <w:sz w:val="12"/>
        </w:rPr>
        <w:t>Source: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pStyle w:val="Heading9"/>
        <w:spacing w:before="0"/>
        <w:ind w:left="165"/>
      </w:pPr>
      <w:r>
        <w:rPr>
          <w:color w:val="0093C1"/>
        </w:rPr>
        <w:t>Chart 1.4</w:t>
      </w:r>
    </w:p>
    <w:p>
      <w:pPr>
        <w:spacing w:line="249" w:lineRule="auto" w:before="10"/>
        <w:ind w:left="165" w:right="689" w:firstLine="0"/>
        <w:jc w:val="left"/>
        <w:rPr>
          <w:b/>
          <w:sz w:val="20"/>
        </w:rPr>
      </w:pPr>
      <w:r>
        <w:rPr>
          <w:b/>
          <w:color w:val="0093C1"/>
          <w:sz w:val="20"/>
        </w:rPr>
        <w:t>Growth in M4, M4 excluding OFCs, and nominal GDP</w:t>
      </w:r>
    </w:p>
    <w:p>
      <w:pPr>
        <w:pStyle w:val="BodyText"/>
        <w:spacing w:before="7"/>
        <w:rPr>
          <w:b/>
          <w:sz w:val="22"/>
        </w:rPr>
      </w:pPr>
    </w:p>
    <w:p>
      <w:pPr>
        <w:spacing w:before="0"/>
        <w:ind w:left="1671" w:right="0" w:firstLine="0"/>
        <w:jc w:val="left"/>
        <w:rPr>
          <w:sz w:val="12"/>
        </w:rPr>
      </w:pPr>
      <w:r>
        <w:rPr/>
        <w:pict>
          <v:line style="position:absolute;mso-position-horizontal-relative:page;mso-position-vertical-relative:paragraph;z-index:15771136" from="47.654999pt,7.604614pt" to="43.321999pt,7.604614pt" stroked="true" strokeweight=".5pt" strokecolor="#000000">
            <v:stroke dashstyle="solid"/>
            <w10:wrap type="none"/>
          </v:line>
        </w:pict>
      </w:r>
      <w:r>
        <w:rPr>
          <w:sz w:val="12"/>
        </w:rPr>
        <w:t>Percentage changes on a year earli</w:t>
      </w:r>
      <w:r>
        <w:rPr>
          <w:sz w:val="12"/>
          <w:u w:val="single"/>
        </w:rPr>
        <w:t>er</w:t>
      </w:r>
      <w:r>
        <w:rPr>
          <w:spacing w:val="27"/>
          <w:sz w:val="12"/>
        </w:rPr>
        <w:t> </w:t>
      </w:r>
      <w:r>
        <w:rPr>
          <w:position w:val="-6"/>
          <w:sz w:val="12"/>
        </w:rPr>
        <w:t>20</w:t>
      </w:r>
    </w:p>
    <w:p>
      <w:pPr>
        <w:spacing w:before="154"/>
        <w:ind w:left="0" w:right="729" w:firstLine="0"/>
        <w:jc w:val="right"/>
        <w:rPr>
          <w:sz w:val="12"/>
        </w:rPr>
      </w:pPr>
      <w:r>
        <w:rPr/>
        <w:pict>
          <v:group style="position:absolute;margin-left:52.279999pt;margin-top:10.989867pt;width:150pt;height:109.2pt;mso-position-horizontal-relative:page;mso-position-vertical-relative:paragraph;z-index:15767552" coordorigin="1046,220" coordsize="3000,2184">
            <v:shape style="position:absolute;left:1063;top:393;width:1315;height:1923" coordorigin="1063,394" coordsize="1315,1923" path="m1063,549l1126,394m1126,394l1196,534m1196,534l1268,644m1268,644l1338,879m1338,879l1408,1269m1408,1269l1478,1409m1478,1409l1548,1471m1548,1471l1618,1596m1618,1596l1688,1629m1688,1629l1758,1754m1758,1754l1818,1941m1818,1941l1888,2049m1888,2049l1958,2191m1958,2191l2028,2284m2028,2284l2098,2316m2098,2316l2168,2269m2168,2269l2238,2191m2238,2191l2308,2049m2308,2049l2378,2144e" filled="false" stroked="true" strokeweight="1pt" strokecolor="#0099d8">
              <v:path arrowok="t"/>
              <v:stroke dashstyle="solid"/>
            </v:shape>
            <v:line style="position:absolute" from="2368,2145" to="2458,2145" stroked="true" strokeweight="1.125pt" strokecolor="#0099d8">
              <v:stroke dashstyle="solid"/>
            </v:line>
            <v:shape style="position:absolute;left:2448;top:1658;width:833;height:548" coordorigin="2448,1659" coordsize="833,548" path="m2448,2144l2521,2206m2521,2206l2591,2159m2591,2159l2661,2049m2661,2049l2731,1941m2731,1941l2801,1754m2801,1754l2871,1799m2871,1799l2941,1721m2941,1721l3011,1799m3011,1799l3081,1846m3081,1846l3151,1721m3151,1721l3211,1674m3211,1674l3281,1659e" filled="false" stroked="true" strokeweight="1pt" strokecolor="#0099d8">
              <v:path arrowok="t"/>
              <v:stroke dashstyle="solid"/>
            </v:shape>
            <v:line style="position:absolute" from="3271,1660" to="3361,1660" stroked="true" strokeweight="1.125pt" strokecolor="#0099d8">
              <v:stroke dashstyle="solid"/>
            </v:line>
            <v:shape style="position:absolute;left:3350;top:1658;width:563;height:360" coordorigin="3351,1659" coordsize="563,360" path="m3351,1659l3421,1924m3421,1924l3491,2019m3491,2019l3561,1971m3561,1971l3631,1986m3631,1986l3701,1894m3701,1894l3773,1861m3773,1861l3843,1971m3843,1971l3913,1879e" filled="false" stroked="true" strokeweight="1pt" strokecolor="#0099d8">
              <v:path arrowok="t"/>
              <v:stroke dashstyle="solid"/>
            </v:shape>
            <v:shape style="position:absolute;left:1055;top:236;width:2858;height:2158" coordorigin="1056,236" coordsize="2858,2158" path="m1056,394l1126,236m1126,236l1196,284m1196,284l1268,394m1268,394l1338,721m1338,721l1408,1111m1408,1111l1478,1456m1478,1456l1548,1736m1548,1736l1618,1879m1618,1879l1688,1971m1688,1971l1758,2019m1758,2019l1818,2096m1818,2096l1888,2144m1888,2144l1958,2299m1958,2299l2098,2394m2098,2394l2168,2346m2168,2346l2238,2159m2238,2159l2308,2004m2308,2004l2378,2034m2378,2034l2448,2096m2448,2096l2521,2159m2521,2159l2591,2034m2591,2034l2731,1629m2731,1629l2801,1409m2801,1409l2871,1424m2871,1424l3011,1394m3011,1394l3081,1441m3081,1441l3151,1236m3151,1236l3211,1144m3281,1144l3351,1129m3351,1129l3421,1394m3421,1394l3491,1441m3491,1441l3561,1456m3561,1456l3631,1644m3631,1644l3701,1816m3701,1816l3773,2034m3773,2034l3843,2394m3843,2394l3913,2316e" filled="false" stroked="true" strokeweight="1pt" strokecolor="#ff0000">
              <v:path arrowok="t"/>
              <v:stroke dashstyle="solid"/>
            </v:shape>
            <v:shape style="position:absolute;left:1055;top:1393;width:2788;height:1000" coordorigin="1056,1394" coordsize="2788,1000" path="m1056,1486l1126,1644m1126,1644l1196,1611m1196,1611l1268,1394m1268,1394l1338,1566m1338,1566l1408,1924m1408,1924l1478,1956m1478,1956l1548,2206m1548,2206l1618,2221m1618,2221l1688,1971m1688,1971l1758,2129m1758,2129l1818,2174m1818,2174l1888,2269m1888,2269l1958,2394m1958,2394l2028,2254m2028,2254l2098,2221m2098,2221l2168,1986m2168,1986l2238,1894m2238,1894l2308,1956m2308,1956l2378,1941m2378,1941l2448,2034m2448,2034l2521,1924m2521,1924l2591,1971m2591,1971l2661,2004m2661,2004l2731,2066m2731,2066l2801,2159m2801,2159l2871,2019m2871,2019l2941,2004m2941,2004l3011,1924m3011,1924l3081,1956m3081,1956l3151,1909m3151,1909l3211,1924m3211,1924l3281,1894m3281,1894l3351,1816m3351,1816l3421,2034m3421,2034l3491,1971m3491,1971l3561,2004m3561,2004l3631,2174m3631,2174l3701,2191m3701,2191l3773,2144m3773,2144l3843,2206e" filled="false" stroked="true" strokeweight="1pt" strokecolor="#008256">
              <v:path arrowok="t"/>
              <v:stroke dashstyle="solid"/>
            </v:shape>
            <v:shape style="position:absolute;left:3958;top:224;width:87;height:2031" coordorigin="3959,225" coordsize="87,2031" path="m4046,1395l3959,1395m4046,1675l3959,1675m4046,1965l3959,1965m4046,2256l3959,2256m4046,225l3959,225m4046,515l3959,515m4046,806l3959,806m4046,1095l3959,1095e" filled="false" stroked="true" strokeweight=".5pt" strokecolor="#000000">
              <v:path arrowok="t"/>
              <v:stroke dashstyle="solid"/>
            </v:shape>
            <v:shape style="position:absolute;left:3200;top:999;width:204;height:133" type="#_x0000_t202" filled="false" stroked="false">
              <v:textbox inset="0,0,0,0">
                <w:txbxContent>
                  <w:p>
                    <w:pPr>
                      <w:spacing w:line="133" w:lineRule="exact" w:before="0"/>
                      <w:ind w:left="0" w:right="0" w:firstLine="0"/>
                      <w:jc w:val="left"/>
                      <w:rPr>
                        <w:sz w:val="12"/>
                      </w:rPr>
                    </w:pPr>
                    <w:r>
                      <w:rPr>
                        <w:sz w:val="12"/>
                        <w:u w:val="thick" w:color="FF0000"/>
                      </w:rPr>
                      <w:t> M</w:t>
                    </w:r>
                    <w:r>
                      <w:rPr>
                        <w:sz w:val="12"/>
                      </w:rPr>
                      <w:t>4</w:t>
                    </w:r>
                  </w:p>
                </w:txbxContent>
              </v:textbox>
              <w10:wrap type="none"/>
            </v:shape>
            <v:shape style="position:absolute;left:1628;top:1453;width:998;height:134" type="#_x0000_t202" filled="false" stroked="false">
              <v:textbox inset="0,0,0,0">
                <w:txbxContent>
                  <w:p>
                    <w:pPr>
                      <w:spacing w:line="133" w:lineRule="exact" w:before="0"/>
                      <w:ind w:left="0" w:right="0" w:firstLine="0"/>
                      <w:jc w:val="left"/>
                      <w:rPr>
                        <w:sz w:val="12"/>
                      </w:rPr>
                    </w:pPr>
                    <w:r>
                      <w:rPr>
                        <w:sz w:val="12"/>
                      </w:rPr>
                      <w:t>M4 excluding OFCs</w:t>
                    </w:r>
                  </w:p>
                </w:txbxContent>
              </v:textbox>
              <w10:wrap type="none"/>
            </v:shape>
            <v:shape style="position:absolute;left:1146;top:2262;width:710;height:133" type="#_x0000_t202" filled="false" stroked="false">
              <v:textbox inset="0,0,0,0">
                <w:txbxContent>
                  <w:p>
                    <w:pPr>
                      <w:spacing w:line="133" w:lineRule="exact" w:before="0"/>
                      <w:ind w:left="0" w:right="0" w:firstLine="0"/>
                      <w:jc w:val="left"/>
                      <w:rPr>
                        <w:sz w:val="12"/>
                      </w:rPr>
                    </w:pPr>
                    <w:r>
                      <w:rPr>
                        <w:sz w:val="12"/>
                      </w:rPr>
                      <w:t>Nominal GDP</w:t>
                    </w:r>
                  </w:p>
                </w:txbxContent>
              </v:textbox>
              <w10:wrap type="none"/>
            </v:shape>
            <w10:wrap type="none"/>
          </v:group>
        </w:pict>
      </w:r>
      <w:r>
        <w:rPr/>
        <w:pict>
          <v:line style="position:absolute;mso-position-horizontal-relative:page;mso-position-vertical-relative:paragraph;z-index:15771648" from="47.654999pt,11.176867pt" to="43.321999pt,11.176867pt" stroked="true" strokeweight=".5pt" strokecolor="#000000">
            <v:stroke dashstyle="solid"/>
            <w10:wrap type="none"/>
          </v:line>
        </w:pict>
      </w:r>
      <w:r>
        <w:rPr>
          <w:sz w:val="12"/>
        </w:rPr>
        <w:t>18</w:t>
      </w:r>
    </w:p>
    <w:p>
      <w:pPr>
        <w:pStyle w:val="BodyText"/>
        <w:spacing w:before="4"/>
        <w:rPr>
          <w:sz w:val="12"/>
        </w:rPr>
      </w:pPr>
    </w:p>
    <w:p>
      <w:pPr>
        <w:spacing w:before="0"/>
        <w:ind w:left="0" w:right="729" w:firstLine="0"/>
        <w:jc w:val="right"/>
        <w:rPr>
          <w:sz w:val="12"/>
        </w:rPr>
      </w:pPr>
      <w:r>
        <w:rPr/>
        <w:pict>
          <v:line style="position:absolute;mso-position-horizontal-relative:page;mso-position-vertical-relative:paragraph;z-index:15772160" from="47.654999pt,3.998051pt" to="43.321999pt,3.998051pt" stroked="true" strokeweight=".5pt" strokecolor="#000000">
            <v:stroke dashstyle="solid"/>
            <w10:wrap type="none"/>
          </v:line>
        </w:pict>
      </w:r>
      <w:r>
        <w:rPr>
          <w:sz w:val="12"/>
        </w:rPr>
        <w:t>16</w:t>
      </w:r>
    </w:p>
    <w:p>
      <w:pPr>
        <w:pStyle w:val="BodyText"/>
        <w:spacing w:before="10"/>
        <w:rPr>
          <w:sz w:val="13"/>
        </w:rPr>
      </w:pPr>
    </w:p>
    <w:p>
      <w:pPr>
        <w:spacing w:before="0"/>
        <w:ind w:left="0" w:right="729" w:firstLine="0"/>
        <w:jc w:val="right"/>
        <w:rPr>
          <w:sz w:val="12"/>
        </w:rPr>
      </w:pPr>
      <w:r>
        <w:rPr/>
        <w:pict>
          <v:line style="position:absolute;mso-position-horizontal-relative:page;mso-position-vertical-relative:paragraph;z-index:15772672" from="47.654999pt,3.643868pt" to="43.321999pt,3.643868pt" stroked="true" strokeweight=".5pt" strokecolor="#000000">
            <v:stroke dashstyle="solid"/>
            <w10:wrap type="none"/>
          </v:line>
        </w:pict>
      </w:r>
      <w:r>
        <w:rPr>
          <w:sz w:val="12"/>
        </w:rPr>
        <w:t>14</w:t>
      </w:r>
    </w:p>
    <w:p>
      <w:pPr>
        <w:pStyle w:val="BodyText"/>
        <w:spacing w:before="4"/>
        <w:rPr>
          <w:sz w:val="12"/>
        </w:rPr>
      </w:pPr>
    </w:p>
    <w:p>
      <w:pPr>
        <w:spacing w:before="0"/>
        <w:ind w:left="0" w:right="729" w:firstLine="0"/>
        <w:jc w:val="right"/>
        <w:rPr>
          <w:sz w:val="12"/>
        </w:rPr>
      </w:pPr>
      <w:r>
        <w:rPr/>
        <w:pict>
          <v:line style="position:absolute;mso-position-horizontal-relative:page;mso-position-vertical-relative:paragraph;z-index:15773184" from="47.654999pt,4.102051pt" to="43.321999pt,4.102051pt" stroked="true" strokeweight=".5pt" strokecolor="#000000">
            <v:stroke dashstyle="solid"/>
            <w10:wrap type="none"/>
          </v:line>
        </w:pict>
      </w:r>
      <w:r>
        <w:rPr>
          <w:sz w:val="12"/>
        </w:rPr>
        <w:t>12</w:t>
      </w:r>
    </w:p>
    <w:p>
      <w:pPr>
        <w:pStyle w:val="BodyText"/>
        <w:spacing w:before="10"/>
        <w:rPr>
          <w:sz w:val="13"/>
        </w:rPr>
      </w:pPr>
    </w:p>
    <w:p>
      <w:pPr>
        <w:spacing w:before="0"/>
        <w:ind w:left="0" w:right="729" w:firstLine="0"/>
        <w:jc w:val="right"/>
        <w:rPr>
          <w:sz w:val="12"/>
        </w:rPr>
      </w:pPr>
      <w:r>
        <w:rPr/>
        <w:pict>
          <v:line style="position:absolute;mso-position-horizontal-relative:page;mso-position-vertical-relative:paragraph;z-index:15768064" from="47.654999pt,4.226868pt" to="43.321999pt,4.226868pt" stroked="true" strokeweight=".5pt" strokecolor="#000000">
            <v:stroke dashstyle="solid"/>
            <w10:wrap type="none"/>
          </v:line>
        </w:pict>
      </w:r>
      <w:r>
        <w:rPr>
          <w:sz w:val="12"/>
        </w:rPr>
        <w:t>10</w:t>
      </w:r>
    </w:p>
    <w:p>
      <w:pPr>
        <w:pStyle w:val="BodyText"/>
        <w:spacing w:before="7"/>
        <w:rPr>
          <w:sz w:val="12"/>
        </w:rPr>
      </w:pPr>
    </w:p>
    <w:p>
      <w:pPr>
        <w:spacing w:before="0"/>
        <w:ind w:left="0" w:right="729" w:firstLine="0"/>
        <w:jc w:val="right"/>
        <w:rPr>
          <w:sz w:val="12"/>
        </w:rPr>
      </w:pPr>
      <w:r>
        <w:rPr/>
        <w:pict>
          <v:line style="position:absolute;mso-position-horizontal-relative:page;mso-position-vertical-relative:paragraph;z-index:15768576" from="47.654999pt,4.101563pt" to="43.321999pt,4.101563pt" stroked="true" strokeweight=".5pt" strokecolor="#000000">
            <v:stroke dashstyle="solid"/>
            <w10:wrap type="none"/>
          </v:line>
        </w:pict>
      </w:r>
      <w:r>
        <w:rPr>
          <w:sz w:val="12"/>
        </w:rPr>
        <w:t>8</w:t>
      </w:r>
    </w:p>
    <w:p>
      <w:pPr>
        <w:pStyle w:val="BodyText"/>
        <w:spacing w:before="7"/>
        <w:rPr>
          <w:sz w:val="13"/>
        </w:rPr>
      </w:pPr>
    </w:p>
    <w:p>
      <w:pPr>
        <w:spacing w:before="0"/>
        <w:ind w:left="0" w:right="729" w:firstLine="0"/>
        <w:jc w:val="right"/>
        <w:rPr>
          <w:sz w:val="12"/>
        </w:rPr>
      </w:pPr>
      <w:r>
        <w:rPr/>
        <w:pict>
          <v:line style="position:absolute;mso-position-horizontal-relative:page;mso-position-vertical-relative:paragraph;z-index:15769088" from="47.654999pt,3.872776pt" to="43.321999pt,3.872776pt" stroked="true" strokeweight=".5pt" strokecolor="#000000">
            <v:stroke dashstyle="solid"/>
            <w10:wrap type="none"/>
          </v:line>
        </w:pict>
      </w:r>
      <w:r>
        <w:rPr>
          <w:sz w:val="12"/>
        </w:rPr>
        <w:t>6</w:t>
      </w:r>
    </w:p>
    <w:p>
      <w:pPr>
        <w:pStyle w:val="BodyText"/>
        <w:spacing w:before="7"/>
        <w:rPr>
          <w:sz w:val="12"/>
        </w:rPr>
      </w:pPr>
    </w:p>
    <w:p>
      <w:pPr>
        <w:spacing w:before="0"/>
        <w:ind w:left="0" w:right="729" w:firstLine="0"/>
        <w:jc w:val="right"/>
        <w:rPr>
          <w:sz w:val="12"/>
        </w:rPr>
      </w:pPr>
      <w:r>
        <w:rPr/>
        <w:pict>
          <v:line style="position:absolute;mso-position-horizontal-relative:page;mso-position-vertical-relative:paragraph;z-index:15769600" from="47.654999pt,4.268562pt" to="43.321999pt,4.268562pt" stroked="true" strokeweight=".5pt" strokecolor="#000000">
            <v:stroke dashstyle="solid"/>
            <w10:wrap type="none"/>
          </v:line>
        </w:pict>
      </w:r>
      <w:r>
        <w:rPr>
          <w:sz w:val="12"/>
        </w:rPr>
        <w:t>4</w:t>
      </w:r>
    </w:p>
    <w:p>
      <w:pPr>
        <w:pStyle w:val="BodyText"/>
        <w:spacing w:before="10"/>
        <w:rPr>
          <w:sz w:val="13"/>
        </w:rPr>
      </w:pPr>
    </w:p>
    <w:p>
      <w:pPr>
        <w:spacing w:before="0"/>
        <w:ind w:left="0" w:right="729" w:firstLine="0"/>
        <w:jc w:val="right"/>
        <w:rPr>
          <w:sz w:val="12"/>
        </w:rPr>
      </w:pPr>
      <w:r>
        <w:rPr/>
        <w:pict>
          <v:line style="position:absolute;mso-position-horizontal-relative:page;mso-position-vertical-relative:paragraph;z-index:15770112" from="47.654999pt,3.851349pt" to="43.321999pt,3.851349pt" stroked="true" strokeweight=".5pt" strokecolor="#000000">
            <v:stroke dashstyle="solid"/>
            <w10:wrap type="none"/>
          </v:line>
        </w:pict>
      </w:r>
      <w:r>
        <w:rPr/>
        <w:pict>
          <v:line style="position:absolute;mso-position-horizontal-relative:page;mso-position-vertical-relative:paragraph;z-index:15773696" from="202.280006pt,3.914349pt" to="197.947006pt,3.914349pt" stroked="true" strokeweight=".5pt" strokecolor="#000000">
            <v:stroke dashstyle="solid"/>
            <w10:wrap type="none"/>
          </v:line>
        </w:pict>
      </w:r>
      <w:r>
        <w:rPr>
          <w:sz w:val="12"/>
        </w:rPr>
        <w:t>2</w:t>
      </w:r>
    </w:p>
    <w:p>
      <w:pPr>
        <w:pStyle w:val="BodyText"/>
        <w:spacing w:before="4"/>
        <w:rPr>
          <w:sz w:val="12"/>
        </w:rPr>
      </w:pPr>
    </w:p>
    <w:p>
      <w:pPr>
        <w:spacing w:line="114" w:lineRule="exact" w:before="0"/>
        <w:ind w:left="3538" w:right="0" w:firstLine="0"/>
        <w:jc w:val="left"/>
        <w:rPr>
          <w:sz w:val="12"/>
        </w:rPr>
      </w:pPr>
      <w:r>
        <w:rPr/>
        <w:pict>
          <v:line style="position:absolute;mso-position-horizontal-relative:page;mso-position-vertical-relative:paragraph;z-index:15770624" from="47.654999pt,3.851563pt" to="43.321999pt,3.851563pt" stroked="true" strokeweight=".5pt" strokecolor="#000000">
            <v:stroke dashstyle="solid"/>
            <w10:wrap type="none"/>
          </v:line>
        </w:pict>
      </w:r>
      <w:r>
        <w:rPr/>
        <w:pict>
          <v:group style="position:absolute;margin-left:51.904999pt;margin-top:.768562pt;width:150.4pt;height:3.4pt;mso-position-horizontal-relative:page;mso-position-vertical-relative:paragraph;z-index:15774208" coordorigin="1038,15" coordsize="3008,68">
            <v:shape style="position:absolute;left:1043;top:15;width:3003;height:63" coordorigin="1043,15" coordsize="3003,63" path="m4046,78l3959,78m1043,15l1043,69m1329,24l1329,77m1599,24l1599,77m1879,24l1879,77e" filled="false" stroked="true" strokeweight=".5pt" strokecolor="#000000">
              <v:path arrowok="t"/>
              <v:stroke dashstyle="solid"/>
            </v:shape>
            <v:line style="position:absolute" from="1044,78" to="3917,78" stroked="true" strokeweight=".5pt" strokecolor="#000000">
              <v:stroke dashstyle="solid"/>
            </v:line>
            <v:shape style="position:absolute;left:2148;top:23;width:1683;height:54" coordorigin="2149,24" coordsize="1683,54" path="m2149,24l2149,77m2436,24l2436,77m2716,24l2716,77m3002,24l3002,77m3266,24l3266,77m3542,24l3542,77m3831,24l3831,77e" filled="false" stroked="true" strokeweight=".5pt" strokecolor="#000000">
              <v:path arrowok="t"/>
              <v:stroke dashstyle="solid"/>
            </v:shape>
            <w10:wrap type="none"/>
          </v:group>
        </w:pict>
      </w:r>
      <w:r>
        <w:rPr>
          <w:sz w:val="12"/>
        </w:rPr>
        <w:t>0</w:t>
      </w:r>
    </w:p>
    <w:p>
      <w:pPr>
        <w:spacing w:line="114" w:lineRule="exact" w:before="0"/>
        <w:ind w:left="433" w:right="0" w:firstLine="0"/>
        <w:jc w:val="left"/>
        <w:rPr>
          <w:sz w:val="12"/>
        </w:rPr>
      </w:pPr>
      <w:r>
        <w:rPr>
          <w:sz w:val="12"/>
        </w:rPr>
        <w:t>1989 90 91 92 93 94 95 96 97 98 99</w:t>
      </w:r>
    </w:p>
    <w:p>
      <w:pPr>
        <w:spacing w:before="59"/>
        <w:ind w:left="165" w:right="0" w:firstLine="0"/>
        <w:jc w:val="left"/>
        <w:rPr>
          <w:sz w:val="12"/>
        </w:rPr>
      </w:pPr>
      <w:r>
        <w:rPr>
          <w:sz w:val="12"/>
        </w:rPr>
        <w:t>Sources: Bank of England and 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pStyle w:val="Heading9"/>
        <w:spacing w:before="0"/>
        <w:ind w:left="170"/>
      </w:pPr>
      <w:r>
        <w:rPr>
          <w:color w:val="0093C1"/>
        </w:rPr>
        <w:t>Table 1.B</w:t>
      </w:r>
    </w:p>
    <w:p>
      <w:pPr>
        <w:spacing w:before="10"/>
        <w:ind w:left="170" w:right="0" w:firstLine="0"/>
        <w:jc w:val="left"/>
        <w:rPr>
          <w:sz w:val="12"/>
        </w:rPr>
      </w:pPr>
      <w:r>
        <w:rPr>
          <w:b/>
          <w:color w:val="0093C1"/>
          <w:sz w:val="20"/>
        </w:rPr>
        <w:t>Sectoral M4 lending growth</w:t>
      </w:r>
      <w:r>
        <w:rPr>
          <w:position w:val="4"/>
          <w:sz w:val="12"/>
        </w:rPr>
        <w:t>(a)(b)</w:t>
      </w:r>
    </w:p>
    <w:p>
      <w:pPr>
        <w:spacing w:line="280" w:lineRule="exact" w:before="13"/>
        <w:ind w:left="1490" w:right="754" w:hanging="1320"/>
        <w:jc w:val="left"/>
        <w:rPr>
          <w:sz w:val="14"/>
        </w:rPr>
      </w:pPr>
      <w:r>
        <w:rPr>
          <w:sz w:val="14"/>
        </w:rPr>
        <w:t>Percentage changes on a year earlier, unless noted otherwise Per cent of total</w:t>
      </w:r>
    </w:p>
    <w:p>
      <w:pPr>
        <w:tabs>
          <w:tab w:pos="4289" w:val="right" w:leader="none"/>
        </w:tabs>
        <w:spacing w:line="114" w:lineRule="exact" w:before="0"/>
        <w:ind w:left="1490" w:right="0" w:firstLine="0"/>
        <w:jc w:val="left"/>
        <w:rPr>
          <w:sz w:val="14"/>
        </w:rPr>
      </w:pPr>
      <w:r>
        <w:rPr>
          <w:sz w:val="14"/>
        </w:rPr>
        <w:t>lending stock</w:t>
        <w:tab/>
      </w:r>
      <w:r>
        <w:rPr>
          <w:sz w:val="14"/>
          <w:u w:val="single"/>
        </w:rPr>
        <w:t>1999</w:t>
        <w:tab/>
      </w:r>
    </w:p>
    <w:p>
      <w:pPr>
        <w:tabs>
          <w:tab w:pos="3519" w:val="left" w:leader="none"/>
          <w:tab w:pos="4009" w:val="left" w:leader="none"/>
        </w:tabs>
        <w:spacing w:line="160" w:lineRule="exact" w:before="0"/>
        <w:ind w:left="1490" w:right="0" w:firstLine="0"/>
        <w:jc w:val="left"/>
        <w:rPr>
          <w:sz w:val="14"/>
        </w:rPr>
      </w:pPr>
      <w:r>
        <w:rPr>
          <w:sz w:val="14"/>
          <w:u w:val="single"/>
        </w:rPr>
        <w:t>(1999 Q4) </w:t>
      </w:r>
      <w:r>
        <w:rPr>
          <w:sz w:val="12"/>
          <w:u w:val="single"/>
        </w:rPr>
        <w:t>(c)    </w:t>
      </w:r>
      <w:r>
        <w:rPr>
          <w:sz w:val="12"/>
        </w:rPr>
        <w:t>     </w:t>
      </w:r>
      <w:r>
        <w:rPr>
          <w:spacing w:val="29"/>
          <w:sz w:val="12"/>
        </w:rPr>
        <w:t> </w:t>
      </w:r>
      <w:r>
        <w:rPr>
          <w:sz w:val="14"/>
          <w:u w:val="single"/>
        </w:rPr>
        <w:t>Q1   </w:t>
      </w:r>
      <w:r>
        <w:rPr>
          <w:sz w:val="14"/>
        </w:rPr>
        <w:t>    </w:t>
      </w:r>
      <w:r>
        <w:rPr>
          <w:spacing w:val="28"/>
          <w:sz w:val="14"/>
        </w:rPr>
        <w:t> </w:t>
      </w:r>
      <w:r>
        <w:rPr>
          <w:sz w:val="14"/>
          <w:u w:val="single"/>
        </w:rPr>
        <w:t>Q2</w:t>
      </w:r>
      <w:r>
        <w:rPr>
          <w:sz w:val="14"/>
        </w:rPr>
        <w:tab/>
      </w:r>
      <w:r>
        <w:rPr>
          <w:sz w:val="14"/>
          <w:u w:val="single"/>
        </w:rPr>
        <w:t>Q3</w:t>
      </w:r>
      <w:r>
        <w:rPr>
          <w:sz w:val="14"/>
        </w:rPr>
        <w:tab/>
      </w:r>
      <w:r>
        <w:rPr>
          <w:sz w:val="14"/>
          <w:u w:val="single"/>
        </w:rPr>
        <w:t>Q4</w:t>
      </w:r>
      <w:r>
        <w:rPr>
          <w:spacing w:val="4"/>
          <w:sz w:val="14"/>
          <w:u w:val="single"/>
        </w:rPr>
        <w:t> </w:t>
      </w:r>
    </w:p>
    <w:p>
      <w:pPr>
        <w:pStyle w:val="BodyText"/>
        <w:spacing w:before="9" w:after="1"/>
        <w:rPr>
          <w:sz w:val="10"/>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5"/>
        <w:gridCol w:w="648"/>
        <w:gridCol w:w="615"/>
        <w:gridCol w:w="505"/>
        <w:gridCol w:w="455"/>
        <w:gridCol w:w="443"/>
      </w:tblGrid>
      <w:tr>
        <w:trPr>
          <w:trHeight w:val="147" w:hRule="atLeast"/>
        </w:trPr>
        <w:tc>
          <w:tcPr>
            <w:tcW w:w="1515" w:type="dxa"/>
          </w:tcPr>
          <w:p>
            <w:pPr>
              <w:pStyle w:val="TableParagraph"/>
              <w:spacing w:line="128" w:lineRule="exact"/>
              <w:ind w:left="50"/>
              <w:rPr>
                <w:sz w:val="14"/>
              </w:rPr>
            </w:pPr>
            <w:r>
              <w:rPr>
                <w:sz w:val="14"/>
              </w:rPr>
              <w:t>OFCs</w:t>
            </w:r>
          </w:p>
        </w:tc>
        <w:tc>
          <w:tcPr>
            <w:tcW w:w="648" w:type="dxa"/>
          </w:tcPr>
          <w:p>
            <w:pPr>
              <w:pStyle w:val="TableParagraph"/>
              <w:spacing w:line="128" w:lineRule="exact"/>
              <w:ind w:left="195"/>
              <w:rPr>
                <w:sz w:val="14"/>
              </w:rPr>
            </w:pPr>
            <w:r>
              <w:rPr>
                <w:sz w:val="14"/>
              </w:rPr>
              <w:t>22</w:t>
            </w:r>
          </w:p>
        </w:tc>
        <w:tc>
          <w:tcPr>
            <w:tcW w:w="615" w:type="dxa"/>
          </w:tcPr>
          <w:p>
            <w:pPr>
              <w:pStyle w:val="TableParagraph"/>
              <w:spacing w:line="128" w:lineRule="exact"/>
              <w:ind w:right="127"/>
              <w:jc w:val="right"/>
              <w:rPr>
                <w:sz w:val="14"/>
              </w:rPr>
            </w:pPr>
            <w:r>
              <w:rPr>
                <w:sz w:val="14"/>
              </w:rPr>
              <w:t>8.6</w:t>
            </w:r>
          </w:p>
        </w:tc>
        <w:tc>
          <w:tcPr>
            <w:tcW w:w="505" w:type="dxa"/>
          </w:tcPr>
          <w:p>
            <w:pPr>
              <w:pStyle w:val="TableParagraph"/>
              <w:spacing w:line="128" w:lineRule="exact"/>
              <w:ind w:right="131"/>
              <w:jc w:val="right"/>
              <w:rPr>
                <w:sz w:val="14"/>
              </w:rPr>
            </w:pPr>
            <w:r>
              <w:rPr>
                <w:sz w:val="14"/>
              </w:rPr>
              <w:t>10.2</w:t>
            </w:r>
          </w:p>
        </w:tc>
        <w:tc>
          <w:tcPr>
            <w:tcW w:w="455" w:type="dxa"/>
          </w:tcPr>
          <w:p>
            <w:pPr>
              <w:pStyle w:val="TableParagraph"/>
              <w:spacing w:line="128" w:lineRule="exact"/>
              <w:ind w:left="112" w:right="126"/>
              <w:jc w:val="center"/>
              <w:rPr>
                <w:sz w:val="14"/>
              </w:rPr>
            </w:pPr>
            <w:r>
              <w:rPr>
                <w:sz w:val="14"/>
              </w:rPr>
              <w:t>5.8</w:t>
            </w:r>
          </w:p>
        </w:tc>
        <w:tc>
          <w:tcPr>
            <w:tcW w:w="443" w:type="dxa"/>
          </w:tcPr>
          <w:p>
            <w:pPr>
              <w:pStyle w:val="TableParagraph"/>
              <w:spacing w:line="128" w:lineRule="exact"/>
              <w:ind w:right="49"/>
              <w:jc w:val="right"/>
              <w:rPr>
                <w:sz w:val="14"/>
              </w:rPr>
            </w:pPr>
            <w:r>
              <w:rPr>
                <w:sz w:val="14"/>
              </w:rPr>
              <w:t>11.6</w:t>
            </w:r>
          </w:p>
        </w:tc>
      </w:tr>
      <w:tr>
        <w:trPr>
          <w:trHeight w:val="140" w:hRule="atLeast"/>
        </w:trPr>
        <w:tc>
          <w:tcPr>
            <w:tcW w:w="1515" w:type="dxa"/>
          </w:tcPr>
          <w:p>
            <w:pPr>
              <w:pStyle w:val="TableParagraph"/>
              <w:spacing w:line="120" w:lineRule="exact"/>
              <w:ind w:left="50"/>
              <w:rPr>
                <w:sz w:val="14"/>
              </w:rPr>
            </w:pPr>
            <w:r>
              <w:rPr>
                <w:sz w:val="14"/>
              </w:rPr>
              <w:t>PNFCs</w:t>
            </w:r>
          </w:p>
        </w:tc>
        <w:tc>
          <w:tcPr>
            <w:tcW w:w="648" w:type="dxa"/>
          </w:tcPr>
          <w:p>
            <w:pPr>
              <w:pStyle w:val="TableParagraph"/>
              <w:spacing w:line="120" w:lineRule="exact"/>
              <w:ind w:left="195"/>
              <w:rPr>
                <w:sz w:val="14"/>
              </w:rPr>
            </w:pPr>
            <w:r>
              <w:rPr>
                <w:sz w:val="14"/>
              </w:rPr>
              <w:t>21</w:t>
            </w:r>
          </w:p>
        </w:tc>
        <w:tc>
          <w:tcPr>
            <w:tcW w:w="615" w:type="dxa"/>
          </w:tcPr>
          <w:p>
            <w:pPr>
              <w:pStyle w:val="TableParagraph"/>
              <w:spacing w:line="120" w:lineRule="exact"/>
              <w:ind w:right="125"/>
              <w:jc w:val="right"/>
              <w:rPr>
                <w:sz w:val="14"/>
              </w:rPr>
            </w:pPr>
            <w:r>
              <w:rPr>
                <w:sz w:val="14"/>
              </w:rPr>
              <w:t>5.7</w:t>
            </w:r>
          </w:p>
        </w:tc>
        <w:tc>
          <w:tcPr>
            <w:tcW w:w="505" w:type="dxa"/>
          </w:tcPr>
          <w:p>
            <w:pPr>
              <w:pStyle w:val="TableParagraph"/>
              <w:spacing w:line="120" w:lineRule="exact"/>
              <w:ind w:right="131"/>
              <w:jc w:val="right"/>
              <w:rPr>
                <w:sz w:val="14"/>
              </w:rPr>
            </w:pPr>
            <w:r>
              <w:rPr>
                <w:sz w:val="14"/>
              </w:rPr>
              <w:t>4.8</w:t>
            </w:r>
          </w:p>
        </w:tc>
        <w:tc>
          <w:tcPr>
            <w:tcW w:w="455" w:type="dxa"/>
          </w:tcPr>
          <w:p>
            <w:pPr>
              <w:pStyle w:val="TableParagraph"/>
              <w:spacing w:line="120" w:lineRule="exact"/>
              <w:ind w:left="112" w:right="126"/>
              <w:jc w:val="center"/>
              <w:rPr>
                <w:sz w:val="14"/>
              </w:rPr>
            </w:pPr>
            <w:r>
              <w:rPr>
                <w:sz w:val="14"/>
              </w:rPr>
              <w:t>4.3</w:t>
            </w:r>
          </w:p>
        </w:tc>
        <w:tc>
          <w:tcPr>
            <w:tcW w:w="443" w:type="dxa"/>
          </w:tcPr>
          <w:p>
            <w:pPr>
              <w:pStyle w:val="TableParagraph"/>
              <w:spacing w:line="120" w:lineRule="exact"/>
              <w:ind w:right="49"/>
              <w:jc w:val="right"/>
              <w:rPr>
                <w:sz w:val="14"/>
              </w:rPr>
            </w:pPr>
            <w:r>
              <w:rPr>
                <w:sz w:val="14"/>
              </w:rPr>
              <w:t>5.4</w:t>
            </w:r>
          </w:p>
        </w:tc>
      </w:tr>
      <w:tr>
        <w:trPr>
          <w:trHeight w:val="403" w:hRule="atLeast"/>
        </w:trPr>
        <w:tc>
          <w:tcPr>
            <w:tcW w:w="1515" w:type="dxa"/>
          </w:tcPr>
          <w:p>
            <w:pPr>
              <w:pStyle w:val="TableParagraph"/>
              <w:spacing w:line="148" w:lineRule="exact"/>
              <w:ind w:left="50"/>
              <w:rPr>
                <w:sz w:val="14"/>
              </w:rPr>
            </w:pPr>
            <w:r>
              <w:rPr>
                <w:sz w:val="14"/>
              </w:rPr>
              <w:t>Households</w:t>
            </w:r>
          </w:p>
          <w:p>
            <w:pPr>
              <w:pStyle w:val="TableParagraph"/>
              <w:spacing w:line="118" w:lineRule="exact" w:before="117"/>
              <w:ind w:left="50"/>
              <w:rPr>
                <w:sz w:val="12"/>
              </w:rPr>
            </w:pPr>
            <w:r>
              <w:rPr>
                <w:sz w:val="12"/>
              </w:rPr>
              <w:t>Source: Bank of England.</w:t>
            </w:r>
          </w:p>
        </w:tc>
        <w:tc>
          <w:tcPr>
            <w:tcW w:w="648" w:type="dxa"/>
          </w:tcPr>
          <w:p>
            <w:pPr>
              <w:pStyle w:val="TableParagraph"/>
              <w:spacing w:line="148" w:lineRule="exact"/>
              <w:ind w:left="195"/>
              <w:rPr>
                <w:sz w:val="14"/>
              </w:rPr>
            </w:pPr>
            <w:r>
              <w:rPr>
                <w:sz w:val="14"/>
              </w:rPr>
              <w:t>58</w:t>
            </w:r>
          </w:p>
        </w:tc>
        <w:tc>
          <w:tcPr>
            <w:tcW w:w="615" w:type="dxa"/>
          </w:tcPr>
          <w:p>
            <w:pPr>
              <w:pStyle w:val="TableParagraph"/>
              <w:spacing w:line="148" w:lineRule="exact"/>
              <w:ind w:right="125"/>
              <w:jc w:val="right"/>
              <w:rPr>
                <w:sz w:val="14"/>
              </w:rPr>
            </w:pPr>
            <w:r>
              <w:rPr>
                <w:sz w:val="14"/>
              </w:rPr>
              <w:t>7.7</w:t>
            </w:r>
          </w:p>
        </w:tc>
        <w:tc>
          <w:tcPr>
            <w:tcW w:w="505" w:type="dxa"/>
          </w:tcPr>
          <w:p>
            <w:pPr>
              <w:pStyle w:val="TableParagraph"/>
              <w:spacing w:line="148" w:lineRule="exact"/>
              <w:ind w:right="130"/>
              <w:jc w:val="right"/>
              <w:rPr>
                <w:sz w:val="14"/>
              </w:rPr>
            </w:pPr>
            <w:r>
              <w:rPr>
                <w:sz w:val="14"/>
              </w:rPr>
              <w:t>8.1</w:t>
            </w:r>
          </w:p>
        </w:tc>
        <w:tc>
          <w:tcPr>
            <w:tcW w:w="455" w:type="dxa"/>
          </w:tcPr>
          <w:p>
            <w:pPr>
              <w:pStyle w:val="TableParagraph"/>
              <w:spacing w:line="148" w:lineRule="exact"/>
              <w:ind w:left="113" w:right="126"/>
              <w:jc w:val="center"/>
              <w:rPr>
                <w:sz w:val="14"/>
              </w:rPr>
            </w:pPr>
            <w:r>
              <w:rPr>
                <w:sz w:val="14"/>
              </w:rPr>
              <w:t>8.6</w:t>
            </w:r>
          </w:p>
        </w:tc>
        <w:tc>
          <w:tcPr>
            <w:tcW w:w="443" w:type="dxa"/>
          </w:tcPr>
          <w:p>
            <w:pPr>
              <w:pStyle w:val="TableParagraph"/>
              <w:spacing w:line="148" w:lineRule="exact"/>
              <w:ind w:right="48"/>
              <w:jc w:val="right"/>
              <w:rPr>
                <w:sz w:val="14"/>
              </w:rPr>
            </w:pPr>
            <w:r>
              <w:rPr>
                <w:sz w:val="14"/>
              </w:rPr>
              <w:t>9.4</w:t>
            </w:r>
          </w:p>
        </w:tc>
      </w:tr>
    </w:tbl>
    <w:p>
      <w:pPr>
        <w:pStyle w:val="ListParagraph"/>
        <w:numPr>
          <w:ilvl w:val="0"/>
          <w:numId w:val="4"/>
        </w:numPr>
        <w:tabs>
          <w:tab w:pos="410" w:val="left" w:leader="none"/>
        </w:tabs>
        <w:spacing w:line="129" w:lineRule="exact" w:before="102" w:after="0"/>
        <w:ind w:left="409" w:right="0" w:hanging="240"/>
        <w:jc w:val="left"/>
        <w:rPr>
          <w:sz w:val="12"/>
        </w:rPr>
      </w:pPr>
      <w:r>
        <w:rPr>
          <w:sz w:val="12"/>
        </w:rPr>
        <w:t>Seasonally adjusted.</w:t>
      </w:r>
    </w:p>
    <w:p>
      <w:pPr>
        <w:pStyle w:val="ListParagraph"/>
        <w:numPr>
          <w:ilvl w:val="0"/>
          <w:numId w:val="4"/>
        </w:numPr>
        <w:tabs>
          <w:tab w:pos="411" w:val="left" w:leader="none"/>
        </w:tabs>
        <w:spacing w:line="120" w:lineRule="exact" w:before="0" w:after="0"/>
        <w:ind w:left="410" w:right="0" w:hanging="241"/>
        <w:jc w:val="left"/>
        <w:rPr>
          <w:sz w:val="12"/>
        </w:rPr>
      </w:pPr>
      <w:r>
        <w:rPr>
          <w:sz w:val="12"/>
        </w:rPr>
        <w:t>Excluding the effects of securitisations and other loan transfers.</w:t>
      </w:r>
    </w:p>
    <w:p>
      <w:pPr>
        <w:pStyle w:val="ListParagraph"/>
        <w:numPr>
          <w:ilvl w:val="0"/>
          <w:numId w:val="4"/>
        </w:numPr>
        <w:tabs>
          <w:tab w:pos="410" w:val="left" w:leader="none"/>
        </w:tabs>
        <w:spacing w:line="129" w:lineRule="exact" w:before="0" w:after="0"/>
        <w:ind w:left="409" w:right="0" w:hanging="240"/>
        <w:jc w:val="left"/>
        <w:rPr>
          <w:sz w:val="12"/>
        </w:rPr>
      </w:pPr>
      <w:r>
        <w:rPr>
          <w:sz w:val="12"/>
        </w:rPr>
        <w:t>Sums to more than 100 because of rounding.</w:t>
      </w:r>
    </w:p>
    <w:p>
      <w:pPr>
        <w:pStyle w:val="Heading6"/>
        <w:spacing w:line="242" w:lineRule="auto" w:before="206"/>
        <w:ind w:left="165" w:right="181"/>
      </w:pPr>
      <w:r>
        <w:rPr/>
        <w:br w:type="column"/>
      </w:r>
      <w:r>
        <w:rPr/>
        <w:t>largely reflecting a continued decline in sterling deposits held by non-bank financial corporations (OFCs) (see Chart 1.3). In recent years, OFCs’ deposit holdings and total M4 have fluctuated much more sharply than nominal demand, making it hard to draw inferences about activity from aggregate broad money. The deposit holdings of households and private non-financial corporations (PNFCs) have grown more steadily (see Chart 1.3). Chart 1.4 shows that growth in broad money, excluding OFCs’ deposits, has been stable at around 6.5% over the past year, which is more consistent with the recent path of nominal demand growth.</w:t>
      </w:r>
    </w:p>
    <w:p>
      <w:pPr>
        <w:pStyle w:val="BodyText"/>
        <w:spacing w:before="4"/>
        <w:rPr>
          <w:sz w:val="27"/>
        </w:rPr>
      </w:pPr>
    </w:p>
    <w:p>
      <w:pPr>
        <w:spacing w:line="242" w:lineRule="auto" w:before="1"/>
        <w:ind w:left="165" w:right="275" w:firstLine="0"/>
        <w:jc w:val="left"/>
        <w:rPr>
          <w:sz w:val="24"/>
        </w:rPr>
      </w:pPr>
      <w:r>
        <w:rPr>
          <w:sz w:val="24"/>
        </w:rPr>
        <w:t>Divisia money provides an alternative indicator of deposits likely to be used in nominal spending. The Divisia index is constructed as a weighted sum of broad money deposits, with more liquid deposit balances given larger weights. The liquidity of a deposit balance is assumed to be inversely related to the interest rate</w:t>
      </w:r>
    </w:p>
    <w:p>
      <w:pPr>
        <w:spacing w:line="242" w:lineRule="auto" w:before="7"/>
        <w:ind w:left="165" w:right="181" w:firstLine="0"/>
        <w:jc w:val="left"/>
        <w:rPr>
          <w:sz w:val="24"/>
        </w:rPr>
      </w:pPr>
      <w:r>
        <w:rPr>
          <w:sz w:val="24"/>
        </w:rPr>
        <w:t>paid on it. So the higher the interest rate, the more </w:t>
      </w:r>
      <w:r>
        <w:rPr>
          <w:spacing w:val="-3"/>
          <w:sz w:val="24"/>
        </w:rPr>
        <w:t>likely </w:t>
      </w:r>
      <w:r>
        <w:rPr>
          <w:sz w:val="24"/>
        </w:rPr>
        <w:t>the deposit is being held as savings rather than for use</w:t>
      </w:r>
    </w:p>
    <w:p>
      <w:pPr>
        <w:spacing w:line="242" w:lineRule="auto" w:before="3"/>
        <w:ind w:left="165" w:right="181" w:firstLine="0"/>
        <w:jc w:val="left"/>
        <w:rPr>
          <w:sz w:val="24"/>
        </w:rPr>
      </w:pPr>
      <w:r>
        <w:rPr>
          <w:sz w:val="24"/>
        </w:rPr>
        <w:t>in transactions, and so the lower the weight given to </w:t>
      </w:r>
      <w:r>
        <w:rPr>
          <w:spacing w:val="-6"/>
          <w:sz w:val="24"/>
        </w:rPr>
        <w:t>the </w:t>
      </w:r>
      <w:r>
        <w:rPr>
          <w:sz w:val="24"/>
        </w:rPr>
        <w:t>deposit in the index. Annual growth in total Divisia slowed by less than M4 growth in the first half of </w:t>
      </w:r>
      <w:r>
        <w:rPr>
          <w:spacing w:val="-3"/>
          <w:sz w:val="24"/>
        </w:rPr>
        <w:t>1999, </w:t>
      </w:r>
      <w:r>
        <w:rPr>
          <w:sz w:val="24"/>
        </w:rPr>
        <w:t>and picked up slightly, to 4.9%, in the fourth</w:t>
      </w:r>
      <w:r>
        <w:rPr>
          <w:spacing w:val="-20"/>
          <w:sz w:val="24"/>
        </w:rPr>
        <w:t> </w:t>
      </w:r>
      <w:r>
        <w:rPr>
          <w:sz w:val="24"/>
        </w:rPr>
        <w:t>quarter.</w:t>
      </w:r>
    </w:p>
    <w:p>
      <w:pPr>
        <w:spacing w:line="242" w:lineRule="auto" w:before="5"/>
        <w:ind w:left="165" w:right="521" w:firstLine="0"/>
        <w:jc w:val="left"/>
        <w:rPr>
          <w:sz w:val="24"/>
        </w:rPr>
      </w:pPr>
      <w:r>
        <w:rPr>
          <w:sz w:val="24"/>
        </w:rPr>
        <w:t>Growth in household Divisia, which may provide a better indicator of near-term nominal consumer spending, picked up strongly in 1999 Q4 on a quarter earlier, but annual growth remained steady at 6.6%.</w:t>
      </w:r>
    </w:p>
    <w:p>
      <w:pPr>
        <w:pStyle w:val="BodyText"/>
        <w:spacing w:before="6"/>
        <w:rPr>
          <w:sz w:val="26"/>
        </w:rPr>
      </w:pPr>
    </w:p>
    <w:p>
      <w:pPr>
        <w:spacing w:line="242" w:lineRule="auto" w:before="0"/>
        <w:ind w:left="165" w:right="179" w:firstLine="0"/>
        <w:jc w:val="left"/>
        <w:rPr>
          <w:sz w:val="24"/>
        </w:rPr>
      </w:pPr>
      <w:r>
        <w:rPr>
          <w:sz w:val="24"/>
        </w:rPr>
        <w:t>On the asset side of the banking sector’s balance sheet, annual growth in bank and building society lending increased to 8.5% in 1999 Q4, from 7.0% in the </w:t>
      </w:r>
      <w:r>
        <w:rPr>
          <w:spacing w:val="-3"/>
          <w:sz w:val="24"/>
        </w:rPr>
        <w:t>previous </w:t>
      </w:r>
      <w:r>
        <w:rPr>
          <w:sz w:val="24"/>
        </w:rPr>
        <w:t>quarter (see </w:t>
      </w:r>
      <w:r>
        <w:rPr>
          <w:spacing w:val="-4"/>
          <w:sz w:val="24"/>
        </w:rPr>
        <w:t>Table </w:t>
      </w:r>
      <w:r>
        <w:rPr>
          <w:sz w:val="24"/>
        </w:rPr>
        <w:t>1.A). Higher bank borrowing by OFCs was a significant factor in the pick-up in lending growth in 1999 Q4 (see </w:t>
      </w:r>
      <w:r>
        <w:rPr>
          <w:spacing w:val="-4"/>
          <w:sz w:val="24"/>
        </w:rPr>
        <w:t>Table </w:t>
      </w:r>
      <w:r>
        <w:rPr>
          <w:sz w:val="24"/>
        </w:rPr>
        <w:t>1.B). But over the past year as a whole, robust lending to the household sector has accounted for most of the rise in total lending growth;  growth in lending to PNFCs has been steady and lending to OFCs has been volatile.</w:t>
      </w:r>
    </w:p>
    <w:p>
      <w:pPr>
        <w:pStyle w:val="BodyText"/>
        <w:spacing w:before="8"/>
        <w:rPr>
          <w:sz w:val="30"/>
        </w:rPr>
      </w:pPr>
    </w:p>
    <w:p>
      <w:pPr>
        <w:spacing w:before="0"/>
        <w:ind w:left="165" w:right="0" w:firstLine="0"/>
        <w:jc w:val="left"/>
        <w:rPr>
          <w:i/>
          <w:sz w:val="24"/>
        </w:rPr>
      </w:pPr>
      <w:r>
        <w:rPr>
          <w:i/>
          <w:color w:val="009483"/>
          <w:sz w:val="24"/>
        </w:rPr>
        <w:t>Household sector</w:t>
      </w:r>
    </w:p>
    <w:p>
      <w:pPr>
        <w:spacing w:line="242" w:lineRule="auto" w:before="104"/>
        <w:ind w:left="165" w:right="535" w:firstLine="0"/>
        <w:jc w:val="left"/>
        <w:rPr>
          <w:sz w:val="24"/>
        </w:rPr>
      </w:pPr>
      <w:r>
        <w:rPr>
          <w:sz w:val="24"/>
        </w:rPr>
        <w:t>Annual growth in household sector deposits has been broadly stable for several years and was 6.5% in 1999 Q4. By contrast, annual growth in bank and building society lending to households picked up in</w:t>
      </w:r>
    </w:p>
    <w:p>
      <w:pPr>
        <w:spacing w:line="242" w:lineRule="auto" w:before="5"/>
        <w:ind w:left="165" w:right="442" w:firstLine="0"/>
        <w:jc w:val="left"/>
        <w:rPr>
          <w:sz w:val="24"/>
        </w:rPr>
      </w:pPr>
      <w:r>
        <w:rPr>
          <w:sz w:val="24"/>
        </w:rPr>
        <w:t>1999, reaching 9.4% in 1999 Q4, its highest rate since 1991.</w:t>
      </w:r>
      <w:r>
        <w:rPr>
          <w:position w:val="5"/>
          <w:sz w:val="16"/>
        </w:rPr>
        <w:t>(1) </w:t>
      </w:r>
      <w:r>
        <w:rPr>
          <w:sz w:val="24"/>
        </w:rPr>
        <w:t>A wider measure of lending to individuals, which also includes lending by institutions other than</w:t>
      </w:r>
    </w:p>
    <w:p>
      <w:pPr>
        <w:spacing w:after="0" w:line="242" w:lineRule="auto"/>
        <w:jc w:val="left"/>
        <w:rPr>
          <w:sz w:val="24"/>
        </w:rPr>
        <w:sectPr>
          <w:type w:val="continuous"/>
          <w:pgSz w:w="11900" w:h="16840"/>
          <w:pgMar w:top="1220" w:bottom="280" w:left="620" w:right="640"/>
          <w:cols w:num="2" w:equalWidth="0">
            <w:col w:w="4330" w:space="484"/>
            <w:col w:w="5826"/>
          </w:cols>
        </w:sectPr>
      </w:pPr>
    </w:p>
    <w:p>
      <w:pPr>
        <w:pStyle w:val="BodyText"/>
        <w:rPr>
          <w:sz w:val="21"/>
        </w:rPr>
      </w:pPr>
    </w:p>
    <w:p>
      <w:pPr>
        <w:pStyle w:val="BodyText"/>
        <w:spacing w:line="20" w:lineRule="exact"/>
        <w:ind w:left="4948"/>
        <w:rPr>
          <w:sz w:val="2"/>
        </w:rPr>
      </w:pPr>
      <w:r>
        <w:rPr>
          <w:sz w:val="2"/>
        </w:rPr>
        <w:pict>
          <v:group style="width:277.5pt;height:.15pt;mso-position-horizontal-relative:char;mso-position-vertical-relative:line" coordorigin="0,0" coordsize="5550,3">
            <v:line style="position:absolute" from="0,1" to="5550,1" stroked="true" strokeweight=".125pt" strokecolor="#000000">
              <v:stroke dashstyle="solid"/>
            </v:line>
          </v:group>
        </w:pict>
      </w:r>
      <w:r>
        <w:rPr>
          <w:sz w:val="2"/>
        </w:rPr>
      </w:r>
    </w:p>
    <w:p>
      <w:pPr>
        <w:pStyle w:val="ListParagraph"/>
        <w:numPr>
          <w:ilvl w:val="1"/>
          <w:numId w:val="4"/>
        </w:numPr>
        <w:tabs>
          <w:tab w:pos="5211" w:val="left" w:leader="none"/>
        </w:tabs>
        <w:spacing w:line="240" w:lineRule="auto" w:before="2" w:after="0"/>
        <w:ind w:left="5210" w:right="0" w:hanging="241"/>
        <w:jc w:val="left"/>
        <w:rPr>
          <w:sz w:val="16"/>
        </w:rPr>
      </w:pPr>
      <w:r>
        <w:rPr>
          <w:sz w:val="16"/>
        </w:rPr>
        <w:t>Excluding the effects of securitisations and other loan transfers.</w:t>
      </w:r>
    </w:p>
    <w:p>
      <w:pPr>
        <w:spacing w:after="0" w:line="240" w:lineRule="auto"/>
        <w:jc w:val="left"/>
        <w:rPr>
          <w:sz w:val="16"/>
        </w:rPr>
        <w:sectPr>
          <w:type w:val="continuous"/>
          <w:pgSz w:w="11900" w:h="16840"/>
          <w:pgMar w:top="1220" w:bottom="280" w:left="620" w:right="640"/>
        </w:sectPr>
      </w:pPr>
    </w:p>
    <w:p>
      <w:pPr>
        <w:pStyle w:val="BodyText"/>
        <w:rPr>
          <w:sz w:val="20"/>
        </w:rPr>
      </w:pPr>
    </w:p>
    <w:p>
      <w:pPr>
        <w:spacing w:after="0"/>
        <w:rPr>
          <w:sz w:val="20"/>
        </w:rPr>
        <w:sectPr>
          <w:pgSz w:w="11900" w:h="16840"/>
          <w:pgMar w:header="584" w:footer="597" w:top="780" w:bottom="780" w:left="620" w:right="640"/>
        </w:sectPr>
      </w:pPr>
    </w:p>
    <w:p>
      <w:pPr>
        <w:pStyle w:val="BodyText"/>
        <w:spacing w:before="11"/>
        <w:rPr>
          <w:sz w:val="20"/>
        </w:rPr>
      </w:pPr>
    </w:p>
    <w:p>
      <w:pPr>
        <w:pStyle w:val="Heading9"/>
        <w:spacing w:before="0"/>
        <w:ind w:left="205"/>
      </w:pPr>
      <w:bookmarkStart w:name="Private non-financial corporations" w:id="14"/>
      <w:bookmarkEnd w:id="14"/>
      <w:r>
        <w:rPr>
          <w:b w:val="0"/>
        </w:rPr>
      </w:r>
      <w:bookmarkStart w:name="_bookmark5" w:id="15"/>
      <w:bookmarkEnd w:id="15"/>
      <w:r>
        <w:rPr>
          <w:b w:val="0"/>
        </w:rPr>
      </w:r>
      <w:r>
        <w:rPr>
          <w:color w:val="0093C1"/>
        </w:rPr>
        <w:t>Chart 1.5</w:t>
      </w:r>
    </w:p>
    <w:p>
      <w:pPr>
        <w:spacing w:line="249" w:lineRule="auto" w:before="10"/>
        <w:ind w:left="205" w:right="459" w:firstLine="0"/>
        <w:jc w:val="left"/>
        <w:rPr>
          <w:sz w:val="12"/>
        </w:rPr>
      </w:pPr>
      <w:r>
        <w:rPr>
          <w:b/>
          <w:color w:val="0093C1"/>
          <w:sz w:val="20"/>
        </w:rPr>
        <w:t>Secured lending to individuals and loan approvals</w:t>
      </w:r>
      <w:r>
        <w:rPr>
          <w:position w:val="4"/>
          <w:sz w:val="12"/>
        </w:rPr>
        <w:t>(a)</w:t>
      </w:r>
    </w:p>
    <w:p>
      <w:pPr>
        <w:pStyle w:val="BodyText"/>
        <w:spacing w:before="8"/>
      </w:pPr>
    </w:p>
    <w:p>
      <w:pPr>
        <w:spacing w:before="0"/>
        <w:ind w:left="3060" w:right="0" w:firstLine="0"/>
        <w:jc w:val="left"/>
        <w:rPr>
          <w:sz w:val="11"/>
        </w:rPr>
      </w:pPr>
      <w:r>
        <w:rPr/>
        <w:pict>
          <v:line style="position:absolute;mso-position-horizontal-relative:page;mso-position-vertical-relative:paragraph;z-index:15778816" from="48.333pt,6.303485pt" to="44pt,6.303485pt" stroked="true" strokeweight=".5pt" strokecolor="#000000">
            <v:stroke dashstyle="solid"/>
            <w10:wrap type="none"/>
          </v:line>
        </w:pict>
      </w:r>
      <w:r>
        <w:rPr>
          <w:w w:val="105"/>
          <w:sz w:val="11"/>
        </w:rPr>
        <w:t>£ billio</w:t>
      </w:r>
      <w:r>
        <w:rPr>
          <w:w w:val="105"/>
          <w:sz w:val="11"/>
          <w:u w:val="single"/>
        </w:rPr>
        <w:t>n</w:t>
      </w:r>
      <w:r>
        <w:rPr>
          <w:w w:val="105"/>
          <w:sz w:val="11"/>
        </w:rPr>
        <w:t>s</w:t>
      </w:r>
      <w:r>
        <w:rPr>
          <w:spacing w:val="-7"/>
          <w:w w:val="105"/>
          <w:sz w:val="11"/>
        </w:rPr>
        <w:t> </w:t>
      </w:r>
      <w:r>
        <w:rPr>
          <w:w w:val="105"/>
          <w:position w:val="-6"/>
          <w:sz w:val="11"/>
        </w:rPr>
        <w:t>12</w:t>
      </w:r>
    </w:p>
    <w:p>
      <w:pPr>
        <w:pStyle w:val="BodyText"/>
        <w:spacing w:before="1"/>
      </w:pPr>
    </w:p>
    <w:p>
      <w:pPr>
        <w:spacing w:before="0"/>
        <w:ind w:left="0" w:right="422" w:firstLine="0"/>
        <w:jc w:val="right"/>
        <w:rPr>
          <w:sz w:val="11"/>
        </w:rPr>
      </w:pPr>
      <w:r>
        <w:rPr/>
        <w:pict>
          <v:group style="position:absolute;margin-left:44pt;margin-top:2.747802pt;width:160.85pt;height:102.95pt;mso-position-horizontal-relative:page;mso-position-vertical-relative:paragraph;z-index:15777792" coordorigin="880,55" coordsize="3217,2059">
            <v:line style="position:absolute" from="1028,2063" to="1096,2063" stroked="true" strokeweight=".619pt" strokecolor="#3366ff">
              <v:stroke dashstyle="solid"/>
            </v:line>
            <v:line style="position:absolute" from="1091,2062" to="1158,1969" stroked="true" strokeweight=".5pt" strokecolor="#3366ff">
              <v:stroke dashstyle="solid"/>
            </v:line>
            <v:line style="position:absolute" from="1153,1971" to="1221,1971" stroked="true" strokeweight=".618pt" strokecolor="#3366ff">
              <v:stroke dashstyle="solid"/>
            </v:line>
            <v:shape style="position:absolute;left:1215;top:311;width:2155;height:1658" coordorigin="1216,312" coordsize="2155,1658" path="m1216,1969l1286,1832m1286,1832l1341,1877m1341,1877l1398,1725m1398,1725l1468,1817m1468,1817l1523,1770m1523,1770l1593,1618m1593,1618l1651,1694m1651,1694l1706,1770m1706,1770l1776,1708m1776,1708l1833,1739m1833,1739l1901,1725m1901,1725l1958,1447m1958,1447l2016,1570m2016,1570l2083,1756m2083,1756l2141,1663m2141,1663l2208,1646m2208,1646l2266,1509m2266,1509l2323,1570m2323,1570l2391,1525m2391,1525l2448,1326m2448,1326l2516,1478m2516,1478l2573,1326m2573,1326l2641,1340m2641,1340l2698,1402m2698,1402l2756,1371m2756,1371l2823,1110m2823,1110l2881,1034m2881,1034l2951,1188m2951,1188l3006,1126m3006,1126l3063,1095m3063,1095l3133,1050m3133,1050l3188,1003m3188,1003l3258,1202m3258,1202l3316,820m3316,820l3371,312e" filled="false" stroked="true" strokeweight=".5pt" strokecolor="#3366ff">
              <v:path arrowok="t"/>
              <v:stroke dashstyle="solid"/>
            </v:shape>
            <v:shape style="position:absolute;left:3365;top:230;width:570;height:272" type="#_x0000_t75" stroked="false">
              <v:imagedata r:id="rId28" o:title=""/>
            </v:shape>
            <v:line style="position:absolute" from="1023,2063" to="1101,2063" stroked="true" strokeweight="1.119pt" strokecolor="#00a995">
              <v:stroke dashstyle="solid"/>
            </v:line>
            <v:line style="position:absolute" from="1091,2062" to="1158,1969" stroked="true" strokeweight="1.0pt" strokecolor="#00a995">
              <v:stroke dashstyle="solid"/>
            </v:line>
            <v:line style="position:absolute" from="1148,1971" to="1226,1971" stroked="true" strokeweight="1.118pt" strokecolor="#00a995">
              <v:stroke dashstyle="solid"/>
            </v:line>
            <v:shape style="position:absolute;left:1215;top:311;width:2155;height:1658" coordorigin="1216,312" coordsize="2155,1658" path="m1216,1969l1286,1832m1286,1832l1341,1877m1341,1877l1398,1725m1398,1725l1468,1817m1468,1817l1523,1770m1523,1770l1593,1618m1593,1618l1651,1694m1651,1694l1706,1770m1706,1770l1776,1708m1776,1708l1833,1739m1833,1739l1901,1725m1901,1725l1958,1447m1958,1447l2016,1570m2016,1570l2083,1756m2083,1756l2141,1663m2141,1663l2208,1646m2208,1646l2266,1509m2266,1509l2323,1570m2323,1570l2391,1525m2391,1525l2448,1326m2448,1326l2516,1478m2516,1478l2573,1326m2573,1326l2641,1340m2641,1340l2698,1402m2698,1402l2756,1371m2756,1371l2823,1110m2823,1110l2881,1034m2881,1034l2951,1188m2951,1188l3006,1126m3006,1126l3063,1095m3063,1095l3133,1050m3133,1050l3188,1003m3188,1003l3258,1202m3258,1202l3316,820m3316,820l3371,312e" filled="false" stroked="true" strokeweight="1pt" strokecolor="#00a995">
              <v:path arrowok="t"/>
              <v:stroke dashstyle="solid"/>
            </v:shape>
            <v:shape style="position:absolute;left:3360;top:225;width:580;height:282" type="#_x0000_t75" stroked="false">
              <v:imagedata r:id="rId29" o:title=""/>
            </v:shape>
            <v:shape style="position:absolute;left:1033;top:1556;width:618;height:414" coordorigin="1033,1556" coordsize="618,414" path="m1033,1969l1091,1955m1091,1955l1158,1877m1158,1877l1216,1908m1216,1908l1286,1739m1286,1739l1341,1893m1341,1893l1398,1663m1398,1663l1468,1725m1468,1725l1523,1801m1523,1801l1593,1556m1593,1556l1651,1632e" filled="false" stroked="true" strokeweight="1pt" strokecolor="#952e40">
              <v:path arrowok="t"/>
              <v:stroke dashstyle="solid"/>
            </v:shape>
            <v:line style="position:absolute" from="1641,1633" to="1716,1633" stroked="true" strokeweight="1.119pt" strokecolor="#952e40">
              <v:stroke dashstyle="solid"/>
            </v:line>
            <v:shape style="position:absolute;left:1705;top:603;width:1665;height:1136" coordorigin="1706,604" coordsize="1665,1136" path="m1706,1632l1776,1677m1776,1677l1833,1663m1833,1663l1901,1739m1901,1739l1958,1632m1958,1632l2016,1663m2016,1663l2083,1677m2083,1677l2141,1632m2141,1632l2208,1646m2208,1646l2266,1570m2266,1570l2323,1525m2323,1525l2391,1677m2391,1677l2448,1447m2448,1447l2516,1494m2516,1494l2573,1447m2573,1447l2641,1402m2641,1402l2698,1340m2698,1340l2756,1433m2756,1433l2823,1278m2823,1278l2881,1188m2881,1188l2951,1250m2951,1250l3006,1157m3006,1157l3063,1202m3063,1202l3133,1157m3133,1157l3188,1019m3188,1019l3258,1141m3258,1141l3316,1095m3316,1095l3371,604e" filled="false" stroked="true" strokeweight="1pt" strokecolor="#952e40">
              <v:path arrowok="t"/>
              <v:stroke dashstyle="solid"/>
            </v:shape>
            <v:shape style="position:absolute;left:3360;top:102;width:580;height:619" type="#_x0000_t75" stroked="false">
              <v:imagedata r:id="rId30" o:title=""/>
            </v:shape>
            <v:shape style="position:absolute;left:880;top:59;width:3217;height:2049" coordorigin="880,60" coordsize="3217,2049" path="m967,740l880,740m967,1078l880,1078m967,1420l880,1420m967,1771l880,1771m967,2108l880,2108m967,60l880,60m967,402l880,402m4097,740l4010,740m4097,1078l4010,1078m4097,1420l4010,1420m4097,1771l4010,1771m4097,2108l4010,2108m4097,60l4010,60m4097,402l4010,402e" filled="false" stroked="true" strokeweight=".5pt" strokecolor="#000000">
              <v:path arrowok="t"/>
              <v:stroke dashstyle="solid"/>
            </v:shape>
            <v:shape style="position:absolute;left:2210;top:302;width:1138;height:127" type="#_x0000_t202" filled="false" stroked="false">
              <v:textbox inset="0,0,0,0">
                <w:txbxContent>
                  <w:p>
                    <w:pPr>
                      <w:spacing w:line="126" w:lineRule="exact" w:before="0"/>
                      <w:ind w:left="0" w:right="0" w:firstLine="0"/>
                      <w:jc w:val="left"/>
                      <w:rPr>
                        <w:sz w:val="11"/>
                      </w:rPr>
                    </w:pPr>
                    <w:r>
                      <w:rPr>
                        <w:w w:val="105"/>
                        <w:sz w:val="11"/>
                      </w:rPr>
                      <w:t>Value of loans approved</w:t>
                    </w:r>
                  </w:p>
                </w:txbxContent>
              </v:textbox>
              <w10:wrap type="none"/>
            </v:shape>
            <v:shape style="position:absolute;left:2268;top:1661;width:1034;height:127" type="#_x0000_t202" filled="false" stroked="false">
              <v:textbox inset="0,0,0,0">
                <w:txbxContent>
                  <w:p>
                    <w:pPr>
                      <w:spacing w:line="126" w:lineRule="exact" w:before="0"/>
                      <w:ind w:left="0" w:right="0" w:firstLine="0"/>
                      <w:jc w:val="left"/>
                      <w:rPr>
                        <w:sz w:val="11"/>
                      </w:rPr>
                    </w:pPr>
                    <w:r>
                      <w:rPr>
                        <w:w w:val="105"/>
                        <w:sz w:val="11"/>
                      </w:rPr>
                      <w:t>Gross secured lending</w:t>
                    </w:r>
                  </w:p>
                </w:txbxContent>
              </v:textbox>
              <w10:wrap type="none"/>
            </v:shape>
            <w10:wrap type="none"/>
          </v:group>
        </w:pict>
      </w:r>
      <w:r>
        <w:rPr>
          <w:spacing w:val="-1"/>
          <w:w w:val="105"/>
          <w:sz w:val="11"/>
        </w:rPr>
        <w:t>11</w:t>
      </w:r>
    </w:p>
    <w:p>
      <w:pPr>
        <w:pStyle w:val="BodyText"/>
        <w:rPr>
          <w:sz w:val="12"/>
        </w:rPr>
      </w:pPr>
    </w:p>
    <w:p>
      <w:pPr>
        <w:spacing w:before="89"/>
        <w:ind w:left="0" w:right="422" w:firstLine="0"/>
        <w:jc w:val="right"/>
        <w:rPr>
          <w:sz w:val="11"/>
        </w:rPr>
      </w:pPr>
      <w:r>
        <w:rPr>
          <w:spacing w:val="-1"/>
          <w:w w:val="105"/>
          <w:sz w:val="11"/>
        </w:rPr>
        <w:t>10</w:t>
      </w:r>
    </w:p>
    <w:p>
      <w:pPr>
        <w:pStyle w:val="BodyText"/>
        <w:spacing w:before="8"/>
        <w:rPr>
          <w:sz w:val="16"/>
        </w:rPr>
      </w:pPr>
    </w:p>
    <w:p>
      <w:pPr>
        <w:spacing w:before="0"/>
        <w:ind w:left="0" w:right="419" w:firstLine="0"/>
        <w:jc w:val="right"/>
        <w:rPr>
          <w:sz w:val="11"/>
        </w:rPr>
      </w:pPr>
      <w:r>
        <w:rPr>
          <w:w w:val="103"/>
          <w:sz w:val="11"/>
        </w:rPr>
        <w:t>9</w:t>
      </w:r>
    </w:p>
    <w:p>
      <w:pPr>
        <w:pStyle w:val="BodyText"/>
        <w:rPr>
          <w:sz w:val="12"/>
        </w:rPr>
      </w:pPr>
    </w:p>
    <w:p>
      <w:pPr>
        <w:spacing w:before="92"/>
        <w:ind w:left="0" w:right="424" w:firstLine="0"/>
        <w:jc w:val="right"/>
        <w:rPr>
          <w:sz w:val="11"/>
        </w:rPr>
      </w:pPr>
      <w:r>
        <w:rPr>
          <w:w w:val="103"/>
          <w:sz w:val="11"/>
        </w:rPr>
        <w:t>8</w:t>
      </w:r>
    </w:p>
    <w:p>
      <w:pPr>
        <w:pStyle w:val="BodyText"/>
        <w:rPr>
          <w:sz w:val="12"/>
        </w:rPr>
      </w:pPr>
    </w:p>
    <w:p>
      <w:pPr>
        <w:spacing w:before="72"/>
        <w:ind w:left="0" w:right="419" w:firstLine="0"/>
        <w:jc w:val="right"/>
        <w:rPr>
          <w:sz w:val="11"/>
        </w:rPr>
      </w:pPr>
      <w:r>
        <w:rPr>
          <w:w w:val="103"/>
          <w:sz w:val="11"/>
        </w:rPr>
        <w:t>7</w:t>
      </w:r>
    </w:p>
    <w:p>
      <w:pPr>
        <w:pStyle w:val="BodyText"/>
        <w:rPr>
          <w:sz w:val="12"/>
        </w:rPr>
      </w:pPr>
    </w:p>
    <w:p>
      <w:pPr>
        <w:spacing w:before="90"/>
        <w:ind w:left="0" w:right="419" w:firstLine="0"/>
        <w:jc w:val="right"/>
        <w:rPr>
          <w:sz w:val="11"/>
        </w:rPr>
      </w:pPr>
      <w:r>
        <w:rPr>
          <w:w w:val="103"/>
          <w:sz w:val="11"/>
        </w:rPr>
        <w:t>6</w:t>
      </w:r>
    </w:p>
    <w:p>
      <w:pPr>
        <w:pStyle w:val="BodyText"/>
        <w:rPr>
          <w:sz w:val="12"/>
        </w:rPr>
      </w:pPr>
    </w:p>
    <w:p>
      <w:pPr>
        <w:spacing w:before="73"/>
        <w:ind w:left="0" w:right="419" w:firstLine="0"/>
        <w:jc w:val="right"/>
        <w:rPr>
          <w:sz w:val="11"/>
        </w:rPr>
      </w:pPr>
      <w:r>
        <w:rPr>
          <w:w w:val="103"/>
          <w:sz w:val="11"/>
        </w:rPr>
        <w:t>5</w:t>
      </w:r>
    </w:p>
    <w:p>
      <w:pPr>
        <w:pStyle w:val="BodyText"/>
        <w:rPr>
          <w:sz w:val="12"/>
        </w:rPr>
      </w:pPr>
    </w:p>
    <w:p>
      <w:pPr>
        <w:spacing w:line="115" w:lineRule="exact" w:before="72"/>
        <w:ind w:left="3578" w:right="0" w:firstLine="0"/>
        <w:jc w:val="left"/>
        <w:rPr>
          <w:sz w:val="11"/>
        </w:rPr>
      </w:pPr>
      <w:r>
        <w:rPr/>
        <w:pict>
          <v:group style="position:absolute;margin-left:43.667pt;margin-top:5.89179pt;width:162.75pt;height:7.15pt;mso-position-horizontal-relative:page;mso-position-vertical-relative:paragraph;z-index:15778304" coordorigin="873,118" coordsize="3255,143">
            <v:shape style="position:absolute;left:880;top:122;width:412;height:138" coordorigin="880,123" coordsize="412,138" path="m967,123l880,123m1045,165l1045,260m1107,210l1107,260m1168,210l1168,260m1230,210l1230,260m1291,210l1291,260e" filled="false" stroked="true" strokeweight=".5pt" strokecolor="#000000">
              <v:path arrowok="t"/>
              <v:stroke dashstyle="solid"/>
            </v:shape>
            <v:line style="position:absolute" from="873,255" to="4093,255" stroked="true" strokeweight=".5pt" strokecolor="#000000">
              <v:stroke dashstyle="solid"/>
            </v:line>
            <v:shape style="position:absolute;left:1352;top:122;width:2745;height:138" coordorigin="1353,123" coordsize="2745,138" path="m1783,165l1783,260m2518,165l2518,260m3268,165l3268,260m1353,210l1353,260m1414,210l1414,260m1476,210l1476,260m1537,210l1537,260m1599,210l1599,260m1660,210l1660,260m1722,210l1722,260m1845,200l1845,251m1906,200l1906,251m1967,200l1967,251m2028,200l2028,251m2090,200l2090,251m2151,200l2151,251m2212,200l2212,251m2273,200l2273,251m2335,200l2335,251m2396,200l2396,251m2457,200l2457,251m2581,210l2581,260m2643,210l2643,260m2706,210l2706,260m2768,210l2768,260m2831,210l2831,260m2893,210l2893,260m2956,210l2956,260m3018,210l3018,260m3081,210l3081,260m3143,210l3143,260m3206,210l3206,260m3330,210l3330,260m3391,210l3391,260m3453,210l3453,260m3514,210l3514,260m3575,210l3575,260m3637,210l3637,260m3698,210l3698,260m3760,210l3760,260m3821,210l3821,260m3883,210l3883,260m3944,210l3944,260m4097,123l4010,123e" filled="false" stroked="true" strokeweight=".5pt" strokecolor="#000000">
              <v:path arrowok="t"/>
              <v:stroke dashstyle="solid"/>
            </v:shape>
            <v:shape style="position:absolute;left:948;top:124;width:3175;height:122" coordorigin="948,124" coordsize="3175,122" path="m4103,124l4103,150,4083,165,4123,178,4083,197,4123,213,4100,223,4100,245m968,126l968,151,948,166,988,179,948,198,988,214,965,224,965,246e" filled="false" stroked="true" strokeweight=".5pt" strokecolor="#000000">
              <v:path arrowok="t"/>
              <v:stroke dashstyle="solid"/>
            </v:shape>
            <w10:wrap type="none"/>
          </v:group>
        </w:pict>
      </w:r>
      <w:r>
        <w:rPr>
          <w:w w:val="103"/>
          <w:sz w:val="11"/>
        </w:rPr>
        <w:t>4</w:t>
      </w:r>
    </w:p>
    <w:p>
      <w:pPr>
        <w:spacing w:line="107" w:lineRule="exact" w:before="0"/>
        <w:ind w:left="3578" w:right="0" w:firstLine="0"/>
        <w:jc w:val="left"/>
        <w:rPr>
          <w:sz w:val="11"/>
        </w:rPr>
      </w:pPr>
      <w:r>
        <w:rPr>
          <w:color w:val="231F20"/>
          <w:w w:val="103"/>
          <w:sz w:val="11"/>
        </w:rPr>
        <w:t>0</w:t>
      </w:r>
    </w:p>
    <w:p>
      <w:pPr>
        <w:tabs>
          <w:tab w:pos="1435" w:val="left" w:leader="none"/>
          <w:tab w:pos="2208" w:val="left" w:leader="none"/>
          <w:tab w:pos="2953" w:val="left" w:leader="none"/>
        </w:tabs>
        <w:spacing w:line="118" w:lineRule="exact" w:before="0"/>
        <w:ind w:left="575" w:right="0" w:firstLine="0"/>
        <w:jc w:val="left"/>
        <w:rPr>
          <w:sz w:val="11"/>
        </w:rPr>
      </w:pPr>
      <w:r>
        <w:rPr>
          <w:w w:val="105"/>
          <w:sz w:val="11"/>
        </w:rPr>
        <w:t>1996</w:t>
        <w:tab/>
        <w:t>97</w:t>
        <w:tab/>
        <w:t>98</w:t>
        <w:tab/>
        <w:t>99</w:t>
      </w:r>
    </w:p>
    <w:p>
      <w:pPr>
        <w:spacing w:before="68"/>
        <w:ind w:left="205" w:right="0" w:firstLine="0"/>
        <w:jc w:val="left"/>
        <w:rPr>
          <w:sz w:val="12"/>
        </w:rPr>
      </w:pPr>
      <w:r>
        <w:rPr>
          <w:sz w:val="12"/>
        </w:rPr>
        <w:t>Source: Bank of England.</w:t>
      </w:r>
    </w:p>
    <w:p>
      <w:pPr>
        <w:pStyle w:val="BodyText"/>
        <w:spacing w:before="2"/>
        <w:rPr>
          <w:sz w:val="10"/>
        </w:rPr>
      </w:pPr>
    </w:p>
    <w:p>
      <w:pPr>
        <w:spacing w:line="208" w:lineRule="auto" w:before="0"/>
        <w:ind w:left="445" w:right="44" w:hanging="240"/>
        <w:jc w:val="left"/>
        <w:rPr>
          <w:sz w:val="12"/>
        </w:rPr>
      </w:pPr>
      <w:r>
        <w:rPr>
          <w:sz w:val="12"/>
        </w:rPr>
        <w:t>(a) The definition of the value of bank approvals was revised in October </w:t>
      </w:r>
      <w:r>
        <w:rPr>
          <w:spacing w:val="-5"/>
          <w:sz w:val="12"/>
        </w:rPr>
        <w:t>1997 </w:t>
      </w:r>
      <w:r>
        <w:rPr>
          <w:sz w:val="12"/>
        </w:rPr>
        <w:t>to bring it into line with that for the building societies.</w:t>
      </w:r>
    </w:p>
    <w:p>
      <w:pPr>
        <w:pStyle w:val="BodyText"/>
        <w:rPr>
          <w:sz w:val="12"/>
        </w:rPr>
      </w:pPr>
    </w:p>
    <w:p>
      <w:pPr>
        <w:pStyle w:val="BodyText"/>
        <w:spacing w:before="7"/>
        <w:rPr>
          <w:sz w:val="10"/>
        </w:rPr>
      </w:pPr>
    </w:p>
    <w:p>
      <w:pPr>
        <w:pStyle w:val="Heading9"/>
        <w:spacing w:before="0"/>
        <w:ind w:left="195"/>
      </w:pPr>
      <w:r>
        <w:rPr>
          <w:color w:val="0093C1"/>
        </w:rPr>
        <w:t>Chart 1.6</w:t>
      </w:r>
    </w:p>
    <w:p>
      <w:pPr>
        <w:spacing w:before="10"/>
        <w:ind w:left="195" w:right="0" w:firstLine="0"/>
        <w:jc w:val="left"/>
        <w:rPr>
          <w:sz w:val="12"/>
        </w:rPr>
      </w:pPr>
      <w:r>
        <w:rPr>
          <w:b/>
          <w:color w:val="0093C1"/>
          <w:sz w:val="20"/>
        </w:rPr>
        <w:t>Change in the stock of loan approvals</w:t>
      </w:r>
      <w:r>
        <w:rPr>
          <w:position w:val="4"/>
          <w:sz w:val="12"/>
        </w:rPr>
        <w:t>(a)</w:t>
      </w:r>
    </w:p>
    <w:p>
      <w:pPr>
        <w:spacing w:before="172"/>
        <w:ind w:left="3030" w:right="0" w:firstLine="0"/>
        <w:jc w:val="left"/>
        <w:rPr>
          <w:sz w:val="12"/>
        </w:rPr>
      </w:pPr>
      <w:r>
        <w:rPr/>
        <w:pict>
          <v:line style="position:absolute;mso-position-horizontal-relative:page;mso-position-vertical-relative:paragraph;z-index:15776256" from="48.208pt,16.390188pt" to="43.875pt,16.390188pt" stroked="true" strokeweight=".5pt" strokecolor="#231f20">
            <v:stroke dashstyle="solid"/>
            <w10:wrap type="none"/>
          </v:line>
        </w:pict>
      </w:r>
      <w:r>
        <w:rPr>
          <w:color w:val="231F20"/>
          <w:sz w:val="12"/>
        </w:rPr>
        <w:t>£ billio</w:t>
      </w:r>
      <w:r>
        <w:rPr>
          <w:color w:val="231F20"/>
          <w:sz w:val="12"/>
          <w:u w:val="single" w:color="231F20"/>
        </w:rPr>
        <w:t>ns</w:t>
      </w:r>
      <w:r>
        <w:rPr>
          <w:color w:val="231F20"/>
          <w:sz w:val="12"/>
        </w:rPr>
        <w:t> </w:t>
      </w:r>
      <w:r>
        <w:rPr>
          <w:color w:val="231F20"/>
          <w:position w:val="-8"/>
          <w:sz w:val="12"/>
        </w:rPr>
        <w:t>1.0</w:t>
      </w:r>
    </w:p>
    <w:p>
      <w:pPr>
        <w:pStyle w:val="BodyText"/>
        <w:spacing w:before="6" w:after="40"/>
        <w:rPr>
          <w:sz w:val="15"/>
        </w:rPr>
      </w:pPr>
    </w:p>
    <w:p>
      <w:pPr>
        <w:pStyle w:val="BodyText"/>
        <w:ind w:left="252"/>
        <w:rPr>
          <w:sz w:val="20"/>
        </w:rPr>
      </w:pPr>
      <w:r>
        <w:rPr>
          <w:sz w:val="20"/>
        </w:rPr>
        <w:pict>
          <v:group style="width:171.25pt;height:117.4pt;mso-position-horizontal-relative:char;mso-position-vertical-relative:line" coordorigin="0,0" coordsize="3425,2348">
            <v:rect style="position:absolute;left:182;top:1172;width:78;height:110" filled="true" fillcolor="#952e40" stroked="false">
              <v:fill type="solid"/>
            </v:rect>
            <v:rect style="position:absolute;left:182;top:1172;width:78;height:110" filled="false" stroked="true" strokeweight=".5pt" strokecolor="#231f20">
              <v:stroke dashstyle="solid"/>
            </v:rect>
            <v:rect style="position:absolute;left:307;top:777;width:75;height:505" filled="true" fillcolor="#952e40" stroked="false">
              <v:fill type="solid"/>
            </v:rect>
            <v:rect style="position:absolute;left:307;top:777;width:75;height:505" filled="false" stroked="true" strokeweight=".5pt" strokecolor="#231f20">
              <v:stroke dashstyle="solid"/>
            </v:rect>
            <v:rect style="position:absolute;left:430;top:957;width:65;height:325" filled="true" fillcolor="#952e40" stroked="false">
              <v:fill type="solid"/>
            </v:rect>
            <v:rect style="position:absolute;left:430;top:957;width:65;height:325" filled="false" stroked="true" strokeweight=".5pt" strokecolor="#231f20">
              <v:stroke dashstyle="solid"/>
            </v:rect>
            <v:rect style="position:absolute;left:542;top:1280;width:78;height:235" filled="true" fillcolor="#952e40" stroked="false">
              <v:fill type="solid"/>
            </v:rect>
            <v:rect style="position:absolute;left:542;top:1280;width:78;height:235" filled="false" stroked="true" strokeweight=".5pt" strokecolor="#231f20">
              <v:stroke dashstyle="solid"/>
            </v:rect>
            <v:rect style="position:absolute;left:665;top:1047;width:78;height:235" filled="true" fillcolor="#952e40" stroked="false">
              <v:fill type="solid"/>
            </v:rect>
            <v:rect style="position:absolute;left:665;top:1047;width:78;height:235" filled="false" stroked="true" strokeweight=".5pt" strokecolor="#231f20">
              <v:stroke dashstyle="solid"/>
            </v:rect>
            <v:rect style="position:absolute;left:790;top:507;width:78;height:775" filled="true" fillcolor="#952e40" stroked="false">
              <v:fill type="solid"/>
            </v:rect>
            <v:rect style="position:absolute;left:790;top:507;width:78;height:775" filled="false" stroked="true" strokeweight=".5pt" strokecolor="#231f20">
              <v:stroke dashstyle="solid"/>
            </v:rect>
            <v:rect style="position:absolute;left:915;top:580;width:75;height:703" filled="true" fillcolor="#952e40" stroked="false">
              <v:fill type="solid"/>
            </v:rect>
            <v:rect style="position:absolute;left:915;top:580;width:75;height:703" filled="false" stroked="true" strokeweight=".5pt" strokecolor="#231f20">
              <v:stroke dashstyle="solid"/>
            </v:rect>
            <v:rect style="position:absolute;left:1037;top:957;width:65;height:325" filled="true" fillcolor="#952e40" stroked="false">
              <v:fill type="solid"/>
            </v:rect>
            <v:rect style="position:absolute;left:1037;top:957;width:65;height:325" filled="false" stroked="true" strokeweight=".5pt" strokecolor="#231f20">
              <v:stroke dashstyle="solid"/>
            </v:rect>
            <v:rect style="position:absolute;left:1150;top:1155;width:75;height:128" filled="true" fillcolor="#952e40" stroked="false">
              <v:fill type="solid"/>
            </v:rect>
            <v:rect style="position:absolute;left:1150;top:1155;width:75;height:128" filled="false" stroked="true" strokeweight=".5pt" strokecolor="#231f20">
              <v:stroke dashstyle="solid"/>
            </v:rect>
            <v:rect style="position:absolute;left:1272;top:760;width:78;height:523" filled="true" fillcolor="#952e40" stroked="false">
              <v:fill type="solid"/>
            </v:rect>
            <v:rect style="position:absolute;left:1272;top:760;width:78;height:523" filled="false" stroked="true" strokeweight=".5pt" strokecolor="#231f20">
              <v:stroke dashstyle="solid"/>
            </v:rect>
            <v:rect style="position:absolute;left:1397;top:760;width:78;height:523" filled="true" fillcolor="#952e40" stroked="false">
              <v:fill type="solid"/>
            </v:rect>
            <v:rect style="position:absolute;left:1397;top:760;width:78;height:523" filled="false" stroked="true" strokeweight=".5pt" strokecolor="#231f20">
              <v:stroke dashstyle="solid"/>
            </v:rect>
            <v:rect style="position:absolute;left:1520;top:1190;width:78;height:93" filled="true" fillcolor="#952e40" stroked="false">
              <v:fill type="solid"/>
            </v:rect>
            <v:rect style="position:absolute;left:1520;top:1190;width:78;height:93" filled="false" stroked="true" strokeweight=".5pt" strokecolor="#231f20">
              <v:stroke dashstyle="solid"/>
            </v:rect>
            <v:rect style="position:absolute;left:1645;top:1280;width:65;height:253" filled="true" fillcolor="#952e40" stroked="false">
              <v:fill type="solid"/>
            </v:rect>
            <v:rect style="position:absolute;left:1645;top:1280;width:65;height:253" filled="false" stroked="true" strokeweight=".5pt" strokecolor="#231f20">
              <v:stroke dashstyle="solid"/>
            </v:rect>
            <v:rect style="position:absolute;left:1757;top:57;width:75;height:1225" filled="true" fillcolor="#952e40" stroked="false">
              <v:fill type="solid"/>
            </v:rect>
            <v:rect style="position:absolute;left:1757;top:57;width:75;height:1225" filled="false" stroked="true" strokeweight=".5pt" strokecolor="#231f20">
              <v:stroke dashstyle="solid"/>
            </v:rect>
            <v:rect style="position:absolute;left:1880;top:5;width:78;height:1278" filled="true" fillcolor="#952e40" stroked="false">
              <v:fill type="solid"/>
            </v:rect>
            <v:rect style="position:absolute;left:1880;top:5;width:78;height:1278" filled="false" stroked="true" strokeweight=".5pt" strokecolor="#231f20">
              <v:stroke dashstyle="solid"/>
            </v:rect>
            <v:rect style="position:absolute;left:2005;top:255;width:75;height:1028" filled="true" fillcolor="#952e40" stroked="false">
              <v:fill type="solid"/>
            </v:rect>
            <v:rect style="position:absolute;left:2005;top:255;width:75;height:1028" filled="false" stroked="true" strokeweight=".5pt" strokecolor="#231f20">
              <v:stroke dashstyle="solid"/>
            </v:rect>
            <v:rect style="position:absolute;left:2127;top:57;width:65;height:1225" filled="true" fillcolor="#952e40" stroked="false">
              <v:fill type="solid"/>
            </v:rect>
            <v:rect style="position:absolute;left:2127;top:57;width:65;height:1225" filled="false" stroked="true" strokeweight=".5pt" strokecolor="#231f20">
              <v:stroke dashstyle="solid"/>
            </v:rect>
            <v:rect style="position:absolute;left:2240;top:5;width:78;height:1278" filled="true" fillcolor="#952e40" stroked="false">
              <v:fill type="solid"/>
            </v:rect>
            <v:rect style="position:absolute;left:2240;top:5;width:78;height:1278" filled="false" stroked="true" strokeweight=".5pt" strokecolor="#231f20">
              <v:stroke dashstyle="solid"/>
            </v:rect>
            <v:rect style="position:absolute;left:2362;top:812;width:78;height:470" filled="true" fillcolor="#952e40" stroked="false">
              <v:fill type="solid"/>
            </v:rect>
            <v:rect style="position:absolute;left:2362;top:812;width:78;height:470" filled="false" stroked="true" strokeweight=".5pt" strokecolor="#231f20">
              <v:stroke dashstyle="solid"/>
            </v:rect>
            <v:rect style="position:absolute;left:2487;top:957;width:78;height:325" filled="true" fillcolor="#952e40" stroked="false">
              <v:fill type="solid"/>
            </v:rect>
            <v:rect style="position:absolute;left:2487;top:957;width:78;height:325" filled="false" stroked="true" strokeweight=".5pt" strokecolor="#231f20">
              <v:stroke dashstyle="solid"/>
            </v:rect>
            <v:rect style="position:absolute;left:2612;top:902;width:75;height:380" filled="true" fillcolor="#952e40" stroked="false">
              <v:fill type="solid"/>
            </v:rect>
            <v:rect style="position:absolute;left:2612;top:902;width:75;height:380" filled="false" stroked="true" strokeweight=".5pt" strokecolor="#231f20">
              <v:stroke dashstyle="solid"/>
            </v:rect>
            <v:rect style="position:absolute;left:2735;top:1190;width:65;height:93" filled="true" fillcolor="#952e40" stroked="false">
              <v:fill type="solid"/>
            </v:rect>
            <v:rect style="position:absolute;left:2735;top:1190;width:65;height:93" filled="false" stroked="true" strokeweight=".5pt" strokecolor="#231f20">
              <v:stroke dashstyle="solid"/>
            </v:rect>
            <v:rect style="position:absolute;left:2847;top:1280;width:75;height:973" filled="true" fillcolor="#952e40" stroked="false">
              <v:fill type="solid"/>
            </v:rect>
            <v:rect style="position:absolute;left:2847;top:1280;width:75;height:973" filled="false" stroked="true" strokeweight=".5pt" strokecolor="#231f20">
              <v:stroke dashstyle="solid"/>
            </v:rect>
            <v:rect style="position:absolute;left:2970;top:1280;width:78;height:1063" filled="true" fillcolor="#952e40" stroked="false">
              <v:fill type="solid"/>
            </v:rect>
            <v:shape style="position:absolute;left:0;top:36;width:3225;height:2307" coordorigin="0,36" coordsize="3225,2307" path="m2970,1280l3048,1280,3048,2343,2970,2343,2970,1280xm158,1280l3070,1283m87,956l0,956m87,1284l0,1284m87,1590l0,1590m87,1877l0,1877m87,2216l0,2216m87,38l0,38m87,344l0,344m87,630l0,630m3225,955l3138,955m3225,1283l3138,1283m3225,1589l3138,1589m3225,1875l3138,1875m3225,2215l3138,2215m3225,36l3138,36m3225,343l3138,343m3225,629l3138,629e" filled="false" stroked="true" strokeweight=".5pt" strokecolor="#231f20">
              <v:path arrowok="t"/>
              <v:stroke dashstyle="solid"/>
            </v:shape>
            <v:shape style="position:absolute;left:0;top:0;width:3425;height:2348" type="#_x0000_t202" filled="false" stroked="false">
              <v:textbox inset="0,0,0,0">
                <w:txbxContent>
                  <w:p>
                    <w:pPr>
                      <w:spacing w:line="82" w:lineRule="exact" w:before="0"/>
                      <w:ind w:left="3275" w:right="0" w:firstLine="0"/>
                      <w:jc w:val="left"/>
                      <w:rPr>
                        <w:sz w:val="12"/>
                      </w:rPr>
                    </w:pPr>
                    <w:r>
                      <w:rPr>
                        <w:color w:val="231F20"/>
                        <w:sz w:val="12"/>
                      </w:rPr>
                      <w:t>0.8</w:t>
                    </w:r>
                  </w:p>
                  <w:p>
                    <w:pPr>
                      <w:spacing w:line="240" w:lineRule="auto" w:before="0"/>
                      <w:rPr>
                        <w:sz w:val="16"/>
                      </w:rPr>
                    </w:pPr>
                  </w:p>
                  <w:p>
                    <w:pPr>
                      <w:spacing w:before="0"/>
                      <w:ind w:left="0" w:right="0" w:firstLine="0"/>
                      <w:jc w:val="right"/>
                      <w:rPr>
                        <w:sz w:val="12"/>
                      </w:rPr>
                    </w:pPr>
                    <w:r>
                      <w:rPr>
                        <w:color w:val="231F20"/>
                        <w:sz w:val="12"/>
                      </w:rPr>
                      <w:t>0.6</w:t>
                    </w:r>
                  </w:p>
                  <w:p>
                    <w:pPr>
                      <w:spacing w:line="240" w:lineRule="auto" w:before="6"/>
                      <w:rPr>
                        <w:sz w:val="14"/>
                      </w:rPr>
                    </w:pPr>
                  </w:p>
                  <w:p>
                    <w:pPr>
                      <w:spacing w:before="0"/>
                      <w:ind w:left="0" w:right="0" w:firstLine="0"/>
                      <w:jc w:val="right"/>
                      <w:rPr>
                        <w:sz w:val="12"/>
                      </w:rPr>
                    </w:pPr>
                    <w:r>
                      <w:rPr>
                        <w:color w:val="231F20"/>
                        <w:sz w:val="12"/>
                      </w:rPr>
                      <w:t>0.4</w:t>
                    </w:r>
                  </w:p>
                  <w:p>
                    <w:pPr>
                      <w:spacing w:line="240" w:lineRule="auto" w:before="6"/>
                      <w:rPr>
                        <w:sz w:val="14"/>
                      </w:rPr>
                    </w:pPr>
                  </w:p>
                  <w:p>
                    <w:pPr>
                      <w:spacing w:before="0"/>
                      <w:ind w:left="0" w:right="0" w:firstLine="0"/>
                      <w:jc w:val="right"/>
                      <w:rPr>
                        <w:sz w:val="12"/>
                      </w:rPr>
                    </w:pPr>
                    <w:r>
                      <w:rPr>
                        <w:color w:val="231F20"/>
                        <w:sz w:val="12"/>
                      </w:rPr>
                      <w:t>0.2</w:t>
                    </w:r>
                  </w:p>
                  <w:p>
                    <w:pPr>
                      <w:spacing w:line="176" w:lineRule="exact" w:before="19"/>
                      <w:ind w:left="3197" w:right="0" w:firstLine="0"/>
                      <w:jc w:val="left"/>
                      <w:rPr>
                        <w:sz w:val="16"/>
                      </w:rPr>
                    </w:pPr>
                    <w:r>
                      <w:rPr>
                        <w:color w:val="231F20"/>
                        <w:sz w:val="16"/>
                      </w:rPr>
                      <w:t>+</w:t>
                    </w:r>
                  </w:p>
                  <w:p>
                    <w:pPr>
                      <w:spacing w:line="165" w:lineRule="auto" w:before="16"/>
                      <w:ind w:left="3204" w:right="0" w:firstLine="0"/>
                      <w:jc w:val="left"/>
                      <w:rPr>
                        <w:sz w:val="12"/>
                      </w:rPr>
                    </w:pPr>
                    <w:r>
                      <w:rPr>
                        <w:color w:val="231F20"/>
                        <w:spacing w:val="-3"/>
                        <w:position w:val="-6"/>
                        <w:sz w:val="16"/>
                      </w:rPr>
                      <w:t>_</w:t>
                    </w:r>
                    <w:r>
                      <w:rPr>
                        <w:color w:val="231F20"/>
                        <w:spacing w:val="-3"/>
                        <w:sz w:val="12"/>
                      </w:rPr>
                      <w:t>0.0</w:t>
                    </w:r>
                  </w:p>
                  <w:p>
                    <w:pPr>
                      <w:spacing w:before="120"/>
                      <w:ind w:left="0" w:right="0" w:firstLine="0"/>
                      <w:jc w:val="right"/>
                      <w:rPr>
                        <w:sz w:val="12"/>
                      </w:rPr>
                    </w:pPr>
                    <w:r>
                      <w:rPr>
                        <w:color w:val="231F20"/>
                        <w:sz w:val="12"/>
                      </w:rPr>
                      <w:t>0.2</w:t>
                    </w:r>
                  </w:p>
                  <w:p>
                    <w:pPr>
                      <w:spacing w:line="240" w:lineRule="auto" w:before="6"/>
                      <w:rPr>
                        <w:sz w:val="14"/>
                      </w:rPr>
                    </w:pPr>
                  </w:p>
                  <w:p>
                    <w:pPr>
                      <w:spacing w:before="0"/>
                      <w:ind w:left="0" w:right="0" w:firstLine="0"/>
                      <w:jc w:val="right"/>
                      <w:rPr>
                        <w:sz w:val="12"/>
                      </w:rPr>
                    </w:pPr>
                    <w:r>
                      <w:rPr>
                        <w:color w:val="231F20"/>
                        <w:sz w:val="12"/>
                      </w:rPr>
                      <w:t>0.4</w:t>
                    </w:r>
                  </w:p>
                  <w:p>
                    <w:pPr>
                      <w:spacing w:line="240" w:lineRule="auto" w:before="0"/>
                      <w:rPr>
                        <w:sz w:val="16"/>
                      </w:rPr>
                    </w:pPr>
                  </w:p>
                  <w:p>
                    <w:pPr>
                      <w:spacing w:before="0"/>
                      <w:ind w:left="0" w:right="0" w:firstLine="0"/>
                      <w:jc w:val="right"/>
                      <w:rPr>
                        <w:sz w:val="12"/>
                      </w:rPr>
                    </w:pPr>
                    <w:r>
                      <w:rPr>
                        <w:color w:val="231F20"/>
                        <w:sz w:val="12"/>
                      </w:rPr>
                      <w:t>0.6</w:t>
                    </w:r>
                  </w:p>
                </w:txbxContent>
              </v:textbox>
              <w10:wrap type="none"/>
            </v:shape>
          </v:group>
        </w:pict>
      </w:r>
      <w:r>
        <w:rPr>
          <w:sz w:val="20"/>
        </w:rPr>
      </w:r>
    </w:p>
    <w:p>
      <w:pPr>
        <w:pStyle w:val="BodyText"/>
        <w:spacing w:before="10"/>
        <w:rPr>
          <w:sz w:val="8"/>
        </w:rPr>
      </w:pPr>
    </w:p>
    <w:p>
      <w:pPr>
        <w:pStyle w:val="BodyText"/>
        <w:spacing w:line="63" w:lineRule="exact"/>
        <w:ind w:left="252"/>
        <w:rPr>
          <w:sz w:val="6"/>
        </w:rPr>
      </w:pPr>
      <w:r>
        <w:rPr>
          <w:position w:val="0"/>
          <w:sz w:val="6"/>
        </w:rPr>
        <w:pict>
          <v:group style="width:161.25pt;height:2.75pt;mso-position-horizontal-relative:char;mso-position-vertical-relative:line" coordorigin="0,0" coordsize="3225,55">
            <v:shape style="position:absolute;left:0;top:0;width:1248;height:54" coordorigin="0,0" coordsize="1248,54" path="m87,49l0,49m148,0l148,53m518,0l518,53m888,0l888,53m1248,0l1248,53e" filled="false" stroked="true" strokeweight=".5pt" strokecolor="#231f20">
              <v:path arrowok="t"/>
              <v:stroke dashstyle="solid"/>
            </v:shape>
            <v:line style="position:absolute" from="148,48" to="3068,48" stroked="true" strokeweight=".5pt" strokecolor="#231f20">
              <v:stroke dashstyle="solid"/>
            </v:line>
            <v:shape style="position:absolute;left:1617;top:0;width:1608;height:54" coordorigin="1618,0" coordsize="1608,54" path="m1618,0l1618,53m1988,0l1988,53m2338,0l2338,53m2708,0l2708,53m3225,48l3138,48m3068,0l3068,53e" filled="false" stroked="true" strokeweight=".5pt" strokecolor="#231f20">
              <v:path arrowok="t"/>
              <v:stroke dashstyle="solid"/>
            </v:shape>
          </v:group>
        </w:pict>
      </w:r>
      <w:r>
        <w:rPr>
          <w:position w:val="0"/>
          <w:sz w:val="6"/>
        </w:rPr>
      </w:r>
    </w:p>
    <w:p>
      <w:pPr>
        <w:pStyle w:val="Heading6"/>
        <w:spacing w:line="242" w:lineRule="auto" w:before="206"/>
        <w:ind w:left="195" w:right="201"/>
      </w:pPr>
      <w:r>
        <w:rPr/>
        <w:br w:type="column"/>
      </w:r>
      <w:r>
        <w:rPr/>
        <w:t>banks and building societies, increased by 9.3% over the same period.</w:t>
      </w:r>
    </w:p>
    <w:p>
      <w:pPr>
        <w:pStyle w:val="BodyText"/>
        <w:spacing w:before="1"/>
        <w:rPr>
          <w:sz w:val="21"/>
        </w:rPr>
      </w:pPr>
    </w:p>
    <w:p>
      <w:pPr>
        <w:spacing w:line="242" w:lineRule="auto" w:before="0"/>
        <w:ind w:left="195" w:right="168" w:firstLine="0"/>
        <w:jc w:val="left"/>
        <w:rPr>
          <w:sz w:val="24"/>
        </w:rPr>
      </w:pPr>
      <w:r>
        <w:rPr>
          <w:sz w:val="24"/>
        </w:rPr>
        <w:t>About 80% of the stock of lending to individuals is secured on assets such as houses, with unsecured lending accounting for the rest. Annual secured lending growth rose to 8.3% in 1999 Q4, from 5.8% in the same quarter a year earlier, more than accounting for the pick-up in total borrowing growth. Annual growth in unsecured lending to individuals has fallen slightly over the past year, but remained high, at 13.8%, in 1999 Q4.</w:t>
      </w:r>
    </w:p>
    <w:p>
      <w:pPr>
        <w:pStyle w:val="BodyText"/>
        <w:spacing w:before="8"/>
        <w:rPr>
          <w:sz w:val="21"/>
        </w:rPr>
      </w:pPr>
    </w:p>
    <w:p>
      <w:pPr>
        <w:spacing w:line="242" w:lineRule="auto" w:before="1"/>
        <w:ind w:left="195" w:right="455" w:firstLine="0"/>
        <w:jc w:val="left"/>
        <w:rPr>
          <w:sz w:val="24"/>
        </w:rPr>
      </w:pPr>
      <w:r>
        <w:rPr>
          <w:sz w:val="24"/>
        </w:rPr>
        <w:t>The rise in secured lending growth in 1999 was consistent with increasing housing market activity. Early in the year, approvals of new secured loans rose sharply (see Chart 1.5). Many of these approved loan facilities subsequently flowed into net lending or provided finance for remortgaging activity. But there was also a substantial build-up in the stock of unused approvals (see Chart 1.6). In recent months, new loan approvals have at first stabilised and then fallen, suggesting slower secured lending growth in the near</w:t>
      </w:r>
    </w:p>
    <w:p>
      <w:pPr>
        <w:spacing w:line="242" w:lineRule="auto" w:before="12"/>
        <w:ind w:left="195" w:right="201" w:firstLine="0"/>
        <w:jc w:val="left"/>
        <w:rPr>
          <w:sz w:val="24"/>
        </w:rPr>
      </w:pPr>
      <w:r>
        <w:rPr>
          <w:sz w:val="24"/>
        </w:rPr>
        <w:t>future. But the existing stock of approved loan facilities, if it continues to be drawn down as in recent months, will tend to support secured lending in coming months, unless approval cancellations or mortgage repayments rise.</w:t>
      </w:r>
    </w:p>
    <w:p>
      <w:pPr>
        <w:pStyle w:val="BodyText"/>
        <w:spacing w:before="1"/>
        <w:rPr>
          <w:sz w:val="21"/>
        </w:rPr>
      </w:pPr>
    </w:p>
    <w:p>
      <w:pPr>
        <w:spacing w:line="280" w:lineRule="atLeast" w:before="0"/>
        <w:ind w:left="195" w:right="508" w:firstLine="0"/>
        <w:jc w:val="left"/>
        <w:rPr>
          <w:sz w:val="24"/>
        </w:rPr>
      </w:pPr>
      <w:r>
        <w:rPr>
          <w:sz w:val="24"/>
        </w:rPr>
        <w:t>Recent secured lending has also included a rising element of mortgage equity withdrawal (MEW), as individuals have increased borrowing over and above</w:t>
      </w:r>
    </w:p>
    <w:p>
      <w:pPr>
        <w:spacing w:after="0" w:line="280" w:lineRule="atLeast"/>
        <w:jc w:val="left"/>
        <w:rPr>
          <w:sz w:val="24"/>
        </w:rPr>
        <w:sectPr>
          <w:type w:val="continuous"/>
          <w:pgSz w:w="11900" w:h="16840"/>
          <w:pgMar w:top="1220" w:bottom="280" w:left="620" w:right="640"/>
          <w:cols w:num="2" w:equalWidth="0">
            <w:col w:w="4058" w:space="727"/>
            <w:col w:w="5855"/>
          </w:cols>
        </w:sectPr>
      </w:pPr>
    </w:p>
    <w:p>
      <w:pPr>
        <w:tabs>
          <w:tab w:pos="2949" w:val="right" w:leader="none"/>
        </w:tabs>
        <w:spacing w:line="266" w:lineRule="auto" w:before="0"/>
        <w:ind w:left="1035" w:right="38" w:hanging="705"/>
        <w:jc w:val="left"/>
        <w:rPr>
          <w:sz w:val="12"/>
        </w:rPr>
      </w:pPr>
      <w:r>
        <w:rPr>
          <w:color w:val="231F20"/>
          <w:sz w:val="12"/>
        </w:rPr>
        <w:t>Jan.    Apr.    July    Oct.    Jan.    Apr.     July     </w:t>
      </w:r>
      <w:r>
        <w:rPr>
          <w:color w:val="231F20"/>
          <w:spacing w:val="-4"/>
          <w:sz w:val="12"/>
        </w:rPr>
        <w:t>Oct. </w:t>
      </w:r>
      <w:r>
        <w:rPr>
          <w:color w:val="231F20"/>
          <w:sz w:val="12"/>
        </w:rPr>
        <w:t>1998</w:t>
        <w:tab/>
        <w:t>99</w:t>
      </w:r>
    </w:p>
    <w:p>
      <w:pPr>
        <w:spacing w:line="70" w:lineRule="exact" w:before="191"/>
        <w:ind w:left="205" w:right="0" w:firstLine="0"/>
        <w:jc w:val="left"/>
        <w:rPr>
          <w:sz w:val="12"/>
        </w:rPr>
      </w:pPr>
      <w:r>
        <w:rPr>
          <w:sz w:val="12"/>
        </w:rPr>
        <w:t>Source: Bank of England.</w:t>
      </w:r>
    </w:p>
    <w:p>
      <w:pPr>
        <w:spacing w:line="52" w:lineRule="exact" w:before="0"/>
        <w:ind w:left="205" w:right="0" w:firstLine="0"/>
        <w:jc w:val="left"/>
        <w:rPr>
          <w:sz w:val="12"/>
        </w:rPr>
      </w:pPr>
      <w:r>
        <w:rPr/>
        <w:br w:type="column"/>
      </w:r>
      <w:r>
        <w:rPr>
          <w:color w:val="231F20"/>
          <w:sz w:val="12"/>
        </w:rPr>
        <w:t>0.8</w:t>
      </w:r>
    </w:p>
    <w:p>
      <w:pPr>
        <w:pStyle w:val="Heading6"/>
        <w:spacing w:line="242" w:lineRule="auto"/>
        <w:ind w:left="205"/>
      </w:pPr>
      <w:r>
        <w:rPr/>
        <w:br w:type="column"/>
      </w:r>
      <w:r>
        <w:rPr/>
        <w:t>that required for home purchase or improvements.</w:t>
      </w:r>
      <w:r>
        <w:rPr>
          <w:position w:val="5"/>
          <w:sz w:val="16"/>
        </w:rPr>
        <w:t>(1) </w:t>
      </w:r>
      <w:r>
        <w:rPr/>
        <w:t>The Bank estimate of MEW rose to £3.8 billion in 1999 Q3,</w:t>
      </w:r>
    </w:p>
    <w:p>
      <w:pPr>
        <w:spacing w:after="0" w:line="242" w:lineRule="auto"/>
        <w:sectPr>
          <w:type w:val="continuous"/>
          <w:pgSz w:w="11900" w:h="16840"/>
          <w:pgMar w:top="1220" w:bottom="280" w:left="620" w:right="640"/>
          <w:cols w:num="3" w:equalWidth="0">
            <w:col w:w="3121" w:space="206"/>
            <w:col w:w="396" w:space="1052"/>
            <w:col w:w="5865"/>
          </w:cols>
        </w:sectPr>
      </w:pPr>
    </w:p>
    <w:p>
      <w:pPr>
        <w:pStyle w:val="BodyText"/>
        <w:spacing w:before="8"/>
        <w:rPr>
          <w:sz w:val="14"/>
        </w:rPr>
      </w:pPr>
    </w:p>
    <w:p>
      <w:pPr>
        <w:spacing w:before="0"/>
        <w:ind w:left="205" w:right="0" w:firstLine="0"/>
        <w:jc w:val="left"/>
        <w:rPr>
          <w:sz w:val="12"/>
        </w:rPr>
      </w:pPr>
      <w:r>
        <w:rPr>
          <w:sz w:val="12"/>
        </w:rPr>
        <w:t>(a) Defined as gross approvals net of cancellations and gross lending.</w:t>
      </w:r>
    </w:p>
    <w:p>
      <w:pPr>
        <w:pStyle w:val="BodyText"/>
        <w:rPr>
          <w:sz w:val="12"/>
        </w:rPr>
      </w:pPr>
    </w:p>
    <w:p>
      <w:pPr>
        <w:pStyle w:val="BodyText"/>
        <w:rPr>
          <w:sz w:val="12"/>
        </w:rPr>
      </w:pPr>
    </w:p>
    <w:p>
      <w:pPr>
        <w:pStyle w:val="Heading9"/>
        <w:spacing w:before="107"/>
        <w:ind w:left="175"/>
      </w:pPr>
      <w:r>
        <w:rPr>
          <w:color w:val="0093C1"/>
        </w:rPr>
        <w:t>Chart 1.7</w:t>
      </w:r>
    </w:p>
    <w:p>
      <w:pPr>
        <w:spacing w:line="249" w:lineRule="auto" w:before="10"/>
        <w:ind w:left="175" w:right="488" w:firstLine="0"/>
        <w:jc w:val="left"/>
        <w:rPr>
          <w:b/>
          <w:sz w:val="20"/>
        </w:rPr>
      </w:pPr>
      <w:r>
        <w:rPr>
          <w:b/>
          <w:color w:val="0093C1"/>
          <w:sz w:val="20"/>
        </w:rPr>
        <w:t>Total lending for consumption and household expenditure</w:t>
      </w:r>
    </w:p>
    <w:p>
      <w:pPr>
        <w:spacing w:line="242" w:lineRule="auto" w:before="0"/>
        <w:ind w:left="175" w:right="154" w:firstLine="0"/>
        <w:jc w:val="left"/>
        <w:rPr>
          <w:sz w:val="24"/>
        </w:rPr>
      </w:pPr>
      <w:r>
        <w:rPr/>
        <w:br w:type="column"/>
      </w:r>
      <w:r>
        <w:rPr>
          <w:sz w:val="24"/>
        </w:rPr>
        <w:t>from £2.3 billion in 1999 Q2. One possibility is that households are turning increasingly to MEW, rather than more expensive unsecured debt, when raising new funds. However, as Chart 1.7 shows, total lending for consumption (defined as the sum of MEW and</w:t>
      </w:r>
    </w:p>
    <w:p>
      <w:pPr>
        <w:spacing w:after="0" w:line="242" w:lineRule="auto"/>
        <w:jc w:val="left"/>
        <w:rPr>
          <w:sz w:val="24"/>
        </w:rPr>
        <w:sectPr>
          <w:type w:val="continuous"/>
          <w:pgSz w:w="11900" w:h="16840"/>
          <w:pgMar w:top="1220" w:bottom="280" w:left="620" w:right="640"/>
          <w:cols w:num="2" w:equalWidth="0">
            <w:col w:w="3651" w:space="1154"/>
            <w:col w:w="5835"/>
          </w:cols>
        </w:sectPr>
      </w:pPr>
    </w:p>
    <w:p>
      <w:pPr>
        <w:pStyle w:val="BodyText"/>
        <w:rPr>
          <w:sz w:val="14"/>
        </w:rPr>
      </w:pPr>
    </w:p>
    <w:p>
      <w:pPr>
        <w:spacing w:line="138" w:lineRule="exact" w:before="0"/>
        <w:ind w:left="508" w:right="0" w:firstLine="0"/>
        <w:jc w:val="left"/>
        <w:rPr>
          <w:sz w:val="12"/>
        </w:rPr>
      </w:pPr>
      <w:r>
        <w:rPr>
          <w:sz w:val="12"/>
        </w:rPr>
        <w:t>Percentage of disposable</w:t>
      </w:r>
    </w:p>
    <w:p>
      <w:pPr>
        <w:spacing w:line="237" w:lineRule="auto" w:before="0"/>
        <w:ind w:left="193" w:right="0" w:firstLine="0"/>
        <w:jc w:val="left"/>
        <w:rPr>
          <w:sz w:val="12"/>
        </w:rPr>
      </w:pPr>
      <w:r>
        <w:rPr/>
        <w:pict>
          <v:group style="position:absolute;margin-left:56.417pt;margin-top:17.37418pt;width:151.85pt;height:125.05pt;mso-position-horizontal-relative:page;mso-position-vertical-relative:paragraph;z-index:-22364160" coordorigin="1128,347" coordsize="3037,2501">
            <v:shape style="position:absolute;left:1262;top:1072;width:535;height:575" type="#_x0000_t75" stroked="false">
              <v:imagedata r:id="rId31" o:title=""/>
            </v:shape>
            <v:shape style="position:absolute;left:1787;top:1280;width:1435;height:1325" coordorigin="1788,1280" coordsize="1435,1325" path="m1788,1280l1840,1763m1840,1763l1908,1745m1908,1745l1963,1780m1963,1780l2018,1710m2018,1710l2070,1853m2070,1853l2140,1960m2140,1960l2193,2140m2193,2140l2248,2068m2248,2068l2303,2265m2303,2265l2370,2193m2370,2193l2423,2355m2423,2355l2478,2533m2478,2533l2533,2605m2533,2605l2600,2588m2600,2588l2653,2408m2653,2408l2708,2498m2708,2498l2763,2335m2763,2335l2818,2463m2818,2463l2885,2140m2885,2140l2938,2050m2938,2050l2993,2193m2993,2193l3048,2283m3048,2283l3115,2408m3115,2408l3168,2248m3168,2248l3223,2318e" filled="false" stroked="true" strokeweight="1pt" strokecolor="#952e40">
              <v:path arrowok="t"/>
              <v:stroke dashstyle="solid"/>
            </v:shape>
            <v:line style="position:absolute" from="3213,2319" to="3288,2319" stroked="true" strokeweight="1.125pt" strokecolor="#952e40">
              <v:stroke dashstyle="solid"/>
            </v:line>
            <v:shape style="position:absolute;left:3277;top:1332;width:868;height:1058" coordorigin="3278,1333" coordsize="868,1058" path="m3278,2318l3345,2390m3345,2390l3400,2210m3400,2210l3453,2085m3453,2085l3508,2050m3508,2050l3575,2210m3575,2210l3630,2373m3630,2373l3683,2175m3683,2175l3738,1888m3738,1888l3805,1800m3805,1800l3860,1495m3860,1495l3915,1530m3915,1530l3968,1655m3968,1655l4035,1440m4035,1440l4090,1763m4090,1763l4145,1333e" filled="false" stroked="true" strokeweight="1pt" strokecolor="#952e40">
              <v:path arrowok="t"/>
              <v:stroke dashstyle="solid"/>
            </v:shape>
            <v:shape style="position:absolute;left:1272;top:402;width:635;height:1163" coordorigin="1273,403" coordsize="635,1163" path="m1273,1245l1325,1225m1325,1225l1380,1208m1380,1208l1448,815m1448,815l1503,778m1503,778l1555,885m1555,885l1610,403m1610,403l1678,1405m1678,1405l1733,1565m1733,1565l1788,1423m1788,1423l1840,1370m1840,1370l1908,1298e" filled="false" stroked="true" strokeweight="1pt" strokecolor="#0099d8">
              <v:path arrowok="t"/>
              <v:stroke dashstyle="solid"/>
            </v:shape>
            <v:line style="position:absolute" from="1898,1299" to="1973,1299" stroked="true" strokeweight="1.125pt" strokecolor="#0099d8">
              <v:stroke dashstyle="solid"/>
            </v:line>
            <v:shape style="position:absolute;left:1962;top:1297;width:515;height:1145" coordorigin="1963,1298" coordsize="515,1145" path="m1963,1298l2018,1478m2018,1478l2070,1745m2070,1745l2140,1655m2140,1655l2193,1818m2193,1818l2248,1908m2248,1908l2303,2085m2303,2085l2370,2210m2370,2210l2423,2248m2423,2248l2478,2443e" filled="false" stroked="true" strokeweight="1pt" strokecolor="#0099d8">
              <v:path arrowok="t"/>
              <v:stroke dashstyle="solid"/>
            </v:shape>
            <v:line style="position:absolute" from="2468,2444" to="2543,2444" stroked="true" strokeweight="1.125pt" strokecolor="#0099d8">
              <v:stroke dashstyle="solid"/>
            </v:line>
            <v:shape style="position:absolute;left:2532;top:2227;width:1273;height:610" coordorigin="2533,2228" coordsize="1273,610" path="m2533,2443l2600,2838m2600,2838l2653,2588m2653,2588l2708,2640m2708,2640l2763,2550m2763,2550l2818,2335m2818,2335l2885,2550m2885,2550l2938,2300m2938,2300l2993,2408m2993,2408l3048,2463m3048,2463l3115,2498m3115,2498l3168,2658m3168,2658l3223,2588m3223,2588l3278,2533m3278,2533l3345,2498m3345,2498l3400,2425m3400,2425l3453,2390m3453,2390l3508,2335m3508,2335l3575,2228m3575,2228l3630,2248m3630,2248l3683,2355m3683,2355l3738,2228m3738,2228l3805,2248e" filled="false" stroked="true" strokeweight="1pt" strokecolor="#0099d8">
              <v:path arrowok="t"/>
              <v:stroke dashstyle="solid"/>
            </v:shape>
            <v:line style="position:absolute" from="3795,2249" to="3870,2249" stroked="true" strokeweight="1.125pt" strokecolor="#0099d8">
              <v:stroke dashstyle="solid"/>
            </v:line>
            <v:shape style="position:absolute;left:3860;top:1672;width:285;height:575" coordorigin="3860,1673" coordsize="285,575" path="m3860,2248l3915,2103m3915,2103l3967,2248m3967,2248l4035,2193m4035,2193l4090,1960m4090,1960l4145,1673e" filled="false" stroked="true" strokeweight="1pt" strokecolor="#0099d8">
              <v:path arrowok="t"/>
              <v:stroke dashstyle="solid"/>
            </v:shape>
            <v:shape style="position:absolute;left:1128;top:583;width:87;height:1700" coordorigin="1128,584" coordsize="87,1700" path="m1215,1004l1128,1004m1215,1417l1128,1417m1215,1850l1128,1850m1215,2283l1128,2283m1215,584l1128,584e" filled="false" stroked="true" strokeweight=".5pt" strokecolor="#000000">
              <v:path arrowok="t"/>
              <v:stroke dashstyle="solid"/>
            </v:shape>
            <v:shape style="position:absolute;left:1700;top:347;width:1278;height:288" type="#_x0000_t202" filled="false" stroked="false">
              <v:textbox inset="0,0,0,0">
                <w:txbxContent>
                  <w:p>
                    <w:pPr>
                      <w:spacing w:line="268" w:lineRule="auto" w:before="0"/>
                      <w:ind w:left="84" w:right="1" w:hanging="85"/>
                      <w:jc w:val="left"/>
                      <w:rPr>
                        <w:sz w:val="12"/>
                      </w:rPr>
                    </w:pPr>
                    <w:r>
                      <w:rPr>
                        <w:sz w:val="12"/>
                      </w:rPr>
                      <w:t>Unsecured lending and MEW (right-hand scale)</w:t>
                    </w:r>
                  </w:p>
                </w:txbxContent>
              </v:textbox>
              <w10:wrap type="none"/>
            </v:shape>
            <v:shape style="position:absolute;left:2919;top:1342;width:1090;height:414" type="#_x0000_t202" filled="false" stroked="false">
              <v:textbox inset="0,0,0,0">
                <w:txbxContent>
                  <w:p>
                    <w:pPr>
                      <w:spacing w:line="242" w:lineRule="auto" w:before="0"/>
                      <w:ind w:left="30" w:right="0" w:hanging="30"/>
                      <w:jc w:val="left"/>
                      <w:rPr>
                        <w:sz w:val="12"/>
                      </w:rPr>
                    </w:pPr>
                    <w:r>
                      <w:rPr>
                        <w:sz w:val="12"/>
                      </w:rPr>
                      <w:t>Nominal consumption expenditure</w:t>
                    </w:r>
                  </w:p>
                  <w:p>
                    <w:pPr>
                      <w:spacing w:before="0"/>
                      <w:ind w:left="30" w:right="0" w:firstLine="0"/>
                      <w:jc w:val="left"/>
                      <w:rPr>
                        <w:sz w:val="12"/>
                      </w:rPr>
                    </w:pPr>
                    <w:r>
                      <w:rPr>
                        <w:sz w:val="12"/>
                      </w:rPr>
                      <w:t>(left-hand scale)</w:t>
                    </w:r>
                  </w:p>
                </w:txbxContent>
              </v:textbox>
              <w10:wrap type="none"/>
            </v:shape>
            <v:shape style="position:absolute;left:1128;top:2617;width:3037;height:134" type="#_x0000_t202" filled="false" stroked="false">
              <v:textbox inset="0,0,0,0">
                <w:txbxContent>
                  <w:p>
                    <w:pPr>
                      <w:tabs>
                        <w:tab w:pos="3016" w:val="left" w:leader="none"/>
                      </w:tabs>
                      <w:spacing w:line="133" w:lineRule="exact" w:before="0"/>
                      <w:ind w:left="0" w:right="0" w:firstLine="0"/>
                      <w:jc w:val="left"/>
                      <w:rPr>
                        <w:sz w:val="12"/>
                      </w:rPr>
                    </w:pPr>
                    <w:r>
                      <w:rPr>
                        <w:sz w:val="12"/>
                        <w:u w:val="single"/>
                      </w:rPr>
                      <w:t> </w:t>
                      <w:tab/>
                    </w:r>
                  </w:p>
                </w:txbxContent>
              </v:textbox>
              <w10:wrap type="none"/>
            </v:shape>
            <w10:wrap type="none"/>
          </v:group>
        </w:pict>
      </w:r>
      <w:r>
        <w:rPr>
          <w:position w:val="-6"/>
          <w:sz w:val="12"/>
        </w:rPr>
        <w:t>102.5</w:t>
      </w:r>
      <w:r>
        <w:rPr>
          <w:sz w:val="12"/>
        </w:rPr>
        <w:t> </w:t>
      </w:r>
      <w:r>
        <w:rPr>
          <w:sz w:val="12"/>
          <w:u w:val="single"/>
        </w:rPr>
        <w:t>in</w:t>
      </w:r>
      <w:r>
        <w:rPr>
          <w:sz w:val="12"/>
        </w:rPr>
        <w:t>come</w:t>
      </w:r>
    </w:p>
    <w:p>
      <w:pPr>
        <w:pStyle w:val="BodyText"/>
        <w:spacing w:before="7"/>
        <w:rPr>
          <w:sz w:val="25"/>
        </w:rPr>
      </w:pPr>
    </w:p>
    <w:p>
      <w:pPr>
        <w:spacing w:before="0"/>
        <w:ind w:left="193" w:right="0" w:firstLine="0"/>
        <w:jc w:val="left"/>
        <w:rPr>
          <w:sz w:val="12"/>
        </w:rPr>
      </w:pPr>
      <w:r>
        <w:rPr>
          <w:sz w:val="12"/>
        </w:rPr>
        <w:t>100.0</w:t>
      </w:r>
    </w:p>
    <w:p>
      <w:pPr>
        <w:pStyle w:val="BodyText"/>
        <w:rPr>
          <w:sz w:val="12"/>
        </w:rPr>
      </w:pPr>
    </w:p>
    <w:p>
      <w:pPr>
        <w:pStyle w:val="BodyText"/>
        <w:spacing w:before="8"/>
        <w:rPr>
          <w:sz w:val="11"/>
        </w:rPr>
      </w:pPr>
    </w:p>
    <w:p>
      <w:pPr>
        <w:spacing w:before="0"/>
        <w:ind w:left="253" w:right="0" w:firstLine="0"/>
        <w:jc w:val="left"/>
        <w:rPr>
          <w:sz w:val="12"/>
        </w:rPr>
      </w:pPr>
      <w:r>
        <w:rPr>
          <w:sz w:val="12"/>
        </w:rPr>
        <w:t>97.5</w:t>
      </w:r>
    </w:p>
    <w:p>
      <w:pPr>
        <w:pStyle w:val="BodyText"/>
        <w:rPr>
          <w:sz w:val="12"/>
        </w:rPr>
      </w:pPr>
    </w:p>
    <w:p>
      <w:pPr>
        <w:pStyle w:val="BodyText"/>
        <w:spacing w:before="4"/>
        <w:rPr>
          <w:sz w:val="13"/>
        </w:rPr>
      </w:pPr>
    </w:p>
    <w:p>
      <w:pPr>
        <w:spacing w:before="1"/>
        <w:ind w:left="253" w:right="0" w:firstLine="0"/>
        <w:jc w:val="left"/>
        <w:rPr>
          <w:sz w:val="12"/>
        </w:rPr>
      </w:pPr>
      <w:r>
        <w:rPr>
          <w:sz w:val="12"/>
        </w:rPr>
        <w:t>95.0</w:t>
      </w:r>
    </w:p>
    <w:p>
      <w:pPr>
        <w:pStyle w:val="BodyText"/>
        <w:rPr>
          <w:sz w:val="12"/>
        </w:rPr>
      </w:pPr>
    </w:p>
    <w:p>
      <w:pPr>
        <w:pStyle w:val="BodyText"/>
        <w:spacing w:before="4"/>
        <w:rPr>
          <w:sz w:val="13"/>
        </w:rPr>
      </w:pPr>
    </w:p>
    <w:p>
      <w:pPr>
        <w:spacing w:before="0"/>
        <w:ind w:left="253" w:right="0" w:firstLine="0"/>
        <w:jc w:val="left"/>
        <w:rPr>
          <w:sz w:val="12"/>
        </w:rPr>
      </w:pPr>
      <w:r>
        <w:rPr>
          <w:sz w:val="12"/>
        </w:rPr>
        <w:t>92.5</w:t>
      </w:r>
    </w:p>
    <w:p>
      <w:pPr>
        <w:pStyle w:val="BodyText"/>
        <w:rPr>
          <w:sz w:val="12"/>
        </w:rPr>
      </w:pPr>
    </w:p>
    <w:p>
      <w:pPr>
        <w:pStyle w:val="BodyText"/>
        <w:spacing w:before="4"/>
        <w:rPr>
          <w:sz w:val="13"/>
        </w:rPr>
      </w:pPr>
    </w:p>
    <w:p>
      <w:pPr>
        <w:spacing w:before="1"/>
        <w:ind w:left="253" w:right="0" w:firstLine="0"/>
        <w:jc w:val="left"/>
        <w:rPr>
          <w:sz w:val="12"/>
        </w:rPr>
      </w:pPr>
      <w:r>
        <w:rPr>
          <w:sz w:val="12"/>
        </w:rPr>
        <w:t>90.0</w:t>
      </w:r>
    </w:p>
    <w:p>
      <w:pPr>
        <w:pStyle w:val="BodyText"/>
        <w:rPr>
          <w:sz w:val="14"/>
        </w:rPr>
      </w:pPr>
      <w:r>
        <w:rPr/>
        <w:br w:type="column"/>
      </w:r>
      <w:r>
        <w:rPr>
          <w:sz w:val="14"/>
        </w:rPr>
      </w:r>
    </w:p>
    <w:p>
      <w:pPr>
        <w:spacing w:line="138" w:lineRule="exact" w:before="0"/>
        <w:ind w:left="193" w:right="0" w:firstLine="0"/>
        <w:jc w:val="left"/>
        <w:rPr>
          <w:sz w:val="12"/>
        </w:rPr>
      </w:pPr>
      <w:r>
        <w:rPr>
          <w:sz w:val="12"/>
        </w:rPr>
        <w:t>Percentage of disposable</w:t>
      </w:r>
    </w:p>
    <w:p>
      <w:pPr>
        <w:spacing w:line="237" w:lineRule="auto" w:before="0"/>
        <w:ind w:left="1033" w:right="0" w:firstLine="0"/>
        <w:jc w:val="left"/>
        <w:rPr>
          <w:sz w:val="12"/>
        </w:rPr>
      </w:pPr>
      <w:r>
        <w:rPr>
          <w:sz w:val="12"/>
        </w:rPr>
        <w:t>incom</w:t>
      </w:r>
      <w:r>
        <w:rPr>
          <w:sz w:val="12"/>
          <w:u w:val="single"/>
        </w:rPr>
        <w:t>e</w:t>
      </w:r>
      <w:r>
        <w:rPr>
          <w:spacing w:val="22"/>
          <w:sz w:val="12"/>
        </w:rPr>
        <w:t> </w:t>
      </w:r>
      <w:r>
        <w:rPr>
          <w:position w:val="-6"/>
          <w:sz w:val="12"/>
        </w:rPr>
        <w:t>12</w:t>
      </w:r>
    </w:p>
    <w:p>
      <w:pPr>
        <w:pStyle w:val="BodyText"/>
        <w:spacing w:before="9"/>
        <w:rPr>
          <w:sz w:val="25"/>
        </w:rPr>
      </w:pPr>
    </w:p>
    <w:p>
      <w:pPr>
        <w:spacing w:before="0"/>
        <w:ind w:left="0" w:right="38" w:firstLine="0"/>
        <w:jc w:val="right"/>
        <w:rPr>
          <w:sz w:val="12"/>
        </w:rPr>
      </w:pPr>
      <w:r>
        <w:rPr/>
        <w:pict>
          <v:line style="position:absolute;mso-position-horizontal-relative:page;mso-position-vertical-relative:paragraph;z-index:15784960" from="216.250007pt,4.125967pt" to="211.917007pt,4.125967pt" stroked="true" strokeweight=".5pt" strokecolor="#000000">
            <v:stroke dashstyle="solid"/>
            <w10:wrap type="none"/>
          </v:line>
        </w:pict>
      </w:r>
      <w:r>
        <w:rPr>
          <w:sz w:val="12"/>
        </w:rPr>
        <w:t>10</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781888" from="216.250007pt,4.646662pt" to="211.917007pt,4.646662pt" stroked="true" strokeweight=".5pt" strokecolor="#000000">
            <v:stroke dashstyle="solid"/>
            <w10:wrap type="none"/>
          </v:line>
        </w:pict>
      </w:r>
      <w:r>
        <w:rPr>
          <w:sz w:val="12"/>
        </w:rPr>
        <w:t>8</w:t>
      </w:r>
    </w:p>
    <w:p>
      <w:pPr>
        <w:pStyle w:val="BodyText"/>
        <w:rPr>
          <w:sz w:val="12"/>
        </w:rPr>
      </w:pPr>
    </w:p>
    <w:p>
      <w:pPr>
        <w:pStyle w:val="BodyText"/>
        <w:spacing w:before="5"/>
        <w:rPr>
          <w:sz w:val="13"/>
        </w:rPr>
      </w:pPr>
    </w:p>
    <w:p>
      <w:pPr>
        <w:spacing w:before="0"/>
        <w:ind w:left="0" w:right="38" w:firstLine="0"/>
        <w:jc w:val="right"/>
        <w:rPr>
          <w:sz w:val="12"/>
        </w:rPr>
      </w:pPr>
      <w:r>
        <w:rPr/>
        <w:pict>
          <v:line style="position:absolute;mso-position-horizontal-relative:page;mso-position-vertical-relative:paragraph;z-index:15782400" from="216.250007pt,3.77086pt" to="211.917007pt,3.77086pt" stroked="true" strokeweight=".5pt" strokecolor="#000000">
            <v:stroke dashstyle="solid"/>
            <w10:wrap type="none"/>
          </v:line>
        </w:pict>
      </w:r>
      <w:r>
        <w:rPr>
          <w:sz w:val="12"/>
        </w:rPr>
        <w:t>6</w:t>
      </w:r>
    </w:p>
    <w:p>
      <w:pPr>
        <w:pStyle w:val="BodyText"/>
        <w:rPr>
          <w:sz w:val="12"/>
        </w:rPr>
      </w:pPr>
    </w:p>
    <w:p>
      <w:pPr>
        <w:pStyle w:val="BodyText"/>
        <w:spacing w:before="4"/>
        <w:rPr>
          <w:sz w:val="13"/>
        </w:rPr>
      </w:pPr>
    </w:p>
    <w:p>
      <w:pPr>
        <w:spacing w:before="0"/>
        <w:ind w:left="0" w:right="38" w:firstLine="0"/>
        <w:jc w:val="right"/>
        <w:rPr>
          <w:sz w:val="12"/>
        </w:rPr>
      </w:pPr>
      <w:r>
        <w:rPr/>
        <w:pict>
          <v:line style="position:absolute;mso-position-horizontal-relative:page;mso-position-vertical-relative:paragraph;z-index:15782912" from="216.250007pt,3.938059pt" to="211.917007pt,3.938059pt" stroked="true" strokeweight=".5pt" strokecolor="#000000">
            <v:stroke dashstyle="solid"/>
            <w10:wrap type="none"/>
          </v:line>
        </w:pict>
      </w:r>
      <w:r>
        <w:rPr>
          <w:sz w:val="12"/>
        </w:rPr>
        <w:t>4</w:t>
      </w:r>
    </w:p>
    <w:p>
      <w:pPr>
        <w:pStyle w:val="BodyText"/>
        <w:rPr>
          <w:sz w:val="12"/>
        </w:rPr>
      </w:pPr>
    </w:p>
    <w:p>
      <w:pPr>
        <w:pStyle w:val="BodyText"/>
        <w:spacing w:before="5"/>
        <w:rPr>
          <w:sz w:val="13"/>
        </w:rPr>
      </w:pPr>
    </w:p>
    <w:p>
      <w:pPr>
        <w:spacing w:before="0"/>
        <w:ind w:left="0" w:right="38" w:firstLine="0"/>
        <w:jc w:val="right"/>
        <w:rPr>
          <w:sz w:val="12"/>
        </w:rPr>
      </w:pPr>
      <w:r>
        <w:rPr/>
        <w:pict>
          <v:line style="position:absolute;mso-position-horizontal-relative:page;mso-position-vertical-relative:paragraph;z-index:15783424" from="216.250007pt,4.105265pt" to="211.917007pt,4.105265pt" stroked="true" strokeweight=".5pt" strokecolor="#000000">
            <v:stroke dashstyle="solid"/>
            <w10:wrap type="none"/>
          </v:line>
        </w:pict>
      </w:r>
      <w:r>
        <w:rPr>
          <w:sz w:val="12"/>
        </w:rPr>
        <w:t>2</w:t>
      </w:r>
    </w:p>
    <w:p>
      <w:pPr>
        <w:spacing w:before="71"/>
        <w:ind w:left="0" w:right="87" w:firstLine="0"/>
        <w:jc w:val="right"/>
        <w:rPr>
          <w:sz w:val="16"/>
        </w:rPr>
      </w:pPr>
      <w:r>
        <w:rPr>
          <w:sz w:val="16"/>
        </w:rPr>
        <w:t>+</w:t>
      </w:r>
    </w:p>
    <w:p>
      <w:pPr>
        <w:pStyle w:val="Heading6"/>
        <w:spacing w:line="258" w:lineRule="exact"/>
        <w:ind w:left="193"/>
        <w:jc w:val="both"/>
      </w:pPr>
      <w:r>
        <w:rPr/>
        <w:br w:type="column"/>
      </w:r>
      <w:r>
        <w:rPr/>
        <w:t>unsecured lending) rose in 1999 Q3 to its highest share</w:t>
      </w:r>
    </w:p>
    <w:p>
      <w:pPr>
        <w:spacing w:line="242" w:lineRule="auto" w:before="4"/>
        <w:ind w:left="193" w:right="438" w:firstLine="0"/>
        <w:jc w:val="both"/>
        <w:rPr>
          <w:sz w:val="24"/>
        </w:rPr>
      </w:pPr>
      <w:r>
        <w:rPr>
          <w:sz w:val="24"/>
        </w:rPr>
        <w:t>in household disposable income since 1990, providing additional resources to finance current spending or the acquisition of financial assets.</w:t>
      </w:r>
    </w:p>
    <w:p>
      <w:pPr>
        <w:pStyle w:val="BodyText"/>
        <w:spacing w:before="10"/>
        <w:rPr>
          <w:sz w:val="22"/>
        </w:rPr>
      </w:pPr>
    </w:p>
    <w:p>
      <w:pPr>
        <w:spacing w:before="1"/>
        <w:ind w:left="193" w:right="0" w:firstLine="0"/>
        <w:jc w:val="left"/>
        <w:rPr>
          <w:i/>
          <w:sz w:val="24"/>
        </w:rPr>
      </w:pPr>
      <w:r>
        <w:rPr>
          <w:i/>
          <w:color w:val="009483"/>
          <w:sz w:val="24"/>
        </w:rPr>
        <w:t>Private non-financial corporations</w:t>
      </w:r>
    </w:p>
    <w:p>
      <w:pPr>
        <w:spacing w:line="242" w:lineRule="auto" w:before="124"/>
        <w:ind w:left="193" w:right="434" w:firstLine="0"/>
        <w:jc w:val="left"/>
        <w:rPr>
          <w:sz w:val="24"/>
        </w:rPr>
      </w:pPr>
      <w:r>
        <w:rPr>
          <w:sz w:val="24"/>
        </w:rPr>
        <w:t>Annual growth in PNFCs’ M4 deposits picked up to 7.3% in 1999 Q4, from weaker growth in the previous two quarters. On the other side of their balance sheet, PNFCs’ borrowing from banks and building societies</w:t>
      </w:r>
    </w:p>
    <w:p>
      <w:pPr>
        <w:spacing w:after="0" w:line="242" w:lineRule="auto"/>
        <w:jc w:val="left"/>
        <w:rPr>
          <w:sz w:val="24"/>
        </w:rPr>
        <w:sectPr>
          <w:type w:val="continuous"/>
          <w:pgSz w:w="11900" w:h="16840"/>
          <w:pgMar w:top="1220" w:bottom="280" w:left="620" w:right="640"/>
          <w:cols w:num="3" w:equalWidth="0">
            <w:col w:w="1742" w:space="577"/>
            <w:col w:w="1599" w:space="869"/>
            <w:col w:w="5853"/>
          </w:cols>
        </w:sectPr>
      </w:pPr>
    </w:p>
    <w:p>
      <w:pPr>
        <w:tabs>
          <w:tab w:pos="3817" w:val="left" w:leader="none"/>
          <w:tab w:pos="4969" w:val="left" w:leader="none"/>
          <w:tab w:pos="10499" w:val="left" w:leader="none"/>
        </w:tabs>
        <w:spacing w:line="125" w:lineRule="exact" w:before="17"/>
        <w:ind w:left="253" w:right="0" w:firstLine="0"/>
        <w:jc w:val="left"/>
        <w:rPr>
          <w:sz w:val="12"/>
        </w:rPr>
      </w:pPr>
      <w:r>
        <w:rPr/>
        <w:pict>
          <v:line style="position:absolute;mso-position-horizontal-relative:page;mso-position-vertical-relative:paragraph;z-index:15783936" from="216.250007pt,5.142066pt" to="211.917007pt,5.142066pt" stroked="true" strokeweight=".5pt" strokecolor="#000000">
            <v:stroke dashstyle="solid"/>
            <w10:wrap type="none"/>
          </v:line>
        </w:pict>
      </w:r>
      <w:r>
        <w:rPr>
          <w:sz w:val="12"/>
        </w:rPr>
        <w:t>87.5</w:t>
        <w:tab/>
        <w:t>0</w:t>
        <w:tab/>
      </w:r>
      <w:r>
        <w:rPr>
          <w:sz w:val="12"/>
          <w:u w:val="single"/>
        </w:rPr>
        <w:t> </w:t>
        <w:tab/>
      </w:r>
    </w:p>
    <w:p>
      <w:pPr>
        <w:spacing w:after="0" w:line="125" w:lineRule="exact"/>
        <w:jc w:val="left"/>
        <w:rPr>
          <w:sz w:val="12"/>
        </w:rPr>
        <w:sectPr>
          <w:type w:val="continuous"/>
          <w:pgSz w:w="11900" w:h="16840"/>
          <w:pgMar w:top="1220" w:bottom="280" w:left="620" w:right="640"/>
        </w:sectPr>
      </w:pPr>
    </w:p>
    <w:p>
      <w:pPr>
        <w:pStyle w:val="BodyText"/>
        <w:rPr>
          <w:sz w:val="12"/>
        </w:rPr>
      </w:pPr>
    </w:p>
    <w:p>
      <w:pPr>
        <w:pStyle w:val="BodyText"/>
        <w:spacing w:before="5"/>
        <w:rPr>
          <w:sz w:val="14"/>
        </w:rPr>
      </w:pPr>
    </w:p>
    <w:p>
      <w:pPr>
        <w:spacing w:before="0"/>
        <w:ind w:left="253" w:right="0" w:firstLine="0"/>
        <w:jc w:val="left"/>
        <w:rPr>
          <w:sz w:val="12"/>
        </w:rPr>
      </w:pPr>
      <w:r>
        <w:rPr>
          <w:sz w:val="12"/>
        </w:rPr>
        <w:t>85.0</w:t>
      </w:r>
    </w:p>
    <w:p>
      <w:pPr>
        <w:spacing w:before="14"/>
        <w:ind w:left="3244" w:right="0" w:firstLine="0"/>
        <w:jc w:val="left"/>
        <w:rPr>
          <w:sz w:val="16"/>
        </w:rPr>
      </w:pPr>
      <w:r>
        <w:rPr/>
        <w:br w:type="column"/>
      </w:r>
      <w:r>
        <w:rPr>
          <w:sz w:val="16"/>
        </w:rPr>
        <w:t>_</w:t>
      </w:r>
    </w:p>
    <w:p>
      <w:pPr>
        <w:spacing w:line="116" w:lineRule="exact" w:before="107"/>
        <w:ind w:left="3314" w:right="0" w:firstLine="0"/>
        <w:jc w:val="left"/>
        <w:rPr>
          <w:sz w:val="12"/>
        </w:rPr>
      </w:pPr>
      <w:r>
        <w:rPr/>
        <w:pict>
          <v:group style="position:absolute;margin-left:56.417pt;margin-top:6.882265pt;width:151pt;height:2.7pt;mso-position-horizontal-relative:page;mso-position-vertical-relative:paragraph;z-index:15781376" coordorigin="1128,138" coordsize="3020,54">
            <v:shape style="position:absolute;left:1128;top:137;width:834;height:54" coordorigin="1128,138" coordsize="834,54" path="m1215,186l1128,186m1275,138l1275,191m1502,138l1502,191m1722,138l1722,191m1962,138l1962,191e" filled="false" stroked="true" strokeweight=".5pt" strokecolor="#000000">
              <v:path arrowok="t"/>
              <v:stroke dashstyle="solid"/>
            </v:shape>
            <v:line style="position:absolute" from="1275,186" to="4148,186" stroked="true" strokeweight=".5pt" strokecolor="#000000">
              <v:stroke dashstyle="solid"/>
            </v:line>
            <v:shape style="position:absolute;left:2195;top:137;width:1834;height:54" coordorigin="2195,138" coordsize="1834,54" path="m2422,138l2422,191m2195,138l2195,191m2642,138l2642,191m2882,138l2882,191m3342,138l3342,191m3115,138l3115,191m3562,138l3562,191m3802,138l3802,191m4028,138l4028,191e" filled="false" stroked="true" strokeweight=".5pt" strokecolor="#000000">
              <v:path arrowok="t"/>
              <v:stroke dashstyle="solid"/>
            </v:shape>
            <w10:wrap type="none"/>
          </v:group>
        </w:pict>
      </w:r>
      <w:r>
        <w:rPr/>
        <w:pict>
          <v:line style="position:absolute;mso-position-horizontal-relative:page;mso-position-vertical-relative:paragraph;z-index:15784448" from="216.250007pt,9.455265pt" to="211.917007pt,9.455265pt" stroked="true" strokeweight=".5pt" strokecolor="#000000">
            <v:stroke dashstyle="solid"/>
            <w10:wrap type="none"/>
          </v:line>
        </w:pict>
      </w:r>
      <w:r>
        <w:rPr>
          <w:sz w:val="12"/>
        </w:rPr>
        <w:t>2</w:t>
      </w:r>
    </w:p>
    <w:p>
      <w:pPr>
        <w:spacing w:line="116" w:lineRule="exact" w:before="0"/>
        <w:ind w:left="149" w:right="0" w:firstLine="0"/>
        <w:jc w:val="left"/>
        <w:rPr>
          <w:sz w:val="12"/>
        </w:rPr>
      </w:pPr>
      <w:r>
        <w:rPr>
          <w:sz w:val="12"/>
        </w:rPr>
        <w:t>1987 88 89 90 91 92 93 94 95 96 97 98 99</w:t>
      </w:r>
    </w:p>
    <w:p>
      <w:pPr>
        <w:pStyle w:val="ListParagraph"/>
        <w:numPr>
          <w:ilvl w:val="0"/>
          <w:numId w:val="5"/>
        </w:numPr>
        <w:tabs>
          <w:tab w:pos="494" w:val="left" w:leader="none"/>
        </w:tabs>
        <w:spacing w:line="208" w:lineRule="auto" w:before="13" w:after="0"/>
        <w:ind w:left="493" w:right="774" w:hanging="240"/>
        <w:jc w:val="left"/>
        <w:rPr>
          <w:sz w:val="16"/>
        </w:rPr>
      </w:pPr>
      <w:hyperlink r:id="rId32">
        <w:r>
          <w:rPr>
            <w:sz w:val="16"/>
          </w:rPr>
          <w:br w:type="column"/>
          <w:t>The Bank has made a minor modification to its method of calculating mortgage equity withdrawal to fit better with National Accounts data. The new measure follows a comparable pattern to the old and in recent quarters the numbers have been very similar. Data and further details </w:t>
        </w:r>
        <w:r>
          <w:rPr>
            <w:spacing w:val="-9"/>
            <w:sz w:val="16"/>
          </w:rPr>
          <w:t>of</w:t>
        </w:r>
      </w:hyperlink>
    </w:p>
    <w:p>
      <w:pPr>
        <w:spacing w:after="0" w:line="208" w:lineRule="auto"/>
        <w:jc w:val="left"/>
        <w:rPr>
          <w:sz w:val="16"/>
        </w:rPr>
        <w:sectPr>
          <w:type w:val="continuous"/>
          <w:pgSz w:w="11900" w:h="16840"/>
          <w:pgMar w:top="1220" w:bottom="280" w:left="620" w:right="640"/>
          <w:cols w:num="3" w:equalWidth="0">
            <w:col w:w="464" w:space="40"/>
            <w:col w:w="3415" w:space="818"/>
            <w:col w:w="5903"/>
          </w:cols>
        </w:sectPr>
      </w:pPr>
    </w:p>
    <w:p>
      <w:pPr>
        <w:spacing w:line="88" w:lineRule="exact" w:before="0"/>
        <w:ind w:left="175" w:right="0" w:firstLine="0"/>
        <w:jc w:val="left"/>
        <w:rPr>
          <w:sz w:val="12"/>
        </w:rPr>
      </w:pPr>
      <w:r>
        <w:rPr>
          <w:sz w:val="12"/>
        </w:rPr>
        <w:t>Sources: ONS and Bank of England.</w:t>
      </w:r>
    </w:p>
    <w:p>
      <w:pPr>
        <w:spacing w:line="164" w:lineRule="exact" w:before="0"/>
        <w:ind w:left="175" w:right="0" w:firstLine="0"/>
        <w:jc w:val="left"/>
        <w:rPr>
          <w:sz w:val="16"/>
        </w:rPr>
      </w:pPr>
      <w:r>
        <w:rPr/>
        <w:br w:type="column"/>
      </w:r>
      <w:hyperlink r:id="rId32">
        <w:r>
          <w:rPr>
            <w:sz w:val="16"/>
          </w:rPr>
          <w:t>the new approach are available at www.bankofengland.co.uk/mew.htm</w:t>
        </w:r>
      </w:hyperlink>
    </w:p>
    <w:p>
      <w:pPr>
        <w:spacing w:after="0" w:line="164" w:lineRule="exact"/>
        <w:jc w:val="left"/>
        <w:rPr>
          <w:sz w:val="16"/>
        </w:rPr>
        <w:sectPr>
          <w:type w:val="continuous"/>
          <w:pgSz w:w="11900" w:h="16840"/>
          <w:pgMar w:top="1220" w:bottom="280" w:left="620" w:right="640"/>
          <w:cols w:num="2" w:equalWidth="0">
            <w:col w:w="2005" w:space="3050"/>
            <w:col w:w="5585"/>
          </w:cols>
        </w:sectPr>
      </w:pPr>
    </w:p>
    <w:p>
      <w:pPr>
        <w:pStyle w:val="BodyText"/>
        <w:rPr>
          <w:sz w:val="20"/>
        </w:rPr>
      </w:pPr>
    </w:p>
    <w:p>
      <w:pPr>
        <w:spacing w:after="0"/>
        <w:rPr>
          <w:sz w:val="20"/>
        </w:rPr>
        <w:sectPr>
          <w:headerReference w:type="default" r:id="rId33"/>
          <w:headerReference w:type="even" r:id="rId34"/>
          <w:footerReference w:type="default" r:id="rId35"/>
          <w:footerReference w:type="even" r:id="rId36"/>
          <w:pgSz w:w="11900" w:h="16840"/>
          <w:pgMar w:header="584" w:footer="617" w:top="780" w:bottom="800" w:left="620" w:right="640"/>
          <w:pgNumType w:start="7"/>
        </w:sectPr>
      </w:pPr>
    </w:p>
    <w:p>
      <w:pPr>
        <w:pStyle w:val="BodyText"/>
        <w:spacing w:before="7"/>
        <w:rPr>
          <w:sz w:val="19"/>
        </w:rPr>
      </w:pPr>
    </w:p>
    <w:p>
      <w:pPr>
        <w:pStyle w:val="Heading9"/>
        <w:spacing w:before="0"/>
        <w:ind w:left="180"/>
      </w:pPr>
      <w:bookmarkStart w:name="Other financial corporations" w:id="16"/>
      <w:bookmarkEnd w:id="16"/>
      <w:r>
        <w:rPr>
          <w:b w:val="0"/>
        </w:rPr>
      </w:r>
      <w:bookmarkStart w:name="Interest rates and asset prices" w:id="17"/>
      <w:bookmarkEnd w:id="17"/>
      <w:r>
        <w:rPr>
          <w:b w:val="0"/>
        </w:rPr>
      </w:r>
      <w:bookmarkStart w:name="Short-term interest rates" w:id="18"/>
      <w:bookmarkEnd w:id="18"/>
      <w:r>
        <w:rPr>
          <w:b w:val="0"/>
        </w:rPr>
      </w:r>
      <w:bookmarkStart w:name="_bookmark6" w:id="19"/>
      <w:bookmarkEnd w:id="19"/>
      <w:r>
        <w:rPr>
          <w:b w:val="0"/>
        </w:rPr>
      </w:r>
      <w:r>
        <w:rPr>
          <w:color w:val="0093C1"/>
        </w:rPr>
        <w:t>Chart 1.8</w:t>
      </w:r>
    </w:p>
    <w:p>
      <w:pPr>
        <w:spacing w:line="249" w:lineRule="auto" w:before="10"/>
        <w:ind w:left="180" w:right="709" w:firstLine="0"/>
        <w:jc w:val="left"/>
        <w:rPr>
          <w:b/>
          <w:sz w:val="20"/>
        </w:rPr>
      </w:pPr>
      <w:r>
        <w:rPr>
          <w:b/>
          <w:color w:val="0093C1"/>
          <w:sz w:val="20"/>
        </w:rPr>
        <w:t>PNFCs’ financial deficit and net new borrowing from M4 institutions</w:t>
      </w:r>
    </w:p>
    <w:p>
      <w:pPr>
        <w:spacing w:line="118" w:lineRule="exact" w:before="123"/>
        <w:ind w:left="2234" w:right="0" w:firstLine="0"/>
        <w:jc w:val="left"/>
        <w:rPr>
          <w:sz w:val="12"/>
        </w:rPr>
      </w:pPr>
      <w:r>
        <w:rPr>
          <w:sz w:val="12"/>
        </w:rPr>
        <w:t>Per cent of nominal GDP</w:t>
      </w:r>
    </w:p>
    <w:p>
      <w:pPr>
        <w:spacing w:line="118" w:lineRule="exact" w:before="0"/>
        <w:ind w:left="3516" w:right="0" w:firstLine="0"/>
        <w:jc w:val="left"/>
        <w:rPr>
          <w:sz w:val="12"/>
        </w:rPr>
      </w:pPr>
      <w:r>
        <w:rPr/>
        <w:pict>
          <v:group style="position:absolute;margin-left:51.125pt;margin-top:3.15033pt;width:152.5pt;height:130.65pt;mso-position-horizontal-relative:page;mso-position-vertical-relative:paragraph;z-index:-22355456" coordorigin="1023,63" coordsize="3050,2613">
            <v:line style="position:absolute" from="1030,1807" to="3917,1807" stroked="true" strokeweight=".5pt" strokecolor="#000000">
              <v:stroke dashstyle="solid"/>
            </v:line>
            <v:shape style="position:absolute;left:1032;top:738;width:518;height:1543" coordorigin="1033,738" coordsize="518,1543" path="m1033,2281l1093,1938m1093,1938l1153,1993m1153,1993l1200,1706m1200,1706l1260,1831m1260,1831l1323,1401m1323,1401l1383,1526m1383,1526l1430,828m1430,828l1490,1168m1490,1168l1550,738e" filled="false" stroked="true" strokeweight="1pt" strokecolor="#40ad49">
              <v:path arrowok="t"/>
              <v:stroke dashstyle="solid"/>
            </v:shape>
            <v:line style="position:absolute" from="1578,63" to="1578,748" stroked="true" strokeweight="3.75pt" strokecolor="#40ad49">
              <v:stroke dashstyle="solid"/>
            </v:line>
            <v:shape style="position:absolute;left:1615;top:73;width:225;height:520" coordorigin="1615,73" coordsize="225,520" path="m1615,73l1673,593m1673,593l1720,396m1720,396l1780,163m1780,163l1840,541e" filled="false" stroked="true" strokeweight="1pt" strokecolor="#40ad49">
              <v:path arrowok="t"/>
              <v:stroke dashstyle="solid"/>
            </v:shape>
            <v:line style="position:absolute" from="1870,531" to="1870,1233" stroked="true" strokeweight="4pt" strokecolor="#40ad49">
              <v:stroke dashstyle="solid"/>
            </v:line>
            <v:shape style="position:absolute;left:1900;top:790;width:978;height:1723" coordorigin="1900,791" coordsize="978,1723" path="m1900,1223l1950,791m1950,791l2010,1706m2010,1706l2070,1526m2070,1526l2130,1473m2130,1473l2190,1151m2190,1151l2238,1851m2238,1851l2300,1598m2300,1598l2360,1366m2360,1366l2420,1886m2420,1886l2480,1796m2480,1796l2528,2191m2528,2191l2588,2083m2588,2083l2650,2513m2650,2513l2710,2423m2710,2423l2758,2156m2758,2156l2818,2243m2818,2243l2878,2208e" filled="false" stroked="true" strokeweight="1pt" strokecolor="#40ad49">
              <v:path arrowok="t"/>
              <v:stroke dashstyle="solid"/>
            </v:shape>
            <v:line style="position:absolute" from="2908,1571" to="2908,2218" stroked="true" strokeweight="4pt" strokecolor="#40ad49">
              <v:stroke dashstyle="solid"/>
            </v:line>
            <v:shape style="position:absolute;left:2937;top:1545;width:400;height:698" coordorigin="2938,1546" coordsize="400,698" path="m2938,1581l3000,1546m3000,1546l3048,1851m3048,1851l3108,1868m3108,1868l3168,2243m3168,2243l3228,1688m3228,1688l3278,1938m3278,1938l3338,2011e" filled="false" stroked="true" strokeweight="1pt" strokecolor="#40ad49">
              <v:path arrowok="t"/>
              <v:stroke dashstyle="solid"/>
            </v:shape>
            <v:line style="position:absolute" from="3368,1373" to="3368,2021" stroked="true" strokeweight="4pt" strokecolor="#40ad49">
              <v:stroke dashstyle="solid"/>
            </v:line>
            <v:line style="position:absolute" from="3398,1383" to="3458,1903" stroked="true" strokeweight="1pt" strokecolor="#40ad49">
              <v:stroke dashstyle="solid"/>
            </v:line>
            <v:line style="position:absolute" from="3488,1141" to="3488,1913" stroked="true" strokeweight="4pt" strokecolor="#40ad49">
              <v:stroke dashstyle="solid"/>
            </v:line>
            <v:shape style="position:absolute;left:3517;top:1150;width:230;height:520" coordorigin="3518,1151" coordsize="230,520" path="m3518,1151l3565,1526m3565,1526l3628,1671m3628,1671l3688,1366m3688,1366l3748,1401e" filled="false" stroked="true" strokeweight="1pt" strokecolor="#40ad49">
              <v:path arrowok="t"/>
              <v:stroke dashstyle="solid"/>
            </v:shape>
            <v:line style="position:absolute" from="3771,1391" to="3771,1896" stroked="true" strokeweight="3.375pt" strokecolor="#40ad49">
              <v:stroke dashstyle="solid"/>
            </v:line>
            <v:shape style="position:absolute;left:3795;top:288;width:120;height:1598" coordorigin="3795,288" coordsize="120,1598" path="m3795,1886l3855,288m3855,288l3915,1151e" filled="false" stroked="true" strokeweight="1pt" strokecolor="#40ad49">
              <v:path arrowok="t"/>
              <v:stroke dashstyle="solid"/>
            </v:shape>
            <v:line style="position:absolute" from="1033,1993" to="1093,1526" stroked="true" strokeweight="1pt" strokecolor="#952e40">
              <v:stroke dashstyle="solid"/>
            </v:line>
            <v:line style="position:absolute" from="1083,1527" to="1163,1527" stroked="true" strokeweight="1.125pt" strokecolor="#952e40">
              <v:stroke dashstyle="solid"/>
            </v:line>
            <v:shape style="position:absolute;left:1152;top:308;width:170;height:1218" coordorigin="1153,308" coordsize="170,1218" path="m1153,1526l1200,1508m1200,1508l1260,541m1260,541l1323,308e" filled="false" stroked="true" strokeweight="1pt" strokecolor="#952e40">
              <v:path arrowok="t"/>
              <v:stroke dashstyle="solid"/>
            </v:shape>
            <v:line style="position:absolute" from="1353,298" to="1353,998" stroked="true" strokeweight="4pt" strokecolor="#952e40">
              <v:stroke dashstyle="solid"/>
            </v:line>
            <v:line style="position:absolute" from="1406,441" to="1406,998" stroked="true" strokeweight="3.375pt" strokecolor="#952e40">
              <v:stroke dashstyle="solid"/>
            </v:line>
            <v:shape style="position:absolute;left:1430;top:128;width:470;height:1203" coordorigin="1430,128" coordsize="470,1203" path="m1430,451l1490,881m1490,881l1550,613m1550,613l1610,128m1610,128l1673,1113m1673,1113l1720,1061m1720,1061l1780,846m1780,846l1840,1331m1840,1331l1900,808e" filled="false" stroked="true" strokeweight="1pt" strokecolor="#952e40">
              <v:path arrowok="t"/>
              <v:stroke dashstyle="solid"/>
            </v:shape>
            <v:line style="position:absolute" from="1925,798" to="1925,1358" stroked="true" strokeweight="3.5pt" strokecolor="#952e40">
              <v:stroke dashstyle="solid"/>
            </v:line>
            <v:line style="position:absolute" from="1950,1348" to="2010,2638" stroked="true" strokeweight="1pt" strokecolor="#952e40">
              <v:stroke dashstyle="solid"/>
            </v:line>
            <v:line style="position:absolute" from="2040,1911" to="2040,2648" stroked="true" strokeweight="4pt" strokecolor="#952e40">
              <v:stroke dashstyle="solid"/>
            </v:line>
            <v:shape style="position:absolute;left:2070;top:1670;width:290;height:700" coordorigin="2070,1671" coordsize="290,700" path="m2070,1921l2130,2371m2130,2371l2190,1796m2190,1796l2238,1831m2238,1831l2300,2066m2300,2066l2360,1671e" filled="false" stroked="true" strokeweight="1pt" strokecolor="#952e40">
              <v:path arrowok="t"/>
              <v:stroke dashstyle="solid"/>
            </v:shape>
            <v:line style="position:absolute" from="2390,1661" to="2390,2291" stroked="true" strokeweight="4pt" strokecolor="#952e40">
              <v:stroke dashstyle="solid"/>
            </v:line>
            <v:shape style="position:absolute;left:2410;top:1965;width:358;height:700" type="#_x0000_t75" stroked="false">
              <v:imagedata r:id="rId37" o:title=""/>
            </v:shape>
            <v:shape style="position:absolute;left:2757;top:1060;width:760;height:915" coordorigin="2758,1061" coordsize="760,915" path="m2758,1976l2818,1581m2818,1581l2878,1061m2878,1061l2938,1401m2938,1401l3000,1311m3000,1311l3048,1438m3048,1438l3108,1096m3108,1096l3168,1491m3168,1491l3228,1438m3228,1438l3278,1563m3278,1563l3338,1958m3338,1958l3398,1671m3398,1671l3458,1886m3458,1886l3518,1921e" filled="false" stroked="true" strokeweight="1pt" strokecolor="#952e40">
              <v:path arrowok="t"/>
              <v:stroke dashstyle="solid"/>
            </v:shape>
            <v:line style="position:absolute" from="3541,1283" to="3541,1931" stroked="true" strokeweight="3.375pt" strokecolor="#952e40">
              <v:stroke dashstyle="solid"/>
            </v:line>
            <v:shape style="position:absolute;left:3565;top:1293;width:183;height:468" coordorigin="3565,1293" coordsize="183,468" path="m3565,1293l3628,1723m3628,1723l3688,1761m3688,1761l3748,1546e" filled="false" stroked="true" strokeweight="1pt" strokecolor="#952e40">
              <v:path arrowok="t"/>
              <v:stroke dashstyle="solid"/>
            </v:shape>
            <v:line style="position:absolute" from="3771,1536" to="3771,2146" stroked="true" strokeweight="3.375pt" strokecolor="#952e40">
              <v:stroke dashstyle="solid"/>
            </v:line>
            <v:shape style="position:absolute;left:3795;top:1580;width:120;height:555" coordorigin="3795,1581" coordsize="120,555" path="m3795,2136l3855,1616m3855,1616l3915,1581e" filled="false" stroked="true" strokeweight="1pt" strokecolor="#952e40">
              <v:path arrowok="t"/>
              <v:stroke dashstyle="solid"/>
            </v:shape>
            <v:shape style="position:absolute;left:3974;top:350;width:98;height:2320" coordorigin="3975,351" coordsize="98,2320" path="m4072,351l3985,351m4072,641l3985,641m4072,1221l3985,1221m4072,2381l3985,2381m4072,931l3985,931m4072,1801l3985,1801m4072,2671l3985,2671m4061,1511l3975,1511m4061,2091l3975,2091e" filled="false" stroked="true" strokeweight=".5pt" strokecolor="#000000">
              <v:path arrowok="t"/>
              <v:stroke dashstyle="solid"/>
            </v:shape>
            <w10:wrap type="none"/>
          </v:group>
        </w:pict>
      </w:r>
      <w:r>
        <w:rPr/>
        <w:pict>
          <v:line style="position:absolute;mso-position-horizontal-relative:page;mso-position-vertical-relative:paragraph;z-index:15790080" from="46.961998pt,3.046329pt" to="42.627998pt,3.046329pt" stroked="true" strokeweight=".5pt" strokecolor="#000000">
            <v:stroke dashstyle="solid"/>
            <w10:wrap type="none"/>
          </v:line>
        </w:pict>
      </w:r>
      <w:r>
        <w:rPr>
          <w:sz w:val="12"/>
        </w:rPr>
        <w:t>6</w:t>
      </w:r>
    </w:p>
    <w:p>
      <w:pPr>
        <w:tabs>
          <w:tab w:pos="3576" w:val="right" w:leader="none"/>
        </w:tabs>
        <w:spacing w:before="146"/>
        <w:ind w:left="1245" w:right="0" w:firstLine="0"/>
        <w:jc w:val="left"/>
        <w:rPr>
          <w:sz w:val="12"/>
        </w:rPr>
      </w:pPr>
      <w:r>
        <w:rPr/>
        <w:pict>
          <v:line style="position:absolute;mso-position-horizontal-relative:page;mso-position-vertical-relative:paragraph;z-index:15790592" from="47.170002pt,11.632035pt" to="42.837002pt,11.632035pt" stroked="true" strokeweight=".5pt" strokecolor="#000000">
            <v:stroke dashstyle="solid"/>
            <w10:wrap type="none"/>
          </v:line>
        </w:pict>
      </w:r>
      <w:r>
        <w:rPr>
          <w:sz w:val="12"/>
        </w:rPr>
        <w:t>Financial deficit</w:t>
        <w:tab/>
      </w:r>
      <w:r>
        <w:rPr>
          <w:position w:val="7"/>
          <w:sz w:val="12"/>
        </w:rPr>
        <w:t>5</w:t>
      </w:r>
    </w:p>
    <w:p>
      <w:pPr>
        <w:spacing w:before="86"/>
        <w:ind w:left="0" w:right="468" w:firstLine="0"/>
        <w:jc w:val="right"/>
        <w:rPr>
          <w:sz w:val="12"/>
        </w:rPr>
      </w:pPr>
      <w:r>
        <w:rPr/>
        <w:pict>
          <v:line style="position:absolute;mso-position-horizontal-relative:page;mso-position-vertical-relative:paragraph;z-index:15791104" from="47.170002pt,8.462174pt" to="42.837002pt,8.462174pt" stroked="true" strokeweight=".5pt" strokecolor="#000000">
            <v:stroke dashstyle="solid"/>
            <w10:wrap type="none"/>
          </v:line>
        </w:pict>
      </w:r>
      <w:r>
        <w:rPr>
          <w:sz w:val="12"/>
        </w:rPr>
        <w:t>4</w:t>
      </w:r>
    </w:p>
    <w:p>
      <w:pPr>
        <w:pStyle w:val="BodyText"/>
        <w:spacing w:before="1"/>
        <w:rPr>
          <w:sz w:val="13"/>
        </w:rPr>
      </w:pPr>
    </w:p>
    <w:p>
      <w:pPr>
        <w:spacing w:before="0"/>
        <w:ind w:left="0" w:right="468" w:firstLine="0"/>
        <w:jc w:val="right"/>
        <w:rPr>
          <w:sz w:val="12"/>
        </w:rPr>
      </w:pPr>
      <w:r>
        <w:rPr/>
        <w:pict>
          <v:line style="position:absolute;mso-position-horizontal-relative:page;mso-position-vertical-relative:paragraph;z-index:15793152" from="47.170002pt,4.224979pt" to="42.837002pt,4.224979pt" stroked="true" strokeweight=".5pt" strokecolor="#000000">
            <v:stroke dashstyle="solid"/>
            <w10:wrap type="none"/>
          </v:line>
        </w:pict>
      </w:r>
      <w:r>
        <w:rPr>
          <w:sz w:val="12"/>
        </w:rPr>
        <w:t>3</w:t>
      </w:r>
    </w:p>
    <w:p>
      <w:pPr>
        <w:pStyle w:val="BodyText"/>
        <w:spacing w:before="1"/>
        <w:rPr>
          <w:sz w:val="13"/>
        </w:rPr>
      </w:pPr>
    </w:p>
    <w:p>
      <w:pPr>
        <w:spacing w:before="0"/>
        <w:ind w:left="0" w:right="468" w:firstLine="0"/>
        <w:jc w:val="right"/>
        <w:rPr>
          <w:sz w:val="12"/>
        </w:rPr>
      </w:pPr>
      <w:r>
        <w:rPr/>
        <w:pict>
          <v:line style="position:absolute;mso-position-horizontal-relative:page;mso-position-vertical-relative:paragraph;z-index:15791616" from="47.170002pt,4.287785pt" to="42.837002pt,4.287785pt" stroked="true" strokeweight=".5pt" strokecolor="#000000">
            <v:stroke dashstyle="solid"/>
            <w10:wrap type="none"/>
          </v:line>
        </w:pict>
      </w:r>
      <w:r>
        <w:rPr>
          <w:sz w:val="12"/>
        </w:rPr>
        <w:t>2</w:t>
      </w:r>
    </w:p>
    <w:p>
      <w:pPr>
        <w:pStyle w:val="BodyText"/>
        <w:spacing w:before="1"/>
        <w:rPr>
          <w:sz w:val="13"/>
        </w:rPr>
      </w:pPr>
    </w:p>
    <w:p>
      <w:pPr>
        <w:spacing w:before="1"/>
        <w:ind w:left="0" w:right="468" w:firstLine="0"/>
        <w:jc w:val="right"/>
        <w:rPr>
          <w:sz w:val="12"/>
        </w:rPr>
      </w:pPr>
      <w:r>
        <w:rPr/>
        <w:pict>
          <v:line style="position:absolute;mso-position-horizontal-relative:page;mso-position-vertical-relative:paragraph;z-index:15794176" from="46.625pt,4.40059pt" to="42.292pt,4.40059pt" stroked="true" strokeweight=".5pt" strokecolor="#000000">
            <v:stroke dashstyle="solid"/>
            <w10:wrap type="none"/>
          </v:line>
        </w:pict>
      </w:r>
      <w:r>
        <w:rPr>
          <w:sz w:val="12"/>
        </w:rPr>
        <w:t>1</w:t>
      </w:r>
    </w:p>
    <w:p>
      <w:pPr>
        <w:spacing w:line="166" w:lineRule="exact" w:before="2"/>
        <w:ind w:left="3417" w:right="0" w:firstLine="0"/>
        <w:jc w:val="left"/>
        <w:rPr>
          <w:sz w:val="16"/>
        </w:rPr>
      </w:pPr>
      <w:r>
        <w:rPr>
          <w:sz w:val="16"/>
        </w:rPr>
        <w:t>+</w:t>
      </w:r>
    </w:p>
    <w:p>
      <w:pPr>
        <w:spacing w:line="151" w:lineRule="auto" w:before="4"/>
        <w:ind w:left="3429" w:right="0" w:firstLine="0"/>
        <w:jc w:val="left"/>
        <w:rPr>
          <w:sz w:val="12"/>
        </w:rPr>
      </w:pPr>
      <w:r>
        <w:rPr/>
        <w:pict>
          <v:line style="position:absolute;mso-position-horizontal-relative:page;mso-position-vertical-relative:paragraph;z-index:15793664" from="47.170002pt,3.514896pt" to="42.837002pt,3.514896pt" stroked="true" strokeweight=".5pt" strokecolor="#000000">
            <v:stroke dashstyle="solid"/>
            <w10:wrap type="none"/>
          </v:line>
        </w:pict>
      </w:r>
      <w:r>
        <w:rPr>
          <w:spacing w:val="3"/>
          <w:position w:val="-8"/>
          <w:sz w:val="16"/>
        </w:rPr>
        <w:t>_</w:t>
      </w:r>
      <w:r>
        <w:rPr>
          <w:spacing w:val="3"/>
          <w:sz w:val="12"/>
        </w:rPr>
        <w:t>0</w:t>
      </w:r>
    </w:p>
    <w:p>
      <w:pPr>
        <w:spacing w:before="98"/>
        <w:ind w:left="0" w:right="468" w:firstLine="0"/>
        <w:jc w:val="right"/>
        <w:rPr>
          <w:sz w:val="12"/>
        </w:rPr>
      </w:pPr>
      <w:r>
        <w:rPr/>
        <w:pict>
          <v:line style="position:absolute;mso-position-horizontal-relative:page;mso-position-vertical-relative:paragraph;z-index:15794688" from="46.625pt,9.376139pt" to="42.292pt,9.376139pt" stroked="true" strokeweight=".5pt" strokecolor="#000000">
            <v:stroke dashstyle="solid"/>
            <w10:wrap type="none"/>
          </v:line>
        </w:pict>
      </w:r>
      <w:r>
        <w:rPr>
          <w:sz w:val="12"/>
        </w:rPr>
        <w:t>1</w:t>
      </w:r>
    </w:p>
    <w:p>
      <w:pPr>
        <w:pStyle w:val="BodyText"/>
        <w:spacing w:before="1"/>
        <w:rPr>
          <w:sz w:val="13"/>
        </w:rPr>
      </w:pPr>
    </w:p>
    <w:p>
      <w:pPr>
        <w:spacing w:before="1"/>
        <w:ind w:left="0" w:right="468" w:firstLine="0"/>
        <w:jc w:val="right"/>
        <w:rPr>
          <w:sz w:val="12"/>
        </w:rPr>
      </w:pPr>
      <w:r>
        <w:rPr/>
        <w:pict>
          <v:line style="position:absolute;mso-position-horizontal-relative:page;mso-position-vertical-relative:paragraph;z-index:15792128" from="47.170002pt,4.588944pt" to="42.837002pt,4.588944pt" stroked="true" strokeweight=".5pt" strokecolor="#000000">
            <v:stroke dashstyle="solid"/>
            <w10:wrap type="none"/>
          </v:line>
        </w:pict>
      </w:r>
      <w:r>
        <w:rPr>
          <w:sz w:val="12"/>
        </w:rPr>
        <w:t>2</w:t>
      </w:r>
    </w:p>
    <w:p>
      <w:pPr>
        <w:spacing w:line="129" w:lineRule="exact" w:before="90"/>
        <w:ind w:left="431" w:right="0" w:firstLine="0"/>
        <w:jc w:val="left"/>
        <w:rPr>
          <w:sz w:val="12"/>
        </w:rPr>
      </w:pPr>
      <w:r>
        <w:rPr/>
        <w:pict>
          <v:shape style="position:absolute;margin-left:206.832993pt;margin-top:7.777868pt;width:3pt;height:6.65pt;mso-position-horizontal-relative:page;mso-position-vertical-relative:paragraph;z-index:15800832" type="#_x0000_t202" filled="false" stroked="false">
            <v:textbox inset="0,0,0,0">
              <w:txbxContent>
                <w:p>
                  <w:pPr>
                    <w:spacing w:line="133" w:lineRule="exact" w:before="0"/>
                    <w:ind w:left="0" w:right="0" w:firstLine="0"/>
                    <w:jc w:val="left"/>
                    <w:rPr>
                      <w:sz w:val="12"/>
                    </w:rPr>
                  </w:pPr>
                  <w:r>
                    <w:rPr>
                      <w:sz w:val="12"/>
                    </w:rPr>
                    <w:t>3</w:t>
                  </w:r>
                </w:p>
              </w:txbxContent>
            </v:textbox>
            <w10:wrap type="none"/>
          </v:shape>
        </w:pict>
      </w:r>
      <w:r>
        <w:rPr>
          <w:sz w:val="12"/>
        </w:rPr>
        <w:t>Net new borrowing</w:t>
      </w:r>
    </w:p>
    <w:p>
      <w:pPr>
        <w:pStyle w:val="BodyText"/>
        <w:spacing w:line="20" w:lineRule="exact"/>
        <w:ind w:left="231"/>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line="109" w:lineRule="exact" w:before="0"/>
        <w:ind w:left="491" w:right="0" w:firstLine="0"/>
        <w:jc w:val="left"/>
        <w:rPr>
          <w:sz w:val="12"/>
        </w:rPr>
      </w:pPr>
      <w:r>
        <w:rPr>
          <w:sz w:val="12"/>
        </w:rPr>
        <w:t>from M4 institutions (a)</w:t>
      </w:r>
    </w:p>
    <w:p>
      <w:pPr>
        <w:spacing w:line="129" w:lineRule="exact" w:before="91"/>
        <w:ind w:left="3516" w:right="0" w:firstLine="0"/>
        <w:jc w:val="left"/>
        <w:rPr>
          <w:sz w:val="12"/>
        </w:rPr>
      </w:pPr>
      <w:r>
        <w:rPr/>
        <w:pict>
          <v:line style="position:absolute;mso-position-horizontal-relative:page;mso-position-vertical-relative:paragraph;z-index:15792640" from="47.170002pt,9.214555pt" to="42.837002pt,9.214555pt" stroked="true" strokeweight=".5pt" strokecolor="#000000">
            <v:stroke dashstyle="solid"/>
            <w10:wrap type="none"/>
          </v:line>
        </w:pict>
      </w:r>
      <w:r>
        <w:rPr/>
        <w:pict>
          <v:shape style="position:absolute;margin-left:51.808998pt;margin-top:4.526555pt;width:151.8pt;height:4.75pt;mso-position-horizontal-relative:page;mso-position-vertical-relative:paragraph;z-index:15795200" coordorigin="1036,91" coordsize="3036,95" path="m4072,184l3985,184m1039,185l3917,185m1036,91l1036,185m1266,91l1266,185m1611,131l1611,185m2301,131l2301,185m3107,91l3107,185m3567,91l3567,185m3797,91l3797,185m1841,131l1841,185m2531,131l2531,185m3222,131l3222,185m1151,131l1151,185m1381,131l1381,185m1956,91l1956,185m2646,91l2646,185m3337,91l3337,185m3682,131l3682,185m3912,131l3912,185m2071,131l2071,185m2762,131l2762,185m3452,131l3452,185m1496,91l1496,185m2186,91l2186,185m2992,131l2992,185m1726,91l1726,185m2416,91l2416,185m2877,91l2877,185e" filled="false" stroked="true" strokeweight=".5pt" strokecolor="#000000">
            <v:path arrowok="t"/>
            <v:stroke dashstyle="solid"/>
            <w10:wrap type="none"/>
          </v:shape>
        </w:pict>
      </w:r>
      <w:r>
        <w:rPr>
          <w:sz w:val="12"/>
        </w:rPr>
        <w:t>4</w:t>
      </w:r>
    </w:p>
    <w:p>
      <w:pPr>
        <w:spacing w:line="129" w:lineRule="exact" w:before="0"/>
        <w:ind w:left="364" w:right="0" w:firstLine="0"/>
        <w:jc w:val="left"/>
        <w:rPr>
          <w:sz w:val="12"/>
        </w:rPr>
      </w:pPr>
      <w:r>
        <w:rPr>
          <w:sz w:val="12"/>
        </w:rPr>
        <w:t>1987 88 89 90 91 92 93 94 95 96 97 98 99</w:t>
      </w:r>
    </w:p>
    <w:p>
      <w:pPr>
        <w:pStyle w:val="BodyText"/>
        <w:spacing w:before="6"/>
        <w:rPr>
          <w:sz w:val="12"/>
        </w:rPr>
      </w:pPr>
    </w:p>
    <w:p>
      <w:pPr>
        <w:spacing w:before="0"/>
        <w:ind w:left="180" w:right="0" w:firstLine="0"/>
        <w:jc w:val="left"/>
        <w:rPr>
          <w:sz w:val="12"/>
        </w:rPr>
      </w:pPr>
      <w:r>
        <w:rPr>
          <w:sz w:val="12"/>
        </w:rPr>
        <w:t>Sources: ONS and Bank of England.</w:t>
      </w:r>
    </w:p>
    <w:p>
      <w:pPr>
        <w:pStyle w:val="BodyText"/>
        <w:spacing w:before="1"/>
        <w:rPr>
          <w:sz w:val="10"/>
        </w:rPr>
      </w:pPr>
    </w:p>
    <w:p>
      <w:pPr>
        <w:pStyle w:val="ListParagraph"/>
        <w:numPr>
          <w:ilvl w:val="1"/>
          <w:numId w:val="5"/>
        </w:numPr>
        <w:tabs>
          <w:tab w:pos="420" w:val="left" w:leader="none"/>
        </w:tabs>
        <w:spacing w:line="208" w:lineRule="auto" w:before="1" w:after="0"/>
        <w:ind w:left="450" w:right="426" w:hanging="270"/>
        <w:jc w:val="left"/>
        <w:rPr>
          <w:sz w:val="12"/>
        </w:rPr>
      </w:pPr>
      <w:r>
        <w:rPr>
          <w:sz w:val="12"/>
        </w:rPr>
        <w:t>Defined as the change in PNFCs’ M4 borrowing minus the </w:t>
      </w:r>
      <w:r>
        <w:rPr>
          <w:spacing w:val="-3"/>
          <w:sz w:val="12"/>
        </w:rPr>
        <w:t>change </w:t>
      </w:r>
      <w:r>
        <w:rPr>
          <w:sz w:val="12"/>
        </w:rPr>
        <w:t>in PNFCs’ M4 deposits.</w:t>
      </w:r>
    </w:p>
    <w:p>
      <w:pPr>
        <w:pStyle w:val="BodyText"/>
        <w:spacing w:before="1"/>
        <w:rPr>
          <w:sz w:val="16"/>
        </w:rPr>
      </w:pPr>
    </w:p>
    <w:p>
      <w:pPr>
        <w:pStyle w:val="Heading9"/>
        <w:spacing w:before="0"/>
      </w:pPr>
      <w:r>
        <w:rPr>
          <w:color w:val="0093C1"/>
        </w:rPr>
        <w:t>Chart 1.9</w:t>
      </w:r>
    </w:p>
    <w:p>
      <w:pPr>
        <w:spacing w:line="249" w:lineRule="auto" w:before="10"/>
        <w:ind w:left="190" w:right="20" w:firstLine="0"/>
        <w:jc w:val="left"/>
        <w:rPr>
          <w:b/>
          <w:sz w:val="20"/>
        </w:rPr>
      </w:pPr>
      <w:r>
        <w:rPr>
          <w:b/>
          <w:color w:val="0093C1"/>
          <w:sz w:val="20"/>
        </w:rPr>
        <w:t>Selected life assurance and pension fund asset acquisitions and PNFCs’ bond issuance</w:t>
      </w:r>
    </w:p>
    <w:p>
      <w:pPr>
        <w:spacing w:line="242" w:lineRule="auto" w:before="206"/>
        <w:ind w:left="180" w:right="227" w:firstLine="0"/>
        <w:jc w:val="left"/>
        <w:rPr>
          <w:sz w:val="24"/>
        </w:rPr>
      </w:pPr>
      <w:r>
        <w:rPr/>
        <w:br w:type="column"/>
      </w:r>
      <w:r>
        <w:rPr>
          <w:sz w:val="24"/>
        </w:rPr>
        <w:t>grew by 5.4% over the same period. M4 borrowing by PNFCs has been subdued over the past year relative to the growing imbalance between corporate investment and saving (see Chart 1.8). Instead, the PNFCs sector has met its rising financial deficit using funds raised in capital markets. Part of this shift in the source of new corporate finance may be temporary. Bond issuance </w:t>
      </w:r>
      <w:r>
        <w:rPr>
          <w:spacing w:val="-7"/>
          <w:sz w:val="24"/>
        </w:rPr>
        <w:t>was </w:t>
      </w:r>
      <w:r>
        <w:rPr>
          <w:sz w:val="24"/>
        </w:rPr>
        <w:t>particularly high in early 1999, perhaps as companies reopened capital market borrowing programmes or placed new issues that had been delayed by the turbulence in financial markets in the second half of 1998. But there has also been a longer-term decline in the relative importance to PNFCs of borrowing from the banking sector. Over the past ten years, UK companies have gradually moved away from traditional bank borrowing towards marketable debt and equity finance. In recent years, as government debt issuance has fallen, increased institutional demand for corporate debt might have provided added impetus to this trend (see</w:t>
      </w:r>
    </w:p>
    <w:p>
      <w:pPr>
        <w:spacing w:before="24"/>
        <w:ind w:left="180" w:right="0" w:firstLine="0"/>
        <w:jc w:val="left"/>
        <w:rPr>
          <w:sz w:val="16"/>
        </w:rPr>
      </w:pPr>
      <w:r>
        <w:rPr>
          <w:sz w:val="24"/>
        </w:rPr>
        <w:t>Chart 1.9).</w:t>
      </w:r>
      <w:r>
        <w:rPr>
          <w:position w:val="5"/>
          <w:sz w:val="16"/>
        </w:rPr>
        <w:t>(1)</w:t>
      </w:r>
    </w:p>
    <w:p>
      <w:pPr>
        <w:spacing w:after="0"/>
        <w:jc w:val="left"/>
        <w:rPr>
          <w:sz w:val="16"/>
        </w:rPr>
        <w:sectPr>
          <w:type w:val="continuous"/>
          <w:pgSz w:w="11900" w:h="16840"/>
          <w:pgMar w:top="1220" w:bottom="280" w:left="620" w:right="640"/>
          <w:cols w:num="2" w:equalWidth="0">
            <w:col w:w="4048" w:space="732"/>
            <w:col w:w="5860"/>
          </w:cols>
        </w:sectPr>
      </w:pPr>
    </w:p>
    <w:p>
      <w:pPr>
        <w:spacing w:line="247" w:lineRule="auto" w:before="99"/>
        <w:ind w:left="490" w:right="21" w:firstLine="0"/>
        <w:jc w:val="left"/>
        <w:rPr>
          <w:sz w:val="12"/>
        </w:rPr>
      </w:pPr>
      <w:r>
        <w:rPr/>
        <w:drawing>
          <wp:anchor distT="0" distB="0" distL="0" distR="0" allowOverlap="1" layoutInCell="1" locked="0" behindDoc="0" simplePos="0" relativeHeight="15796736">
            <wp:simplePos x="0" y="0"/>
            <wp:positionH relativeFrom="page">
              <wp:posOffset>561492</wp:posOffset>
            </wp:positionH>
            <wp:positionV relativeFrom="paragraph">
              <wp:posOffset>57405</wp:posOffset>
            </wp:positionV>
            <wp:extent cx="99479" cy="194729"/>
            <wp:effectExtent l="0" t="0" r="0" b="0"/>
            <wp:wrapNone/>
            <wp:docPr id="1" name="image7.png"/>
            <wp:cNvGraphicFramePr>
              <a:graphicFrameLocks noChangeAspect="1"/>
            </wp:cNvGraphicFramePr>
            <a:graphic>
              <a:graphicData uri="http://schemas.openxmlformats.org/drawingml/2006/picture">
                <pic:pic>
                  <pic:nvPicPr>
                    <pic:cNvPr id="2" name="image7.png"/>
                    <pic:cNvPicPr/>
                  </pic:nvPicPr>
                  <pic:blipFill>
                    <a:blip r:embed="rId38" cstate="print"/>
                    <a:stretch>
                      <a:fillRect/>
                    </a:stretch>
                  </pic:blipFill>
                  <pic:spPr>
                    <a:xfrm>
                      <a:off x="0" y="0"/>
                      <a:ext cx="99479" cy="194729"/>
                    </a:xfrm>
                    <a:prstGeom prst="rect">
                      <a:avLst/>
                    </a:prstGeom>
                  </pic:spPr>
                </pic:pic>
              </a:graphicData>
            </a:graphic>
          </wp:anchor>
        </w:drawing>
      </w:r>
      <w:r>
        <w:rPr>
          <w:color w:val="231F20"/>
          <w:sz w:val="12"/>
        </w:rPr>
        <w:t>Liquid assets Gilts</w:t>
      </w:r>
    </w:p>
    <w:p>
      <w:pPr>
        <w:pStyle w:val="BodyText"/>
        <w:spacing w:before="1" w:after="39"/>
        <w:rPr>
          <w:sz w:val="16"/>
        </w:rPr>
      </w:pPr>
    </w:p>
    <w:p>
      <w:pPr>
        <w:pStyle w:val="BodyText"/>
        <w:spacing w:line="20" w:lineRule="exact"/>
        <w:ind w:left="259"/>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11"/>
        <w:rPr>
          <w:sz w:val="10"/>
        </w:rPr>
      </w:pPr>
      <w:r>
        <w:rPr/>
        <w:pict>
          <v:shape style="position:absolute;margin-left:44.212002pt;margin-top:8.512977pt;width:4.350pt;height:.1pt;mso-position-horizontal-relative:page;mso-position-vertical-relative:paragraph;z-index:-15670784;mso-wrap-distance-left:0;mso-wrap-distance-right:0" coordorigin="884,170" coordsize="87,0" path="m971,170l884,170e" filled="false" stroked="true" strokeweight=".5pt" strokecolor="#000000">
            <v:path arrowok="t"/>
            <v:stroke dashstyle="solid"/>
            <w10:wrap type="topAndBottom"/>
          </v:shape>
        </w:pict>
      </w:r>
      <w:r>
        <w:rPr/>
        <w:pict>
          <v:shape style="position:absolute;margin-left:44.212002pt;margin-top:29.274977pt;width:4.350pt;height:.1pt;mso-position-horizontal-relative:page;mso-position-vertical-relative:paragraph;z-index:-15670272;mso-wrap-distance-left:0;mso-wrap-distance-right:0" coordorigin="884,585" coordsize="87,0" path="m971,585l884,585e" filled="false" stroked="true" strokeweight=".5pt" strokecolor="#000000">
            <v:path arrowok="t"/>
            <v:stroke dashstyle="solid"/>
            <w10:wrap type="topAndBottom"/>
          </v:shape>
        </w:pict>
      </w:r>
      <w:r>
        <w:rPr/>
        <w:pict>
          <v:shape style="position:absolute;margin-left:44.212002pt;margin-top:50.036976pt;width:4.350pt;height:.1pt;mso-position-horizontal-relative:page;mso-position-vertical-relative:paragraph;z-index:-15669760;mso-wrap-distance-left:0;mso-wrap-distance-right:0" coordorigin="884,1001" coordsize="87,0" path="m971,1001l884,1001e" filled="false" stroked="true" strokeweight=".5pt" strokecolor="#000000">
            <v:path arrowok="t"/>
            <v:stroke dashstyle="solid"/>
            <w10:wrap type="topAndBottom"/>
          </v:shape>
        </w:pict>
      </w:r>
      <w:r>
        <w:rPr/>
        <w:pict>
          <v:shape style="position:absolute;margin-left:44.212002pt;margin-top:70.797974pt;width:4.350pt;height:.1pt;mso-position-horizontal-relative:page;mso-position-vertical-relative:paragraph;z-index:-15669248;mso-wrap-distance-left:0;mso-wrap-distance-right:0" coordorigin="884,1416" coordsize="87,0" path="m971,1416l884,1416e" filled="false" stroked="true" strokeweight=".5pt" strokecolor="#000000">
            <v:path arrowok="t"/>
            <v:stroke dashstyle="solid"/>
            <w10:wrap type="topAndBottom"/>
          </v:shape>
        </w:pict>
      </w:r>
      <w:r>
        <w:rPr/>
        <w:pict>
          <v:shape style="position:absolute;margin-left:44.212002pt;margin-top:91.559975pt;width:4.350pt;height:.1pt;mso-position-horizontal-relative:page;mso-position-vertical-relative:paragraph;z-index:-15668736;mso-wrap-distance-left:0;mso-wrap-distance-right:0" coordorigin="884,1831" coordsize="87,0" path="m971,1831l884,1831e" filled="false" stroked="true" strokeweight=".5pt" strokecolor="#000000">
            <v:path arrowok="t"/>
            <v:stroke dashstyle="solid"/>
            <w10:wrap type="topAndBottom"/>
          </v:shape>
        </w:pict>
      </w:r>
      <w:r>
        <w:rPr/>
        <w:pict>
          <v:shape style="position:absolute;margin-left:44.212002pt;margin-top:112.321976pt;width:4.350pt;height:.1pt;mso-position-horizontal-relative:page;mso-position-vertical-relative:paragraph;z-index:-15668224;mso-wrap-distance-left:0;mso-wrap-distance-right:0" coordorigin="884,2246" coordsize="87,0" path="m971,2246l884,2246e" filled="false" stroked="true" strokeweight=".5pt" strokecolor="#000000">
            <v:path arrowok="t"/>
            <v:stroke dashstyle="solid"/>
            <w10:wrap type="topAndBottom"/>
          </v:shape>
        </w:pict>
      </w:r>
    </w:p>
    <w:p>
      <w:pPr>
        <w:pStyle w:val="BodyText"/>
        <w:spacing w:before="3"/>
        <w:rPr>
          <w:sz w:val="29"/>
        </w:rPr>
      </w:pPr>
    </w:p>
    <w:p>
      <w:pPr>
        <w:pStyle w:val="BodyText"/>
        <w:spacing w:before="3"/>
        <w:rPr>
          <w:sz w:val="29"/>
        </w:rPr>
      </w:pPr>
    </w:p>
    <w:p>
      <w:pPr>
        <w:pStyle w:val="BodyText"/>
        <w:spacing w:before="3"/>
        <w:rPr>
          <w:sz w:val="29"/>
        </w:rPr>
      </w:pPr>
    </w:p>
    <w:p>
      <w:pPr>
        <w:pStyle w:val="BodyText"/>
        <w:spacing w:before="3"/>
        <w:rPr>
          <w:sz w:val="29"/>
        </w:rPr>
      </w:pPr>
    </w:p>
    <w:p>
      <w:pPr>
        <w:pStyle w:val="BodyText"/>
        <w:spacing w:before="3"/>
        <w:rPr>
          <w:sz w:val="29"/>
        </w:rPr>
      </w:pPr>
    </w:p>
    <w:p>
      <w:pPr>
        <w:spacing w:line="247" w:lineRule="auto" w:before="99"/>
        <w:ind w:left="264" w:right="1052" w:firstLine="0"/>
        <w:jc w:val="left"/>
        <w:rPr>
          <w:sz w:val="12"/>
        </w:rPr>
      </w:pPr>
      <w:r>
        <w:rPr/>
        <w:br w:type="column"/>
      </w:r>
      <w:r>
        <w:rPr>
          <w:color w:val="231F20"/>
          <w:sz w:val="12"/>
        </w:rPr>
        <w:t>UK corporate bonds PNFCs’ bond issuance</w:t>
      </w:r>
    </w:p>
    <w:p>
      <w:pPr>
        <w:spacing w:before="83"/>
        <w:ind w:left="0" w:right="38" w:firstLine="0"/>
        <w:jc w:val="right"/>
        <w:rPr>
          <w:sz w:val="12"/>
        </w:rPr>
      </w:pPr>
      <w:r>
        <w:rPr/>
        <w:pict>
          <v:group style="position:absolute;margin-left:94.083pt;margin-top:-14.656358pt;width:8pt;height:11.95pt;mso-position-horizontal-relative:page;mso-position-vertical-relative:paragraph;z-index:15797248" coordorigin="1882,-293" coordsize="160,239">
            <v:rect style="position:absolute;left:1886;top:-289;width:147;height:147" filled="true" fillcolor="#9bd3ae" stroked="false">
              <v:fill type="solid"/>
            </v:rect>
            <v:rect style="position:absolute;left:1886;top:-289;width:147;height:147" filled="false" stroked="true" strokeweight=".5pt" strokecolor="#231f20">
              <v:stroke dashstyle="solid"/>
            </v:rect>
            <v:line style="position:absolute" from="1882,-65" to="2042,-65" stroked="true" strokeweight="1pt" strokecolor="#75442b">
              <v:stroke dashstyle="solid"/>
            </v:line>
            <w10:wrap type="none"/>
          </v:group>
        </w:pict>
      </w:r>
      <w:r>
        <w:rPr>
          <w:color w:val="231F20"/>
          <w:sz w:val="12"/>
        </w:rPr>
        <w:t>Average quarterly flow, nsa, £ billio</w:t>
      </w:r>
      <w:r>
        <w:rPr>
          <w:color w:val="231F20"/>
          <w:sz w:val="12"/>
          <w:u w:val="single" w:color="000000"/>
        </w:rPr>
        <w:t>ns</w:t>
      </w:r>
      <w:r>
        <w:rPr>
          <w:color w:val="231F20"/>
          <w:sz w:val="12"/>
        </w:rPr>
        <w:t> </w:t>
      </w:r>
      <w:r>
        <w:rPr>
          <w:color w:val="231F20"/>
          <w:position w:val="-6"/>
          <w:sz w:val="12"/>
        </w:rPr>
        <w:t>10</w:t>
      </w:r>
    </w:p>
    <w:p>
      <w:pPr>
        <w:pStyle w:val="BodyText"/>
        <w:spacing w:before="6"/>
        <w:rPr>
          <w:sz w:val="24"/>
        </w:rPr>
      </w:pPr>
    </w:p>
    <w:p>
      <w:pPr>
        <w:spacing w:before="0"/>
        <w:ind w:left="0" w:right="38" w:firstLine="0"/>
        <w:jc w:val="right"/>
        <w:rPr>
          <w:sz w:val="12"/>
        </w:rPr>
      </w:pPr>
      <w:r>
        <w:rPr/>
        <w:pict>
          <v:group style="position:absolute;margin-left:53.125pt;margin-top:-4.613251pt;width:151.050pt;height:133pt;mso-position-horizontal-relative:page;mso-position-vertical-relative:paragraph;z-index:15795712" coordorigin="1063,-92" coordsize="3021,2660">
            <v:rect style="position:absolute;left:1157;top:1072;width:125;height:670" filled="true" fillcolor="#00a995" stroked="false">
              <v:fill type="solid"/>
            </v:rect>
            <v:rect style="position:absolute;left:1157;top:1072;width:128;height:670" filled="false" stroked="true" strokeweight=".5pt" strokecolor="#231f20">
              <v:stroke dashstyle="solid"/>
            </v:rect>
            <v:rect style="position:absolute;left:1282;top:932;width:128;height:810" filled="true" fillcolor="#ffe7bd" stroked="false">
              <v:fill type="solid"/>
            </v:rect>
            <v:rect style="position:absolute;left:1282;top:932;width:128;height:810" filled="false" stroked="true" strokeweight=".5pt" strokecolor="#231f20">
              <v:stroke dashstyle="solid"/>
            </v:rect>
            <v:rect style="position:absolute;left:1407;top:1670;width:130;height:73" filled="true" fillcolor="#9bd3ae" stroked="false">
              <v:fill type="solid"/>
            </v:rect>
            <v:rect style="position:absolute;left:1407;top:1670;width:130;height:73" filled="false" stroked="true" strokeweight=".5pt" strokecolor="#231f20">
              <v:stroke dashstyle="solid"/>
            </v:rect>
            <v:rect style="position:absolute;left:1727;top:780;width:125;height:963" filled="true" fillcolor="#00a995" stroked="false">
              <v:fill type="solid"/>
            </v:rect>
            <v:rect style="position:absolute;left:1727;top:780;width:128;height:963" filled="false" stroked="true" strokeweight=".5pt" strokecolor="#231f20">
              <v:stroke dashstyle="solid"/>
            </v:rect>
            <v:rect style="position:absolute;left:1852;top:765;width:140;height:978" filled="true" fillcolor="#ffe7bd" stroked="false">
              <v:fill type="solid"/>
            </v:rect>
            <v:rect style="position:absolute;left:1852;top:765;width:140;height:978" filled="false" stroked="true" strokeweight=".5pt" strokecolor="#231f20">
              <v:stroke dashstyle="solid"/>
            </v:rect>
            <v:rect style="position:absolute;left:1990;top:1710;width:128;height:33" filled="true" fillcolor="#9bd3ae" stroked="false">
              <v:fill type="solid"/>
            </v:rect>
            <v:rect style="position:absolute;left:1990;top:1710;width:128;height:33" filled="false" stroked="true" strokeweight=".5pt" strokecolor="#231f20">
              <v:stroke dashstyle="solid"/>
            </v:rect>
            <v:rect style="position:absolute;left:2307;top:1100;width:128;height:643" filled="true" fillcolor="#00a995" stroked="false">
              <v:fill type="solid"/>
            </v:rect>
            <v:rect style="position:absolute;left:2307;top:1100;width:130;height:643" filled="false" stroked="true" strokeweight=".5pt" strokecolor="#231f20">
              <v:stroke dashstyle="solid"/>
            </v:rect>
            <v:rect style="position:absolute;left:2435;top:697;width:128;height:1045" filled="true" fillcolor="#ffe7bd" stroked="false">
              <v:fill type="solid"/>
            </v:rect>
            <v:rect style="position:absolute;left:2435;top:697;width:128;height:1045" filled="false" stroked="true" strokeweight=".5pt" strokecolor="#231f20">
              <v:stroke dashstyle="solid"/>
            </v:rect>
            <v:rect style="position:absolute;left:2560;top:1392;width:128;height:350" filled="true" fillcolor="#9bd3ae" stroked="false">
              <v:fill type="solid"/>
            </v:rect>
            <v:rect style="position:absolute;left:2560;top:1392;width:128;height:350" filled="false" stroked="true" strokeweight=".5pt" strokecolor="#231f20">
              <v:stroke dashstyle="solid"/>
            </v:rect>
            <v:rect style="position:absolute;left:2877;top:1642;width:125;height:100" filled="true" fillcolor="#00a995" stroked="false">
              <v:fill type="solid"/>
            </v:rect>
            <v:rect style="position:absolute;left:2877;top:1642;width:128;height:100" filled="false" stroked="true" strokeweight=".5pt" strokecolor="#231f20">
              <v:stroke dashstyle="solid"/>
            </v:rect>
            <v:rect style="position:absolute;left:3002;top:1530;width:138;height:213" filled="true" fillcolor="#ffe7bd" stroked="false">
              <v:fill type="solid"/>
            </v:rect>
            <v:rect style="position:absolute;left:3002;top:1530;width:140;height:213" filled="false" stroked="true" strokeweight=".5pt" strokecolor="#231f20">
              <v:stroke dashstyle="solid"/>
            </v:rect>
            <v:rect style="position:absolute;left:3140;top:1015;width:128;height:728" filled="true" fillcolor="#9bd3ae" stroked="false">
              <v:fill type="solid"/>
            </v:rect>
            <v:rect style="position:absolute;left:3140;top:1015;width:128;height:728" filled="false" stroked="true" strokeweight=".5pt" strokecolor="#231f20">
              <v:stroke dashstyle="solid"/>
            </v:rect>
            <v:rect style="position:absolute;left:3460;top:1740;width:128;height:710" filled="true" fillcolor="#00a995" stroked="false">
              <v:fill type="solid"/>
            </v:rect>
            <v:rect style="position:absolute;left:3460;top:1740;width:128;height:710" filled="false" stroked="true" strokeweight=".5pt" strokecolor="#231f20">
              <v:stroke dashstyle="solid"/>
            </v:rect>
            <v:rect style="position:absolute;left:3585;top:1267;width:125;height:475" filled="true" fillcolor="#ffe7bd" stroked="false">
              <v:fill type="solid"/>
            </v:rect>
            <v:rect style="position:absolute;left:3585;top:1267;width:128;height:475" filled="false" stroked="true" strokeweight=".5pt" strokecolor="#231f20">
              <v:stroke dashstyle="solid"/>
            </v:rect>
            <v:rect style="position:absolute;left:3710;top:417;width:128;height:1325" filled="true" fillcolor="#9bd3ae" stroked="false">
              <v:fill type="solid"/>
            </v:rect>
            <v:shape style="position:absolute;left:1067;top:417;width:2870;height:1325" coordorigin="1068,418" coordsize="2870,1325" path="m3710,418l3838,418,3838,1743,3710,1743,3710,418xm1068,1740l3938,1743e" filled="false" stroked="true" strokeweight=".5pt" strokecolor="#231f20">
              <v:path arrowok="t"/>
              <v:stroke dashstyle="solid"/>
            </v:shape>
            <v:shape style="position:absolute;left:1352;top:-83;width:2300;height:1570" coordorigin="1353,-82" coordsize="2300,1570" path="m1353,1113l1933,1488m1933,1488l2503,1030m2503,1030l3073,890m3073,890l3653,-82e" filled="false" stroked="true" strokeweight="1pt" strokecolor="#75442b">
              <v:path arrowok="t"/>
              <v:stroke dashstyle="solid"/>
            </v:shape>
            <v:shape style="position:absolute;left:1072;top:70;width:3011;height:2492" coordorigin="1073,71" coordsize="3011,2492" path="m1075,2562l3933,2562m1073,2509l1073,2562m2217,2509l2217,2562m1645,2509l1645,2562m2789,2509l2789,2562m3933,2509l3933,2562m3361,2509l3361,2562m4083,71l3997,71m4083,901l3997,901m4083,1732l3997,1732m4083,2562l3997,2562m4083,486l3997,486m4083,1317l3997,1317m4083,2147l3997,2147e" filled="false" stroked="true" strokeweight=".5pt" strokecolor="#000000">
              <v:path arrowok="t"/>
              <v:stroke dashstyle="solid"/>
            </v:shape>
            <w10:wrap type="none"/>
          </v:group>
        </w:pict>
      </w:r>
      <w:r>
        <w:rPr>
          <w:color w:val="231F20"/>
          <w:sz w:val="12"/>
        </w:rPr>
        <w:t>8</w:t>
      </w:r>
    </w:p>
    <w:p>
      <w:pPr>
        <w:pStyle w:val="BodyText"/>
        <w:rPr>
          <w:sz w:val="12"/>
        </w:rPr>
      </w:pPr>
    </w:p>
    <w:p>
      <w:pPr>
        <w:pStyle w:val="BodyText"/>
        <w:spacing w:before="3"/>
        <w:rPr>
          <w:sz w:val="12"/>
        </w:rPr>
      </w:pPr>
    </w:p>
    <w:p>
      <w:pPr>
        <w:spacing w:before="0"/>
        <w:ind w:left="0" w:right="38" w:firstLine="0"/>
        <w:jc w:val="right"/>
        <w:rPr>
          <w:sz w:val="12"/>
        </w:rPr>
      </w:pPr>
      <w:r>
        <w:rPr>
          <w:color w:val="231F20"/>
          <w:sz w:val="12"/>
        </w:rPr>
        <w:t>6</w:t>
      </w:r>
    </w:p>
    <w:p>
      <w:pPr>
        <w:pStyle w:val="BodyText"/>
        <w:rPr>
          <w:sz w:val="12"/>
        </w:rPr>
      </w:pPr>
    </w:p>
    <w:p>
      <w:pPr>
        <w:pStyle w:val="BodyText"/>
        <w:spacing w:before="3"/>
        <w:rPr>
          <w:sz w:val="12"/>
        </w:rPr>
      </w:pPr>
    </w:p>
    <w:p>
      <w:pPr>
        <w:spacing w:before="0"/>
        <w:ind w:left="0" w:right="38" w:firstLine="0"/>
        <w:jc w:val="right"/>
        <w:rPr>
          <w:sz w:val="12"/>
        </w:rPr>
      </w:pPr>
      <w:r>
        <w:rPr>
          <w:color w:val="231F20"/>
          <w:sz w:val="12"/>
        </w:rPr>
        <w:t>4</w:t>
      </w:r>
    </w:p>
    <w:p>
      <w:pPr>
        <w:pStyle w:val="BodyText"/>
        <w:rPr>
          <w:sz w:val="12"/>
        </w:rPr>
      </w:pPr>
    </w:p>
    <w:p>
      <w:pPr>
        <w:pStyle w:val="BodyText"/>
        <w:spacing w:before="2"/>
        <w:rPr>
          <w:sz w:val="12"/>
        </w:rPr>
      </w:pPr>
    </w:p>
    <w:p>
      <w:pPr>
        <w:spacing w:before="1"/>
        <w:ind w:left="0" w:right="38" w:firstLine="0"/>
        <w:jc w:val="right"/>
        <w:rPr>
          <w:sz w:val="12"/>
        </w:rPr>
      </w:pPr>
      <w:r>
        <w:rPr>
          <w:color w:val="231F20"/>
          <w:sz w:val="12"/>
        </w:rPr>
        <w:t>2</w:t>
      </w:r>
    </w:p>
    <w:p>
      <w:pPr>
        <w:spacing w:before="68"/>
        <w:ind w:left="0" w:right="84" w:firstLine="0"/>
        <w:jc w:val="right"/>
        <w:rPr>
          <w:sz w:val="16"/>
        </w:rPr>
      </w:pPr>
      <w:r>
        <w:rPr>
          <w:color w:val="231F20"/>
          <w:sz w:val="16"/>
        </w:rPr>
        <w:t>+</w:t>
      </w:r>
    </w:p>
    <w:p>
      <w:pPr>
        <w:spacing w:line="109" w:lineRule="exact" w:before="26"/>
        <w:ind w:left="2329" w:right="0" w:firstLine="0"/>
        <w:jc w:val="left"/>
        <w:rPr>
          <w:sz w:val="12"/>
        </w:rPr>
      </w:pPr>
      <w:r>
        <w:rPr>
          <w:color w:val="231F20"/>
          <w:sz w:val="12"/>
        </w:rPr>
        <w:t>0</w:t>
      </w:r>
    </w:p>
    <w:p>
      <w:pPr>
        <w:spacing w:line="155" w:lineRule="exact" w:before="0"/>
        <w:ind w:left="2257" w:right="0" w:firstLine="0"/>
        <w:jc w:val="left"/>
        <w:rPr>
          <w:sz w:val="16"/>
        </w:rPr>
      </w:pPr>
      <w:r>
        <w:rPr>
          <w:color w:val="231F20"/>
          <w:sz w:val="16"/>
        </w:rPr>
        <w:t>_</w:t>
      </w:r>
    </w:p>
    <w:p>
      <w:pPr>
        <w:spacing w:before="154"/>
        <w:ind w:left="0" w:right="38" w:firstLine="0"/>
        <w:jc w:val="right"/>
        <w:rPr>
          <w:sz w:val="12"/>
        </w:rPr>
      </w:pPr>
      <w:r>
        <w:rPr>
          <w:color w:val="231F20"/>
          <w:sz w:val="12"/>
        </w:rPr>
        <w:t>2</w:t>
      </w:r>
    </w:p>
    <w:p>
      <w:pPr>
        <w:pStyle w:val="Heading6"/>
        <w:spacing w:line="242" w:lineRule="auto" w:before="212"/>
        <w:ind w:left="264" w:right="152"/>
      </w:pPr>
      <w:r>
        <w:rPr/>
        <w:br w:type="column"/>
      </w:r>
      <w:r>
        <w:rPr/>
        <w:t>Financial deficits in recent years have slightly raised the stock of outstanding debt of the PNFCs sector relative to fixed assets valued at replacement cost (see Chart 1.10). But other indicators of PNFCs’ financial positions </w:t>
      </w:r>
      <w:r>
        <w:rPr>
          <w:spacing w:val="-3"/>
        </w:rPr>
        <w:t>appear </w:t>
      </w:r>
      <w:r>
        <w:rPr/>
        <w:t>more favourable.  Income gearing, measured by corporate interest payments relative to current post-tax profits, is near historic lows. And total debt remains low relative to current equity market valuations of corporate capital, which incorporate expectations of future profits.</w:t>
      </w:r>
    </w:p>
    <w:p>
      <w:pPr>
        <w:pStyle w:val="BodyText"/>
        <w:spacing w:before="4"/>
        <w:rPr>
          <w:sz w:val="25"/>
        </w:rPr>
      </w:pPr>
    </w:p>
    <w:p>
      <w:pPr>
        <w:spacing w:before="0"/>
        <w:ind w:left="264" w:right="0" w:firstLine="0"/>
        <w:jc w:val="left"/>
        <w:rPr>
          <w:i/>
          <w:sz w:val="24"/>
        </w:rPr>
      </w:pPr>
      <w:r>
        <w:rPr>
          <w:i/>
          <w:color w:val="009483"/>
          <w:sz w:val="24"/>
        </w:rPr>
        <w:t>Other financial corporations</w:t>
      </w:r>
    </w:p>
    <w:p>
      <w:pPr>
        <w:spacing w:after="0"/>
        <w:jc w:val="left"/>
        <w:rPr>
          <w:sz w:val="24"/>
        </w:rPr>
        <w:sectPr>
          <w:type w:val="continuous"/>
          <w:pgSz w:w="11900" w:h="16840"/>
          <w:pgMar w:top="1220" w:bottom="280" w:left="620" w:right="640"/>
          <w:cols w:num="3" w:equalWidth="0">
            <w:col w:w="1161" w:space="52"/>
            <w:col w:w="2430" w:space="1053"/>
            <w:col w:w="5944"/>
          </w:cols>
        </w:sectPr>
      </w:pPr>
    </w:p>
    <w:p>
      <w:pPr>
        <w:pStyle w:val="BodyText"/>
        <w:spacing w:before="8"/>
        <w:rPr>
          <w:i/>
          <w:sz w:val="14"/>
        </w:rPr>
      </w:pPr>
    </w:p>
    <w:p>
      <w:pPr>
        <w:spacing w:line="120" w:lineRule="exact" w:before="0"/>
        <w:ind w:left="3542" w:right="0" w:firstLine="0"/>
        <w:jc w:val="left"/>
        <w:rPr>
          <w:sz w:val="12"/>
        </w:rPr>
      </w:pPr>
      <w:r>
        <w:rPr/>
        <w:pict>
          <v:line style="position:absolute;mso-position-horizontal-relative:page;mso-position-vertical-relative:paragraph;z-index:15796224" from="48.545002pt,3.080563pt" to="44.212002pt,3.080563pt" stroked="true" strokeweight=".5pt" strokecolor="#000000">
            <v:stroke dashstyle="solid"/>
            <w10:wrap type="none"/>
          </v:line>
        </w:pict>
      </w:r>
      <w:r>
        <w:rPr>
          <w:color w:val="231F20"/>
          <w:sz w:val="12"/>
        </w:rPr>
        <w:t>4</w:t>
      </w:r>
    </w:p>
    <w:p>
      <w:pPr>
        <w:tabs>
          <w:tab w:pos="1279" w:val="left" w:leader="none"/>
          <w:tab w:pos="1849" w:val="left" w:leader="none"/>
          <w:tab w:pos="2417" w:val="left" w:leader="none"/>
          <w:tab w:pos="2917" w:val="left" w:leader="none"/>
        </w:tabs>
        <w:spacing w:line="120" w:lineRule="exact" w:before="0"/>
        <w:ind w:left="640" w:right="0" w:firstLine="0"/>
        <w:jc w:val="left"/>
        <w:rPr>
          <w:sz w:val="12"/>
        </w:rPr>
      </w:pPr>
      <w:r>
        <w:rPr>
          <w:color w:val="231F20"/>
          <w:sz w:val="12"/>
        </w:rPr>
        <w:t>1995</w:t>
        <w:tab/>
        <w:t>96</w:t>
        <w:tab/>
        <w:t>97</w:t>
        <w:tab/>
        <w:t>98</w:t>
        <w:tab/>
        <w:t>99 (a)</w:t>
      </w:r>
    </w:p>
    <w:p>
      <w:pPr>
        <w:pStyle w:val="BodyText"/>
        <w:spacing w:before="10"/>
        <w:rPr>
          <w:sz w:val="9"/>
        </w:rPr>
      </w:pPr>
    </w:p>
    <w:p>
      <w:pPr>
        <w:spacing w:before="1"/>
        <w:ind w:left="190" w:right="0" w:firstLine="0"/>
        <w:jc w:val="left"/>
        <w:rPr>
          <w:sz w:val="12"/>
        </w:rPr>
      </w:pPr>
      <w:r>
        <w:rPr>
          <w:sz w:val="12"/>
        </w:rPr>
        <w:t>(a) 1999 is Q1 to Q3 only.</w:t>
      </w:r>
    </w:p>
    <w:p>
      <w:pPr>
        <w:pStyle w:val="BodyText"/>
        <w:rPr>
          <w:sz w:val="12"/>
        </w:rPr>
      </w:pPr>
    </w:p>
    <w:p>
      <w:pPr>
        <w:pStyle w:val="Heading9"/>
        <w:spacing w:before="104"/>
        <w:ind w:left="177"/>
      </w:pPr>
      <w:r>
        <w:rPr>
          <w:color w:val="0093C1"/>
        </w:rPr>
        <w:t>Chart 1.10</w:t>
      </w:r>
    </w:p>
    <w:p>
      <w:pPr>
        <w:spacing w:before="10"/>
        <w:ind w:left="177" w:right="0" w:firstLine="0"/>
        <w:jc w:val="left"/>
        <w:rPr>
          <w:b/>
          <w:sz w:val="20"/>
        </w:rPr>
      </w:pPr>
      <w:r>
        <w:rPr>
          <w:b/>
          <w:color w:val="0093C1"/>
          <w:sz w:val="20"/>
        </w:rPr>
        <w:t>PNFCs’ capital and income gearing</w:t>
      </w:r>
    </w:p>
    <w:p>
      <w:pPr>
        <w:spacing w:before="114"/>
        <w:ind w:left="3053" w:right="0" w:firstLine="0"/>
        <w:jc w:val="left"/>
        <w:rPr>
          <w:sz w:val="12"/>
        </w:rPr>
      </w:pPr>
      <w:r>
        <w:rPr/>
        <w:pict>
          <v:group style="position:absolute;margin-left:42.880001pt;margin-top:13.391058pt;width:160.050pt;height:131.6pt;mso-position-horizontal-relative:page;mso-position-vertical-relative:paragraph;z-index:-22345728" coordorigin="858,268" coordsize="3201,2632">
            <v:shape style="position:absolute;left:1022;top:1716;width:145;height:293" coordorigin="1023,1717" coordsize="145,293" path="m1023,1717l1060,1754m1060,1754l1095,1872m1095,1872l1133,2009m1133,2009l1168,1932e" filled="false" stroked="true" strokeweight="1pt" strokecolor="#95459a">
              <v:path arrowok="t"/>
              <v:stroke dashstyle="solid"/>
            </v:shape>
            <v:line style="position:absolute" from="1185,1922" to="1185,2292" stroked="true" strokeweight="2.75pt" strokecolor="#95459a">
              <v:stroke dashstyle="solid"/>
            </v:line>
            <v:shape style="position:absolute;left:1202;top:1851;width:480;height:490" coordorigin="1203,1852" coordsize="480,490" path="m1203,2282l1240,2127m1240,2127l1288,2009m1288,2009l1323,1852m1323,1852l1360,1872m1360,1872l1395,1892m1395,1892l1430,2029m1430,2029l1468,2087m1468,2087l1503,2244m1503,2244l1540,2204m1540,2204l1575,2342m1575,2342l1610,2322m1610,2322l1648,2184m1648,2184l1683,2244e" filled="false" stroked="true" strokeweight="1pt" strokecolor="#95459a">
              <v:path arrowok="t"/>
              <v:stroke dashstyle="solid"/>
            </v:shape>
            <v:line style="position:absolute" from="1673,2246" to="1730,2246" stroked="true" strokeweight="1.125pt" strokecolor="#95459a">
              <v:stroke dashstyle="solid"/>
            </v:line>
            <v:shape style="position:absolute;left:1720;top:1931;width:598;height:723" coordorigin="1720,1932" coordsize="598,723" path="m1720,2244l1768,2224m1768,2224l1803,2184m1803,2184l1840,2224m1840,2224l1875,2302m1875,2302l1910,2419m1910,2419l1948,2479m1948,2479l1983,2497m1983,2497l2018,2379m2018,2379l2055,2537m2055,2537l2090,2614m2090,2614l2128,2654m2128,2654l2163,2419m2163,2419l2198,2244m2198,2244l2248,2107m2248,2107l2283,2049m2283,2049l2318,1932e" filled="false" stroked="true" strokeweight="1pt" strokecolor="#95459a">
              <v:path arrowok="t"/>
              <v:stroke dashstyle="solid"/>
            </v:shape>
            <v:line style="position:absolute" from="2308,1933" to="2365,1933" stroked="true" strokeweight="1.125pt" strokecolor="#95459a">
              <v:stroke dashstyle="solid"/>
            </v:line>
            <v:shape style="position:absolute;left:2355;top:1814;width:108;height:118" coordorigin="2355,1814" coordsize="108,118" path="m2355,1932l2390,1892m2390,1892l2428,1814m2428,1814l2463,1852e" filled="false" stroked="true" strokeweight="1pt" strokecolor="#95459a">
              <v:path arrowok="t"/>
              <v:stroke dashstyle="solid"/>
            </v:shape>
            <v:line style="position:absolute" from="2480,1472" to="2480,1862" stroked="true" strokeweight="2.75pt" strokecolor="#95459a">
              <v:stroke dashstyle="solid"/>
            </v:line>
            <v:shape style="position:absolute;left:2497;top:1344;width:338;height:273" coordorigin="2498,1344" coordsize="338,273" path="m2498,1482l2535,1559m2535,1559l2570,1364m2570,1364l2605,1344m2605,1344l2643,1422m2643,1422l2678,1462m2678,1462l2725,1559m2725,1559l2763,1539m2763,1539l2798,1519m2798,1519l2835,1617e" filled="false" stroked="true" strokeweight="1pt" strokecolor="#95459a">
              <v:path arrowok="t"/>
              <v:stroke dashstyle="solid"/>
            </v:shape>
            <v:line style="position:absolute" from="2825,1618" to="2880,1618" stroked="true" strokeweight="1.125pt" strokecolor="#95459a">
              <v:stroke dashstyle="solid"/>
            </v:line>
            <v:shape style="position:absolute;left:2870;top:1616;width:408;height:353" coordorigin="2870,1617" coordsize="408,353" path="m2870,1617l2905,1637m2905,1637l2943,1677m2943,1677l2978,1717m2978,1717l3015,1814m3015,1814l3050,1912m3050,1912l3085,1872m3085,1872l3123,1932m3123,1932l3158,1969m3158,1969l3205,1949m3205,1949l3243,1912m3243,1912l3278,1892e" filled="false" stroked="true" strokeweight="1pt" strokecolor="#95459a">
              <v:path arrowok="t"/>
              <v:stroke dashstyle="solid"/>
            </v:shape>
            <v:shape style="position:absolute;left:3267;top:1893;width:128;height:2" coordorigin="3268,1893" coordsize="128,0" path="m3268,1893l3323,1893m3303,1893l3360,1893m3340,1893l3395,1893e" filled="false" stroked="true" strokeweight="1.125pt" strokecolor="#95459a">
              <v:path arrowok="t"/>
              <v:stroke dashstyle="solid"/>
            </v:shape>
            <v:shape style="position:absolute;left:3385;top:1891;width:515;height:313" coordorigin="3385,1892" coordsize="515,313" path="m3385,1892l3423,1932m3423,1932l3458,1949m3458,1949l3493,1989m3493,1989l3530,2087m3530,2087l3565,2067m3565,2067l3603,2087m3603,2087l3638,2107m3638,2107l3685,2204m3685,2204l3723,2184m3723,2184l3758,2009m3758,2009l3793,2087m3793,2087l3830,2127m3830,2127l3865,2107m3865,2107l3900,2067e" filled="false" stroked="true" strokeweight="1pt" strokecolor="#95459a">
              <v:path arrowok="t"/>
              <v:stroke dashstyle="solid"/>
            </v:shape>
            <v:shape style="position:absolute;left:1022;top:444;width:145;height:410" coordorigin="1023,444" coordsize="145,410" path="m1023,757l1060,854m1060,854l1095,582m1095,582l1133,444m1133,444l1168,622e" filled="false" stroked="true" strokeweight="1pt" strokecolor="#40ad49">
              <v:path arrowok="t"/>
              <v:stroke dashstyle="solid"/>
            </v:shape>
            <v:line style="position:absolute" from="1185,612" to="1185,1042" stroked="true" strokeweight="2.75pt" strokecolor="#40ad49">
              <v:stroke dashstyle="solid"/>
            </v:line>
            <v:shape style="position:absolute;left:1192;top:611;width:320;height:723" type="#_x0000_t75" stroked="false">
              <v:imagedata r:id="rId39" o:title=""/>
            </v:shape>
            <v:line style="position:absolute" from="1521,1177" to="1521,1687" stroked="true" strokeweight="2.875pt" strokecolor="#40ad49">
              <v:stroke dashstyle="solid"/>
            </v:line>
            <v:shape style="position:absolute;left:1540;top:346;width:995;height:1643" coordorigin="1540,347" coordsize="995,1643" path="m1540,1677l1575,1384m1575,1384l1610,1932m1610,1932l1648,1989m1648,1989l1683,1754m1683,1754l1720,1932m1720,1932l1768,1717m1768,1717l1803,1932m1803,1932l1840,1892m1840,1892l1875,1912m1875,1912l1910,1774m1910,1774l1948,1794m1948,1794l1983,1912m1983,1912l2018,1794m2018,1794l2055,1892m2055,1892l2090,1932m2090,1932l2128,1892m2128,1892l2163,1969m2163,1969l2198,1949m2198,1949l2248,1814m2248,1814l2283,1677m2283,1677l2318,1559m2318,1559l2355,1304m2355,1304l2390,1052m2390,1052l2428,874m2428,874l2463,582m2463,582l2498,524m2498,524l2535,347e" filled="false" stroked="true" strokeweight="1pt" strokecolor="#40ad49">
              <v:path arrowok="t"/>
              <v:stroke dashstyle="solid"/>
            </v:shape>
            <v:line style="position:absolute" from="2525,348" to="2580,348" stroked="true" strokeweight="1.125pt" strokecolor="#40ad49">
              <v:stroke dashstyle="solid"/>
            </v:line>
            <v:shape style="position:absolute;left:2570;top:346;width:553;height:1545" coordorigin="2570,347" coordsize="553,1545" path="m2570,347l2605,424m2605,424l2643,524m2643,524l2678,602m2678,602l2725,837m2725,837l2763,874m2763,874l2798,817m2798,817l2835,1069m2835,1069l2870,1012m2870,1012l2905,1187m2905,1187l2943,1502m2943,1502l2978,1657m2978,1657l3015,1754m3015,1754l3050,1794m3050,1794l3085,1852m3085,1852l3123,1892e" filled="false" stroked="true" strokeweight="1pt" strokecolor="#40ad49">
              <v:path arrowok="t"/>
              <v:stroke dashstyle="solid"/>
            </v:shape>
            <v:line style="position:absolute" from="3113,1893" to="3168,1893" stroked="true" strokeweight="1.125pt" strokecolor="#40ad49">
              <v:stroke dashstyle="solid"/>
            </v:line>
            <v:shape style="position:absolute;left:3157;top:1696;width:155;height:253" coordorigin="3158,1697" coordsize="155,253" path="m3158,1892l3205,1949m3205,1949l3243,1852m3243,1852l3278,1697m3278,1697l3313,1774e" filled="false" stroked="true" strokeweight="1pt" strokecolor="#40ad49">
              <v:path arrowok="t"/>
              <v:stroke dashstyle="solid"/>
            </v:shape>
            <v:line style="position:absolute" from="3303,1776" to="3360,1776" stroked="true" strokeweight="1.125pt" strokecolor="#40ad49">
              <v:stroke dashstyle="solid"/>
            </v:line>
            <v:shape style="position:absolute;left:3350;top:1716;width:288;height:293" coordorigin="3350,1717" coordsize="288,293" path="m3350,1774l3385,1912m3385,1912l3423,1989m3423,1989l3458,1969m3458,1969l3493,1989m3493,1989l3530,2009m3530,2009l3565,1912m3565,1912l3603,1892m3603,1892l3638,1717e" filled="false" stroked="true" strokeweight="1pt" strokecolor="#40ad49">
              <v:path arrowok="t"/>
              <v:stroke dashstyle="solid"/>
            </v:shape>
            <v:line style="position:absolute" from="3628,1718" to="3695,1718" stroked="true" strokeweight="1.125pt" strokecolor="#40ad49">
              <v:stroke dashstyle="solid"/>
            </v:line>
            <v:shape style="position:absolute;left:3685;top:1599;width:180;height:195" coordorigin="3685,1599" coordsize="180,195" path="m3685,1717l3723,1697m3723,1697l3758,1617m3758,1617l3793,1599m3793,1599l3830,1774m3830,1774l3865,1794e" filled="false" stroked="true" strokeweight="1pt" strokecolor="#40ad49">
              <v:path arrowok="t"/>
              <v:stroke dashstyle="solid"/>
            </v:shape>
            <v:line style="position:absolute" from="3855,1796" to="3910,1796" stroked="true" strokeweight="1.125pt" strokecolor="#40ad49">
              <v:stroke dashstyle="solid"/>
            </v:line>
            <v:line style="position:absolute" from="1013,2656" to="1070,2656" stroked="true" strokeweight="1.125pt" strokecolor="#df6f1d">
              <v:stroke dashstyle="solid"/>
            </v:line>
            <v:shape style="position:absolute;left:1060;top:2654;width:263;height:235" coordorigin="1060,2654" coordsize="263,235" path="m1060,2654l1095,2694m1095,2694l1133,2772m1133,2772l1168,2712m1168,2712l1203,2889m1203,2889l1240,2869m1240,2869l1288,2772m1288,2772l1323,2654e" filled="false" stroked="true" strokeweight="1pt" strokecolor="#df6f1d">
              <v:path arrowok="t"/>
              <v:stroke dashstyle="solid"/>
            </v:shape>
            <v:line style="position:absolute" from="1313,2656" to="1370,2656" stroked="true" strokeweight="1.125pt" strokecolor="#df6f1d">
              <v:stroke dashstyle="solid"/>
            </v:line>
            <v:shape style="position:absolute;left:1360;top:2594;width:70;height:60" coordorigin="1360,2594" coordsize="70,60" path="m1360,2654l1395,2594m1395,2594l1430,2634e" filled="false" stroked="true" strokeweight="1pt" strokecolor="#df6f1d">
              <v:path arrowok="t"/>
              <v:stroke dashstyle="solid"/>
            </v:shape>
            <v:line style="position:absolute" from="1420,2636" to="1478,2636" stroked="true" strokeweight="1.125pt" strokecolor="#df6f1d">
              <v:stroke dashstyle="solid"/>
            </v:line>
            <v:line style="position:absolute" from="1468,2634" to="1503,2654" stroked="true" strokeweight="1pt" strokecolor="#df6f1d">
              <v:stroke dashstyle="solid"/>
            </v:line>
            <v:line style="position:absolute" from="1493,2656" to="1550,2656" stroked="true" strokeweight="1.125pt" strokecolor="#df6f1d">
              <v:stroke dashstyle="solid"/>
            </v:line>
            <v:shape style="position:absolute;left:1540;top:2654;width:70;height:78" coordorigin="1540,2654" coordsize="70,78" path="m1540,2654l1575,2732m1575,2732l1610,2694e" filled="false" stroked="true" strokeweight="1pt" strokecolor="#df6f1d">
              <v:path arrowok="t"/>
              <v:stroke dashstyle="solid"/>
            </v:shape>
            <v:line style="position:absolute" from="1600,2696" to="1658,2696" stroked="true" strokeweight="1.125pt" strokecolor="#df6f1d">
              <v:stroke dashstyle="solid"/>
            </v:line>
            <v:shape style="position:absolute;left:1647;top:2556;width:155;height:138" coordorigin="1648,2557" coordsize="155,138" path="m1648,2694l1683,2674m1683,2674l1720,2594m1720,2594l1768,2557m1768,2557l1803,2577e" filled="false" stroked="true" strokeweight="1pt" strokecolor="#df6f1d">
              <v:path arrowok="t"/>
              <v:stroke dashstyle="solid"/>
            </v:shape>
            <v:shape style="position:absolute;left:1792;top:2578;width:93;height:2" coordorigin="1793,2578" coordsize="93,0" path="m1793,2578l1850,2578m1830,2578l1885,2578e" filled="false" stroked="true" strokeweight="1.125pt" strokecolor="#df6f1d">
              <v:path arrowok="t"/>
              <v:stroke dashstyle="solid"/>
            </v:shape>
            <v:shape style="position:absolute;left:1875;top:2556;width:180;height:98" coordorigin="1875,2557" coordsize="180,98" path="m1875,2577l1910,2557m1910,2557l1948,2614m1948,2614l1983,2654m1983,2654l2018,2594m2018,2594l2055,2614e" filled="false" stroked="true" strokeweight="1pt" strokecolor="#df6f1d">
              <v:path arrowok="t"/>
              <v:stroke dashstyle="solid"/>
            </v:shape>
            <v:shape style="position:absolute;left:2045;top:2615;width:128;height:2" coordorigin="2045,2616" coordsize="128,0" path="m2045,2616l2100,2616m2080,2616l2138,2616m2118,2616l2173,2616e" filled="false" stroked="true" strokeweight="1.125pt" strokecolor="#df6f1d">
              <v:path arrowok="t"/>
              <v:stroke dashstyle="solid"/>
            </v:shape>
            <v:shape style="position:absolute;left:2162;top:1871;width:300;height:743" coordorigin="2163,1872" coordsize="300,743" path="m2163,2614l2198,2419m2198,2419l2248,2282m2248,2282l2283,2224m2283,2224l2318,2147m2318,2147l2355,2009m2355,2009l2390,1989m2390,1989l2428,1872m2428,1872l2463,1932e" filled="false" stroked="true" strokeweight="1pt" strokecolor="#df6f1d">
              <v:path arrowok="t"/>
              <v:stroke dashstyle="solid"/>
            </v:shape>
            <v:line style="position:absolute" from="2480,1472" to="2480,1942" stroked="true" strokeweight="2.75pt" strokecolor="#df6f1d">
              <v:stroke dashstyle="solid"/>
            </v:line>
            <v:shape style="position:absolute;left:2497;top:1384;width:180;height:215" coordorigin="2498,1384" coordsize="180,215" path="m2498,1482l2535,1539m2535,1539l2570,1599m2570,1599l2605,1539m2605,1539l2643,1384m2643,1384l2678,1442e" filled="false" stroked="true" strokeweight="1pt" strokecolor="#df6f1d">
              <v:path arrowok="t"/>
              <v:stroke dashstyle="solid"/>
            </v:shape>
            <v:line style="position:absolute" from="2668,1443" to="2735,1443" stroked="true" strokeweight="1.125pt" strokecolor="#df6f1d">
              <v:stroke dashstyle="solid"/>
            </v:line>
            <v:shape style="position:absolute;left:2725;top:1421;width:218;height:118" coordorigin="2725,1422" coordsize="218,118" path="m2725,1442l2763,1502m2763,1502l2798,1482m2798,1482l2835,1519m2835,1519l2870,1539m2870,1539l2905,1422m2905,1422l2943,1462e" filled="false" stroked="true" strokeweight="1pt" strokecolor="#df6f1d">
              <v:path arrowok="t"/>
              <v:stroke dashstyle="solid"/>
            </v:shape>
            <v:line style="position:absolute" from="2933,1463" to="2988,1463" stroked="true" strokeweight="1.125pt" strokecolor="#df6f1d">
              <v:stroke dashstyle="solid"/>
            </v:line>
            <v:line style="position:absolute" from="2978,1462" to="3015,1502" stroked="true" strokeweight="1pt" strokecolor="#df6f1d">
              <v:stroke dashstyle="solid"/>
            </v:line>
            <v:line style="position:absolute" from="3005,1503" to="3060,1503" stroked="true" strokeweight="1.125pt" strokecolor="#df6f1d">
              <v:stroke dashstyle="solid"/>
            </v:line>
            <v:shape style="position:absolute;left:3050;top:1501;width:108;height:253" coordorigin="3050,1502" coordsize="108,253" path="m3050,1502l3085,1559m3085,1559l3123,1734m3123,1734l3158,1754e" filled="false" stroked="true" strokeweight="1pt" strokecolor="#df6f1d">
              <v:path arrowok="t"/>
              <v:stroke dashstyle="solid"/>
            </v:shape>
            <v:line style="position:absolute" from="3148,1756" to="3215,1756" stroked="true" strokeweight="1.125pt" strokecolor="#df6f1d">
              <v:stroke dashstyle="solid"/>
            </v:line>
            <v:shape style="position:absolute;left:3205;top:1559;width:145;height:195" coordorigin="3205,1559" coordsize="145,195" path="m3205,1754l3243,1697m3243,1697l3278,1637m3278,1637l3313,1579m3313,1579l3350,1559e" filled="false" stroked="true" strokeweight="1pt" strokecolor="#df6f1d">
              <v:path arrowok="t"/>
              <v:stroke dashstyle="solid"/>
            </v:shape>
            <v:line style="position:absolute" from="3340,1561" to="3395,1561" stroked="true" strokeweight="1.125pt" strokecolor="#df6f1d">
              <v:stroke dashstyle="solid"/>
            </v:line>
            <v:shape style="position:absolute;left:3385;top:1559;width:253;height:138" coordorigin="3385,1559" coordsize="253,138" path="m3385,1559l3423,1579m3423,1579l3458,1599m3458,1599l3493,1657m3493,1657l3530,1697m3530,1697l3565,1657m3565,1657l3603,1559m3603,1559l3638,1617e" filled="false" stroked="true" strokeweight="1pt" strokecolor="#df6f1d">
              <v:path arrowok="t"/>
              <v:stroke dashstyle="solid"/>
            </v:shape>
            <v:line style="position:absolute" from="3628,1618" to="3695,1618" stroked="true" strokeweight="1.125pt" strokecolor="#df6f1d">
              <v:stroke dashstyle="solid"/>
            </v:line>
            <v:shape style="position:absolute;left:3685;top:1481;width:215;height:135" coordorigin="3685,1482" coordsize="215,135" path="m3685,1617l3723,1579m3723,1579l3758,1617m3758,1617l3793,1579m3793,1579l3830,1559m3830,1559l3865,1482m3865,1482l3900,1539e" filled="false" stroked="true" strokeweight="1pt" strokecolor="#df6f1d">
              <v:path arrowok="t"/>
              <v:stroke dashstyle="solid"/>
            </v:shape>
            <v:shape style="position:absolute;left:857;top:272;width:3201;height:2601" coordorigin="858,273" coordsize="3201,2601" path="m944,1379l858,1379m944,1746l858,1746m944,2127l858,2127m944,2500l858,2500m944,2874l858,2874m944,273l858,273m944,639l858,639m944,1020l858,1020m4058,1379l3972,1379m4058,1745l3972,1745m4058,2126l3972,2126m4058,2499l3972,2499m4058,2873l3972,2873m4058,639l3972,639m4058,1019l3972,1019e" filled="false" stroked="true" strokeweight=".5pt" strokecolor="#000000">
              <v:path arrowok="t"/>
              <v:stroke dashstyle="solid"/>
            </v:shape>
            <v:line style="position:absolute" from="3341,946" to="3341,1479" stroked="true" strokeweight=".5pt" strokecolor="#000000">
              <v:stroke dashstyle="solid"/>
            </v:line>
            <v:shape style="position:absolute;left:3315;top:1462;width:51;height:85" coordorigin="3316,1462" coordsize="51,85" path="m3366,1462l3316,1462,3322,1478,3326,1490,3341,1547,3342,1538,3345,1528,3348,1516,3351,1503,3355,1492,3366,1462xe" filled="true" fillcolor="#000000" stroked="false">
              <v:path arrowok="t"/>
              <v:fill type="solid"/>
            </v:shape>
            <v:shape style="position:absolute;left:1365;top:733;width:904;height:244" type="#_x0000_t202" filled="false" stroked="false">
              <v:textbox inset="0,0,0,0">
                <w:txbxContent>
                  <w:p>
                    <w:pPr>
                      <w:spacing w:line="192" w:lineRule="auto" w:before="17"/>
                      <w:ind w:left="28" w:right="18" w:hanging="29"/>
                      <w:jc w:val="left"/>
                      <w:rPr>
                        <w:sz w:val="12"/>
                      </w:rPr>
                    </w:pPr>
                    <w:r>
                      <w:rPr>
                        <w:sz w:val="12"/>
                      </w:rPr>
                      <w:t>Interest payments/ post-tax profits</w:t>
                    </w:r>
                  </w:p>
                </w:txbxContent>
              </v:textbox>
              <w10:wrap type="none"/>
            </v:shape>
            <v:shape style="position:absolute;left:2966;top:562;width:903;height:354" type="#_x0000_t202" filled="false" stroked="false">
              <v:textbox inset="0,0,0,0">
                <w:txbxContent>
                  <w:p>
                    <w:pPr>
                      <w:spacing w:line="192" w:lineRule="auto" w:before="17"/>
                      <w:ind w:left="69" w:right="4" w:hanging="70"/>
                      <w:jc w:val="left"/>
                      <w:rPr>
                        <w:sz w:val="12"/>
                      </w:rPr>
                    </w:pPr>
                    <w:r>
                      <w:rPr>
                        <w:sz w:val="12"/>
                      </w:rPr>
                      <w:t>Net debt/capital stock at replacement cost</w:t>
                    </w:r>
                  </w:p>
                </w:txbxContent>
              </v:textbox>
              <w10:wrap type="none"/>
            </v:shape>
            <v:shape style="position:absolute;left:2788;top:2208;width:1067;height:246" type="#_x0000_t202" filled="false" stroked="false">
              <v:textbox inset="0,0,0,0">
                <w:txbxContent>
                  <w:p>
                    <w:pPr>
                      <w:spacing w:line="196" w:lineRule="auto" w:before="15"/>
                      <w:ind w:left="66" w:right="1" w:hanging="67"/>
                      <w:jc w:val="left"/>
                      <w:rPr>
                        <w:sz w:val="12"/>
                      </w:rPr>
                    </w:pPr>
                    <w:r>
                      <w:rPr>
                        <w:sz w:val="12"/>
                      </w:rPr>
                      <w:t>Net debt/capital stock at market value</w:t>
                    </w:r>
                  </w:p>
                </w:txbxContent>
              </v:textbox>
              <w10:wrap type="none"/>
            </v:shape>
            <w10:wrap type="none"/>
          </v:group>
        </w:pict>
      </w:r>
      <w:r>
        <w:rPr>
          <w:sz w:val="12"/>
        </w:rPr>
        <w:t>Per ce</w:t>
      </w:r>
      <w:r>
        <w:rPr>
          <w:sz w:val="12"/>
          <w:u w:val="single"/>
        </w:rPr>
        <w:t>n</w:t>
      </w:r>
      <w:r>
        <w:rPr>
          <w:sz w:val="12"/>
        </w:rPr>
        <w:t>t</w:t>
      </w:r>
      <w:r>
        <w:rPr>
          <w:spacing w:val="11"/>
          <w:sz w:val="12"/>
        </w:rPr>
        <w:t> </w:t>
      </w:r>
      <w:r>
        <w:rPr>
          <w:position w:val="-7"/>
          <w:sz w:val="12"/>
        </w:rPr>
        <w:t>40</w:t>
      </w:r>
    </w:p>
    <w:p>
      <w:pPr>
        <w:pStyle w:val="BodyText"/>
        <w:spacing w:before="8"/>
        <w:rPr>
          <w:sz w:val="20"/>
        </w:rPr>
      </w:pPr>
    </w:p>
    <w:p>
      <w:pPr>
        <w:spacing w:before="0"/>
        <w:ind w:left="0" w:right="38" w:firstLine="0"/>
        <w:jc w:val="right"/>
        <w:rPr>
          <w:sz w:val="12"/>
        </w:rPr>
      </w:pPr>
      <w:r>
        <w:rPr>
          <w:sz w:val="12"/>
        </w:rPr>
        <w:t>35</w:t>
      </w:r>
    </w:p>
    <w:p>
      <w:pPr>
        <w:pStyle w:val="BodyText"/>
        <w:rPr>
          <w:sz w:val="12"/>
        </w:rPr>
      </w:pPr>
    </w:p>
    <w:p>
      <w:pPr>
        <w:spacing w:before="94"/>
        <w:ind w:left="0" w:right="38" w:firstLine="0"/>
        <w:jc w:val="right"/>
        <w:rPr>
          <w:sz w:val="12"/>
        </w:rPr>
      </w:pPr>
      <w:r>
        <w:rPr>
          <w:sz w:val="12"/>
        </w:rPr>
        <w:t>30</w:t>
      </w:r>
    </w:p>
    <w:p>
      <w:pPr>
        <w:pStyle w:val="BodyText"/>
        <w:rPr>
          <w:sz w:val="12"/>
        </w:rPr>
      </w:pPr>
    </w:p>
    <w:p>
      <w:pPr>
        <w:spacing w:before="97"/>
        <w:ind w:left="0" w:right="38" w:firstLine="0"/>
        <w:jc w:val="right"/>
        <w:rPr>
          <w:sz w:val="12"/>
        </w:rPr>
      </w:pPr>
      <w:r>
        <w:rPr>
          <w:sz w:val="12"/>
        </w:rPr>
        <w:t>25</w:t>
      </w:r>
    </w:p>
    <w:p>
      <w:pPr>
        <w:pStyle w:val="Heading6"/>
        <w:spacing w:line="242" w:lineRule="auto" w:before="124"/>
        <w:ind w:left="177" w:right="435"/>
      </w:pPr>
      <w:r>
        <w:rPr/>
        <w:br w:type="column"/>
      </w:r>
      <w:r>
        <w:rPr/>
        <w:t>Sterling deposits held by OFCs at UK banks and building societies have continued to contract (see Chart 1.3). In the year to 1999 Q4, the M4 deposits of OFCs fell by 6.3% to levels last seen in 1998 Q2.</w:t>
      </w:r>
    </w:p>
    <w:p>
      <w:pPr>
        <w:spacing w:line="242" w:lineRule="auto" w:before="5"/>
        <w:ind w:left="177" w:right="181" w:firstLine="0"/>
        <w:jc w:val="left"/>
        <w:rPr>
          <w:sz w:val="24"/>
        </w:rPr>
      </w:pPr>
      <w:r>
        <w:rPr>
          <w:sz w:val="24"/>
        </w:rPr>
        <w:t>However, shorter-term comparisons suggest some easing in rates of decline. In contrast to the weakness in deposit growth, sterling lending to OFCs by M4 institutions rose by 11.6% in the year to 1999 Q4, although growth has been particularly volatile in recent quarters (see</w:t>
      </w:r>
    </w:p>
    <w:p>
      <w:pPr>
        <w:spacing w:before="6"/>
        <w:ind w:left="177" w:right="0" w:firstLine="0"/>
        <w:jc w:val="left"/>
        <w:rPr>
          <w:sz w:val="24"/>
        </w:rPr>
      </w:pPr>
      <w:r>
        <w:rPr>
          <w:sz w:val="24"/>
        </w:rPr>
        <w:t>Table 1.B).</w:t>
      </w:r>
    </w:p>
    <w:p>
      <w:pPr>
        <w:spacing w:after="0"/>
        <w:jc w:val="left"/>
        <w:rPr>
          <w:sz w:val="24"/>
        </w:rPr>
        <w:sectPr>
          <w:type w:val="continuous"/>
          <w:pgSz w:w="11900" w:h="16840"/>
          <w:pgMar w:top="1220" w:bottom="280" w:left="620" w:right="640"/>
          <w:cols w:num="2" w:equalWidth="0">
            <w:col w:w="3646" w:space="1137"/>
            <w:col w:w="5857"/>
          </w:cols>
        </w:sectPr>
      </w:pPr>
    </w:p>
    <w:p>
      <w:pPr>
        <w:pStyle w:val="BodyText"/>
        <w:spacing w:before="10"/>
        <w:rPr>
          <w:sz w:val="11"/>
        </w:rPr>
      </w:pPr>
    </w:p>
    <w:p>
      <w:pPr>
        <w:spacing w:before="0"/>
        <w:ind w:left="0" w:right="38" w:firstLine="0"/>
        <w:jc w:val="right"/>
        <w:rPr>
          <w:sz w:val="12"/>
        </w:rPr>
      </w:pPr>
      <w:r>
        <w:rPr>
          <w:sz w:val="12"/>
        </w:rPr>
        <w:t>20</w:t>
      </w:r>
    </w:p>
    <w:p>
      <w:pPr>
        <w:pStyle w:val="BodyText"/>
        <w:rPr>
          <w:sz w:val="12"/>
        </w:rPr>
      </w:pPr>
    </w:p>
    <w:p>
      <w:pPr>
        <w:spacing w:before="97"/>
        <w:ind w:left="0" w:right="38" w:firstLine="0"/>
        <w:jc w:val="right"/>
        <w:rPr>
          <w:sz w:val="12"/>
        </w:rPr>
      </w:pPr>
      <w:r>
        <w:rPr>
          <w:sz w:val="12"/>
        </w:rPr>
        <w:t>15</w:t>
      </w:r>
    </w:p>
    <w:p>
      <w:pPr>
        <w:pStyle w:val="BodyText"/>
        <w:rPr>
          <w:sz w:val="12"/>
        </w:rPr>
      </w:pPr>
    </w:p>
    <w:p>
      <w:pPr>
        <w:spacing w:before="96"/>
        <w:ind w:left="0" w:right="38" w:firstLine="0"/>
        <w:jc w:val="right"/>
        <w:rPr>
          <w:sz w:val="12"/>
        </w:rPr>
      </w:pPr>
      <w:r>
        <w:rPr>
          <w:sz w:val="12"/>
        </w:rPr>
        <w:t>10</w:t>
      </w:r>
    </w:p>
    <w:p>
      <w:pPr>
        <w:pStyle w:val="BodyText"/>
        <w:rPr>
          <w:sz w:val="12"/>
        </w:rPr>
      </w:pPr>
    </w:p>
    <w:p>
      <w:pPr>
        <w:spacing w:before="95"/>
        <w:ind w:left="0" w:right="38" w:firstLine="0"/>
        <w:jc w:val="right"/>
        <w:rPr>
          <w:sz w:val="12"/>
        </w:rPr>
      </w:pPr>
      <w:r>
        <w:rPr>
          <w:sz w:val="12"/>
        </w:rPr>
        <w:t>5</w:t>
      </w:r>
    </w:p>
    <w:p>
      <w:pPr>
        <w:pStyle w:val="BodyText"/>
        <w:rPr>
          <w:sz w:val="12"/>
        </w:rPr>
      </w:pPr>
    </w:p>
    <w:p>
      <w:pPr>
        <w:tabs>
          <w:tab w:pos="3545" w:val="left" w:leader="none"/>
        </w:tabs>
        <w:spacing w:before="94"/>
        <w:ind w:left="284" w:right="0" w:firstLine="0"/>
        <w:jc w:val="left"/>
        <w:rPr>
          <w:sz w:val="12"/>
        </w:rPr>
      </w:pPr>
      <w:r>
        <w:rPr/>
        <w:pict>
          <v:group style="position:absolute;margin-left:42.880001pt;margin-top:5.53659pt;width:151.85pt;height:2.7pt;mso-position-horizontal-relative:page;mso-position-vertical-relative:paragraph;z-index:-22345216" coordorigin="858,111" coordsize="3037,54">
            <v:shape style="position:absolute;left:857;top:110;width:610;height:54" coordorigin="858,111" coordsize="610,54" path="m944,159l858,159m1018,111l1018,164m1161,111l1161,164m1308,111l1308,164m1468,111l1468,164e" filled="false" stroked="true" strokeweight=".5pt" strokecolor="#000000">
              <v:path arrowok="t"/>
              <v:stroke dashstyle="solid"/>
            </v:shape>
            <v:line style="position:absolute" from="1018,159" to="3894,159" stroked="true" strokeweight=".5pt" strokecolor="#000000">
              <v:stroke dashstyle="solid"/>
            </v:line>
            <v:shape style="position:absolute;left:1610;top:110;width:2220;height:54" coordorigin="1610,111" coordsize="2220,54" path="m1610,111l1610,164m1763,111l1763,164m1920,111l1920,164m2059,111l2059,164m2194,111l2194,164m2337,111l2337,164m2483,111l2483,164m2643,111l2643,164m2801,111l2801,164m2943,111l2943,164m3090,111l3090,164m3229,111l3229,164m3381,111l3381,164m3523,111l3523,164m3688,111l3688,164m3830,111l3830,164e" filled="false" stroked="true" strokeweight=".5pt" strokecolor="#000000">
              <v:path arrowok="t"/>
              <v:stroke dashstyle="solid"/>
            </v:shape>
            <w10:wrap type="none"/>
          </v:group>
        </w:pict>
      </w:r>
      <w:r>
        <w:rPr/>
        <w:pict>
          <v:line style="position:absolute;mso-position-horizontal-relative:page;mso-position-vertical-relative:paragraph;z-index:-22344704" from="202.921997pt,7.93259pt" to="198.587997pt,7.93259pt" stroked="true" strokeweight=".5pt" strokecolor="#000000">
            <v:stroke dashstyle="solid"/>
            <w10:wrap type="none"/>
          </v:line>
        </w:pict>
      </w:r>
      <w:r>
        <w:rPr>
          <w:sz w:val="12"/>
        </w:rPr>
        <w:t>1980    82      84      86      88      90      92      94   </w:t>
      </w:r>
      <w:r>
        <w:rPr>
          <w:spacing w:val="18"/>
          <w:sz w:val="12"/>
        </w:rPr>
        <w:t> </w:t>
      </w:r>
      <w:r>
        <w:rPr>
          <w:sz w:val="12"/>
        </w:rPr>
        <w:t>96    </w:t>
      </w:r>
      <w:r>
        <w:rPr>
          <w:spacing w:val="30"/>
          <w:sz w:val="12"/>
        </w:rPr>
        <w:t> </w:t>
      </w:r>
      <w:r>
        <w:rPr>
          <w:sz w:val="12"/>
        </w:rPr>
        <w:t>98</w:t>
        <w:tab/>
      </w:r>
      <w:r>
        <w:rPr>
          <w:position w:val="8"/>
          <w:sz w:val="12"/>
        </w:rPr>
        <w:t>0</w:t>
      </w:r>
    </w:p>
    <w:p>
      <w:pPr>
        <w:pStyle w:val="BodyText"/>
        <w:spacing w:before="11"/>
        <w:rPr>
          <w:sz w:val="24"/>
        </w:rPr>
      </w:pPr>
      <w:r>
        <w:rPr/>
        <w:br w:type="column"/>
      </w:r>
      <w:r>
        <w:rPr>
          <w:sz w:val="24"/>
        </w:rPr>
      </w:r>
    </w:p>
    <w:p>
      <w:pPr>
        <w:pStyle w:val="Heading3"/>
        <w:tabs>
          <w:tab w:pos="2024" w:val="left" w:leader="none"/>
          <w:tab w:pos="5809" w:val="left" w:leader="none"/>
        </w:tabs>
        <w:ind w:left="284"/>
      </w:pPr>
      <w:r>
        <w:rPr>
          <w:color w:val="009483"/>
          <w:u w:val="thick" w:color="0093C1"/>
        </w:rPr>
        <w:t>1.2</w:t>
        <w:tab/>
        <w:t>Interest rates and asset</w:t>
      </w:r>
      <w:r>
        <w:rPr>
          <w:color w:val="009483"/>
          <w:spacing w:val="-6"/>
          <w:u w:val="thick" w:color="0093C1"/>
        </w:rPr>
        <w:t> </w:t>
      </w:r>
      <w:r>
        <w:rPr>
          <w:color w:val="009483"/>
          <w:u w:val="thick" w:color="0093C1"/>
        </w:rPr>
        <w:t>prices</w:t>
        <w:tab/>
      </w:r>
    </w:p>
    <w:p>
      <w:pPr>
        <w:spacing w:before="260"/>
        <w:ind w:left="284" w:right="0" w:firstLine="0"/>
        <w:jc w:val="left"/>
        <w:rPr>
          <w:i/>
          <w:sz w:val="24"/>
        </w:rPr>
      </w:pPr>
      <w:r>
        <w:rPr>
          <w:i/>
          <w:color w:val="009483"/>
          <w:sz w:val="24"/>
        </w:rPr>
        <w:t>Short-term interest rates</w:t>
      </w:r>
    </w:p>
    <w:p>
      <w:pPr>
        <w:spacing w:before="124"/>
        <w:ind w:left="284" w:right="0" w:firstLine="0"/>
        <w:jc w:val="left"/>
        <w:rPr>
          <w:sz w:val="24"/>
        </w:rPr>
      </w:pPr>
      <w:r>
        <w:rPr>
          <w:sz w:val="24"/>
        </w:rPr>
        <w:t>The MPC voted to raise the Bank’s official repo rate by</w:t>
      </w:r>
    </w:p>
    <w:p>
      <w:pPr>
        <w:spacing w:before="4"/>
        <w:ind w:left="284" w:right="0" w:firstLine="0"/>
        <w:jc w:val="left"/>
        <w:rPr>
          <w:sz w:val="24"/>
        </w:rPr>
      </w:pPr>
      <w:r>
        <w:rPr>
          <w:sz w:val="24"/>
        </w:rPr>
        <w:t>0.25 percentage points on 13 January. At its meeting on</w:t>
      </w:r>
    </w:p>
    <w:p>
      <w:pPr>
        <w:spacing w:after="0"/>
        <w:jc w:val="left"/>
        <w:rPr>
          <w:sz w:val="24"/>
        </w:rPr>
        <w:sectPr>
          <w:type w:val="continuous"/>
          <w:pgSz w:w="11900" w:h="16840"/>
          <w:pgMar w:top="1220" w:bottom="280" w:left="620" w:right="640"/>
          <w:cols w:num="2" w:equalWidth="0">
            <w:col w:w="3646" w:space="1030"/>
            <w:col w:w="5964"/>
          </w:cols>
        </w:sectPr>
      </w:pPr>
    </w:p>
    <w:p>
      <w:pPr>
        <w:tabs>
          <w:tab w:pos="4949" w:val="left" w:leader="none"/>
          <w:tab w:pos="10489" w:val="left" w:leader="none"/>
        </w:tabs>
        <w:spacing w:line="124" w:lineRule="exact" w:before="94"/>
        <w:ind w:left="177" w:right="0" w:firstLine="0"/>
        <w:jc w:val="left"/>
        <w:rPr>
          <w:sz w:val="12"/>
        </w:rPr>
      </w:pPr>
      <w:r>
        <w:rPr>
          <w:sz w:val="12"/>
        </w:rPr>
        <w:t>Sources:  ONS and Bank of England.</w:t>
        <w:tab/>
      </w:r>
      <w:r>
        <w:rPr>
          <w:sz w:val="12"/>
          <w:u w:val="single"/>
        </w:rPr>
        <w:t> </w:t>
        <w:tab/>
      </w:r>
    </w:p>
    <w:p>
      <w:pPr>
        <w:spacing w:line="208" w:lineRule="auto" w:before="5"/>
        <w:ind w:left="5230" w:right="804" w:hanging="240"/>
        <w:jc w:val="left"/>
        <w:rPr>
          <w:sz w:val="16"/>
        </w:rPr>
      </w:pPr>
      <w:hyperlink r:id="rId15">
        <w:r>
          <w:rPr>
            <w:sz w:val="16"/>
          </w:rPr>
          <w:t>(1) Recent trends in sterling bond issuance are discussed in ‘Sterling wholesale markets: developments in 1999’, </w:t>
        </w:r>
        <w:r>
          <w:rPr>
            <w:i/>
            <w:sz w:val="16"/>
          </w:rPr>
          <w:t>Bank of England Quarterly </w:t>
        </w:r>
        <w:r>
          <w:rPr>
            <w:i/>
            <w:sz w:val="16"/>
          </w:rPr>
          <w:t>Bulletin</w:t>
        </w:r>
        <w:r>
          <w:rPr>
            <w:sz w:val="16"/>
          </w:rPr>
          <w:t>, February 2000, pages 38–49.</w:t>
        </w:r>
      </w:hyperlink>
    </w:p>
    <w:p>
      <w:pPr>
        <w:spacing w:after="0" w:line="208" w:lineRule="auto"/>
        <w:jc w:val="left"/>
        <w:rPr>
          <w:sz w:val="16"/>
        </w:rPr>
        <w:sectPr>
          <w:type w:val="continuous"/>
          <w:pgSz w:w="11900" w:h="16840"/>
          <w:pgMar w:top="1220" w:bottom="280" w:left="620" w:right="640"/>
        </w:sectPr>
      </w:pPr>
    </w:p>
    <w:p>
      <w:pPr>
        <w:pStyle w:val="BodyText"/>
        <w:rPr>
          <w:sz w:val="20"/>
        </w:rPr>
      </w:pPr>
    </w:p>
    <w:p>
      <w:pPr>
        <w:spacing w:after="0"/>
        <w:rPr>
          <w:sz w:val="20"/>
        </w:rPr>
        <w:sectPr>
          <w:pgSz w:w="11900" w:h="16840"/>
          <w:pgMar w:header="584" w:footer="597" w:top="780" w:bottom="780" w:left="620" w:right="640"/>
        </w:sectPr>
      </w:pPr>
    </w:p>
    <w:p>
      <w:pPr>
        <w:pStyle w:val="BodyText"/>
        <w:spacing w:before="6"/>
        <w:rPr>
          <w:sz w:val="20"/>
        </w:rPr>
      </w:pPr>
    </w:p>
    <w:p>
      <w:pPr>
        <w:pStyle w:val="Heading9"/>
        <w:spacing w:before="0"/>
      </w:pPr>
      <w:r>
        <w:rPr>
          <w:color w:val="0093C1"/>
        </w:rPr>
        <w:t>Chart 1.11</w:t>
      </w:r>
    </w:p>
    <w:p>
      <w:pPr>
        <w:spacing w:before="10"/>
        <w:ind w:left="190" w:right="0" w:firstLine="0"/>
        <w:jc w:val="left"/>
        <w:rPr>
          <w:b/>
          <w:sz w:val="20"/>
        </w:rPr>
      </w:pPr>
      <w:r>
        <w:rPr>
          <w:b/>
          <w:color w:val="0093C1"/>
          <w:sz w:val="20"/>
        </w:rPr>
        <w:t>Two-week forward rates</w:t>
      </w:r>
    </w:p>
    <w:p>
      <w:pPr>
        <w:pStyle w:val="BodyText"/>
        <w:spacing w:before="8" w:after="39"/>
        <w:rPr>
          <w:b/>
          <w:sz w:val="21"/>
        </w:rPr>
      </w:pPr>
    </w:p>
    <w:p>
      <w:pPr>
        <w:pStyle w:val="BodyText"/>
        <w:spacing w:line="20" w:lineRule="exact"/>
        <w:ind w:left="265"/>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b/>
          <w:sz w:val="20"/>
        </w:rPr>
      </w:pPr>
      <w:r>
        <w:rPr/>
        <w:br w:type="column"/>
      </w:r>
      <w:r>
        <w:rPr>
          <w:b/>
          <w:sz w:val="20"/>
        </w:rPr>
      </w:r>
    </w:p>
    <w:p>
      <w:pPr>
        <w:pStyle w:val="BodyText"/>
        <w:rPr>
          <w:b/>
          <w:sz w:val="20"/>
        </w:rPr>
      </w:pPr>
    </w:p>
    <w:p>
      <w:pPr>
        <w:pStyle w:val="BodyText"/>
        <w:rPr>
          <w:b/>
          <w:sz w:val="20"/>
        </w:rPr>
      </w:pPr>
    </w:p>
    <w:p>
      <w:pPr>
        <w:spacing w:before="155"/>
        <w:ind w:left="190" w:right="0" w:firstLine="0"/>
        <w:jc w:val="left"/>
        <w:rPr>
          <w:sz w:val="12"/>
        </w:rPr>
      </w:pPr>
      <w:r>
        <w:rPr>
          <w:sz w:val="12"/>
        </w:rPr>
        <w:t>Per ce</w:t>
      </w:r>
      <w:r>
        <w:rPr>
          <w:sz w:val="12"/>
          <w:u w:val="single"/>
        </w:rPr>
        <w:t>n</w:t>
      </w:r>
      <w:r>
        <w:rPr>
          <w:sz w:val="12"/>
        </w:rPr>
        <w:t>t</w:t>
      </w:r>
      <w:r>
        <w:rPr>
          <w:spacing w:val="23"/>
          <w:sz w:val="12"/>
        </w:rPr>
        <w:t> </w:t>
      </w:r>
      <w:r>
        <w:rPr>
          <w:position w:val="-7"/>
          <w:sz w:val="12"/>
        </w:rPr>
        <w:t>6.8</w:t>
      </w:r>
    </w:p>
    <w:p>
      <w:pPr>
        <w:spacing w:before="116"/>
        <w:ind w:left="0" w:right="40" w:firstLine="0"/>
        <w:jc w:val="right"/>
        <w:rPr>
          <w:sz w:val="12"/>
        </w:rPr>
      </w:pPr>
      <w:r>
        <w:rPr/>
        <w:pict>
          <v:group style="position:absolute;margin-left:44.5pt;margin-top:9.86745pt;width:159.2pt;height:121.45pt;mso-position-horizontal-relative:page;mso-position-vertical-relative:paragraph;z-index:15803904" coordorigin="890,197" coordsize="3184,2429">
            <v:line style="position:absolute" from="1039,2575" to="1039,2623" stroked="true" strokeweight="1.125pt" strokecolor="#40ad49">
              <v:stroke dashstyle="solid"/>
            </v:line>
            <v:shape style="position:absolute;left:1037;top:2540;width:15;height:45" coordorigin="1038,2540" coordsize="15,45" path="m1038,2585l1050,2540m1050,2540l1053,2553e" filled="false" stroked="true" strokeweight="1pt" strokecolor="#40ad49">
              <v:path arrowok="t"/>
              <v:stroke dashstyle="solid"/>
            </v:shape>
            <v:line style="position:absolute" from="1051,2543" to="1051,2595" stroked="true" strokeweight="1.125pt" strokecolor="#40ad49">
              <v:stroke dashstyle="solid"/>
            </v:line>
            <v:line style="position:absolute" from="1050,2585" to="1053,2588" stroked="true" strokeweight="1pt" strokecolor="#40ad49">
              <v:stroke dashstyle="solid"/>
            </v:line>
            <v:line style="position:absolute" from="1051,2515" to="1051,2595" stroked="true" strokeweight="1.125pt" strokecolor="#40ad49">
              <v:stroke dashstyle="solid"/>
            </v:line>
            <v:line style="position:absolute" from="1050,2525" to="1063,2450" stroked="true" strokeweight="1pt" strokecolor="#40ad49">
              <v:stroke dashstyle="solid"/>
            </v:line>
            <v:shape style="position:absolute;left:1063;top:2440;width:2;height:138" coordorigin="1064,2440" coordsize="0,138" path="m1064,2440l1064,2535m1064,2483l1064,2535m1064,2483l1064,2578e" filled="false" stroked="true" strokeweight="1.125pt" strokecolor="#40ad49">
              <v:path arrowok="t"/>
              <v:stroke dashstyle="solid"/>
            </v:shape>
            <v:line style="position:absolute" from="1069,2440" to="1069,2578" stroked="true" strokeweight="1.625pt" strokecolor="#40ad49">
              <v:stroke dashstyle="solid"/>
            </v:line>
            <v:line style="position:absolute" from="1076,2353" to="1076,2460" stroked="true" strokeweight="1.125pt" strokecolor="#40ad49">
              <v:stroke dashstyle="solid"/>
            </v:line>
            <v:line style="position:absolute" from="1075,2363" to="1078,2348" stroked="true" strokeweight="1pt" strokecolor="#40ad49">
              <v:stroke dashstyle="solid"/>
            </v:line>
            <v:rect style="position:absolute;left:1065;top:2337;width:23;height:48" filled="true" fillcolor="#40ad49" stroked="false">
              <v:fill type="solid"/>
            </v:rect>
            <v:shape style="position:absolute;left:1075;top:2375;width:13;height:30" coordorigin="1075,2375" coordsize="13,30" path="m1075,2375l1085,2405m1085,2405l1088,2390e" filled="false" stroked="true" strokeweight="1pt" strokecolor="#40ad49">
              <v:path arrowok="t"/>
              <v:stroke dashstyle="solid"/>
            </v:shape>
            <v:rect style="position:absolute;left:1075;top:2320;width:23;height:80" filled="true" fillcolor="#40ad49" stroked="false">
              <v:fill type="solid"/>
            </v:rect>
            <v:line style="position:absolute" from="1085,2330" to="1098,2390" stroked="true" strokeweight="1pt" strokecolor="#40ad49">
              <v:stroke dashstyle="solid"/>
            </v:line>
            <v:shape style="position:absolute;left:1087;top:2320;width:23;height:80" coordorigin="1088,2320" coordsize="23,80" path="m1110,2320l1088,2320,1088,2353,1088,2373,1088,2400,1110,2400,1110,2373,1110,2353,1110,2320xe" filled="true" fillcolor="#40ad49" stroked="false">
              <v:path arrowok="t"/>
              <v:fill type="solid"/>
            </v:shape>
            <v:line style="position:absolute" from="1099,2293" to="1099,2340" stroked="true" strokeweight="1.125pt" strokecolor="#40ad49">
              <v:stroke dashstyle="solid"/>
            </v:line>
            <v:line style="position:absolute" from="1098,2303" to="1110,2390" stroked="true" strokeweight="1pt" strokecolor="#40ad49">
              <v:stroke dashstyle="solid"/>
            </v:line>
            <v:rect style="position:absolute;left:1100;top:2380;width:23;height:53" filled="true" fillcolor="#40ad49" stroked="false">
              <v:fill type="solid"/>
            </v:rect>
            <v:line style="position:absolute" from="1110,2423" to="1113,2425" stroked="true" strokeweight="1pt" strokecolor="#40ad49">
              <v:stroke dashstyle="solid"/>
            </v:line>
            <v:rect style="position:absolute;left:1100;top:2380;width:23;height:53" filled="true" fillcolor="#40ad49" stroked="false">
              <v:fill type="solid"/>
            </v:rect>
            <v:shape style="position:absolute;left:1110;top:2390;width:13;height:90" coordorigin="1110,2390" coordsize="13,90" path="m1110,2390l1113,2393m1110,2390l1123,2480e" filled="false" stroked="true" strokeweight="1pt" strokecolor="#40ad49">
              <v:path arrowok="t"/>
              <v:stroke dashstyle="solid"/>
            </v:shape>
            <v:shape style="position:absolute;left:1123;top:2412;width:2;height:78" coordorigin="1124,2413" coordsize="0,78" path="m1124,2413l1124,2490m1124,2413l1124,2460e" filled="false" stroked="true" strokeweight="1.125pt" strokecolor="#40ad49">
              <v:path arrowok="t"/>
              <v:stroke dashstyle="solid"/>
            </v:shape>
            <v:shape style="position:absolute;left:1122;top:2450;width:23;height:138" coordorigin="1123,2450" coordsize="23,138" path="m1123,2450l1135,2493m1135,2480l1135,2585m1135,2585l1145,2588e" filled="false" stroked="true" strokeweight="1pt" strokecolor="#40ad49">
              <v:path arrowok="t"/>
              <v:stroke dashstyle="solid"/>
            </v:shape>
            <v:rect style="position:absolute;left:1135;top:2530;width:23;height:65" filled="true" fillcolor="#40ad49" stroked="false">
              <v:fill type="solid"/>
            </v:rect>
            <v:line style="position:absolute" from="1145,2585" to="1158,2588" stroked="true" strokeweight="1pt" strokecolor="#40ad49">
              <v:stroke dashstyle="solid"/>
            </v:line>
            <v:shape style="position:absolute;left:1147;top:2542;width:23;height:80" coordorigin="1148,2543" coordsize="23,80" path="m1170,2543l1148,2543,1148,2595,1148,2623,1170,2623,1170,2595,1170,2543xe" filled="true" fillcolor="#40ad49" stroked="false">
              <v:path arrowok="t"/>
              <v:fill type="solid"/>
            </v:shape>
            <v:line style="position:absolute" from="1158,2613" to="1160,2615" stroked="true" strokeweight="1pt" strokecolor="#40ad49">
              <v:stroke dashstyle="solid"/>
            </v:line>
            <v:rect style="position:absolute;left:1147;top:2542;width:23;height:80" filled="true" fillcolor="#40ad49" stroked="false">
              <v:fill type="solid"/>
            </v:rect>
            <v:shape style="position:absolute;left:1157;top:2510;width:15;height:43" coordorigin="1158,2510" coordsize="15,43" path="m1158,2553l1170,2525m1170,2525l1173,2510e" filled="false" stroked="true" strokeweight="1pt" strokecolor="#40ad49">
              <v:path arrowok="t"/>
              <v:stroke dashstyle="solid"/>
            </v:shape>
            <v:line style="position:absolute" from="1171,2500" to="1171,2550" stroked="true" strokeweight="1.125pt" strokecolor="#40ad49">
              <v:stroke dashstyle="solid"/>
            </v:line>
            <v:line style="position:absolute" from="1170,2540" to="1183,2480" stroked="true" strokeweight="1pt" strokecolor="#40ad49">
              <v:stroke dashstyle="solid"/>
            </v:line>
            <v:rect style="position:absolute;left:1172;top:2440;width:23;height:50" filled="true" fillcolor="#40ad49" stroked="false">
              <v:fill type="solid"/>
            </v:rect>
            <v:line style="position:absolute" from="1184,2413" to="1184,2490" stroked="true" strokeweight="1.125pt" strokecolor="#40ad49">
              <v:stroke dashstyle="solid"/>
            </v:line>
            <v:line style="position:absolute" from="1189,2233" to="1189,2433" stroked="true" strokeweight="1.625pt" strokecolor="#40ad49">
              <v:stroke dashstyle="solid"/>
            </v:line>
            <v:shape style="position:absolute;left:1185;top:2244;width:20;height:2" coordorigin="1185,2244" coordsize="20,0" path="m1185,2244l1205,2244m1185,2244l1205,2244e" filled="false" stroked="true" strokeweight=".125pt" strokecolor="#40ad49">
              <v:path arrowok="t"/>
              <v:stroke dashstyle="solid"/>
            </v:shape>
            <v:line style="position:absolute" from="1195,2243" to="1205,2258" stroked="true" strokeweight="1pt" strokecolor="#40ad49">
              <v:stroke dashstyle="solid"/>
            </v:line>
            <v:shape style="position:absolute;left:1206;top:2232;width:2;height:108" coordorigin="1206,2233" coordsize="0,108" path="m1206,2248l1206,2298m1206,2278l1206,2340m1206,2233l1206,2340e" filled="false" stroked="true" strokeweight="1.125pt" strokecolor="#40ad49">
              <v:path arrowok="t"/>
              <v:stroke dashstyle="solid"/>
            </v:shape>
            <v:shape style="position:absolute;left:1205;top:2137;width:15;height:105" coordorigin="1205,2138" coordsize="15,105" path="m1205,2243l1218,2153m1218,2153l1220,2138e" filled="false" stroked="true" strokeweight="1pt" strokecolor="#40ad49">
              <v:path arrowok="t"/>
              <v:stroke dashstyle="solid"/>
            </v:shape>
            <v:shape style="position:absolute;left:1218;top:2052;width:2;height:95" coordorigin="1219,2053" coordsize="0,95" path="m1219,2100l1219,2148m1219,2053l1219,2120e" filled="false" stroked="true" strokeweight="1.125pt" strokecolor="#40ad49">
              <v:path arrowok="t"/>
              <v:stroke dashstyle="solid"/>
            </v:shape>
            <v:shape style="position:absolute;left:1217;top:1840;width:35;height:225" coordorigin="1218,1840" coordsize="35,225" path="m1218,2063l1220,2065m1218,2063l1230,2003m1230,2003l1233,2020m1230,2020l1233,2003m1230,2003l1243,2008m1243,1873l1243,2003m1243,1873l1253,1840e" filled="false" stroked="true" strokeweight="1pt" strokecolor="#40ad49">
              <v:path arrowok="t"/>
              <v:stroke dashstyle="solid"/>
            </v:shape>
            <v:line style="position:absolute" from="1254,1830" to="1254,2013" stroked="true" strokeweight="1.125pt" strokecolor="#40ad49">
              <v:stroke dashstyle="solid"/>
            </v:line>
            <v:shape style="position:absolute;left:1252;top:2002;width:13;height:5" coordorigin="1253,2003" coordsize="13,5" path="m1253,2003l1255,2008m1253,2003l1265,2008e" filled="false" stroked="true" strokeweight="1pt" strokecolor="#40ad49">
              <v:path arrowok="t"/>
              <v:stroke dashstyle="solid"/>
            </v:shape>
            <v:shape style="position:absolute;left:1266;top:1992;width:2;height:185" coordorigin="1266,1993" coordsize="0,185" path="m1266,1993l1266,2045m1266,2025l1266,2120m1266,2100l1266,2178m1266,2025l1266,2178e" filled="false" stroked="true" strokeweight="1.125pt" strokecolor="#40ad49">
              <v:path arrowok="t"/>
              <v:stroke dashstyle="solid"/>
            </v:shape>
            <v:line style="position:absolute" from="1265,2035" to="1278,2095" stroked="true" strokeweight="1pt" strokecolor="#40ad49">
              <v:stroke dashstyle="solid"/>
            </v:line>
            <v:shape style="position:absolute;left:1278;top:2085;width:2;height:153" coordorigin="1279,2085" coordsize="0,153" path="m1279,2085l1279,2135m1279,2115l1279,2163m1279,2143l1279,2238e" filled="false" stroked="true" strokeweight="1.125pt" strokecolor="#40ad49">
              <v:path arrowok="t"/>
              <v:stroke dashstyle="solid"/>
            </v:shape>
            <v:line style="position:absolute" from="1278,2228" to="1290,2230" stroked="true" strokeweight="1pt" strokecolor="#40ad49">
              <v:stroke dashstyle="solid"/>
            </v:line>
            <v:line style="position:absolute" from="1291,2068" to="1291,2238" stroked="true" strokeweight="1.125pt" strokecolor="#40ad49">
              <v:stroke dashstyle="solid"/>
            </v:line>
            <v:shape style="position:absolute;left:1290;top:1975;width:13;height:103" coordorigin="1290,1975" coordsize="13,103" path="m1290,2078l1293,2063m1290,2063l1293,2050m1290,2050l1303,2063m1303,2063l1303,1975e" filled="false" stroked="true" strokeweight="1pt" strokecolor="#40ad49">
              <v:path arrowok="t"/>
              <v:stroke dashstyle="solid"/>
            </v:shape>
            <v:rect style="position:absolute;left:1292;top:1875;width:30;height:110" filled="true" fillcolor="#40ad49" stroked="false">
              <v:fill type="solid"/>
            </v:rect>
            <v:line style="position:absolute" from="1314,1815" to="1314,1895" stroked="true" strokeweight="1.125pt" strokecolor="#40ad49">
              <v:stroke dashstyle="solid"/>
            </v:line>
            <v:shape style="position:absolute;left:1302;top:1815;width:23;height:110" coordorigin="1303,1815" coordsize="23,110" path="m1325,1815l1303,1815,1303,1830,1303,1925,1325,1925,1325,1830,1325,1815xe" filled="true" fillcolor="#40ad49" stroked="false">
              <v:path arrowok="t"/>
              <v:fill type="solid"/>
            </v:shape>
            <v:line style="position:absolute" from="1313,1840" to="1325,1900" stroked="true" strokeweight="1pt" strokecolor="#40ad49">
              <v:stroke dashstyle="solid"/>
            </v:line>
            <v:shape style="position:absolute;left:1315;top:1890;width:23;height:110" coordorigin="1315,1890" coordsize="23,110" path="m1338,1890l1315,1890,1315,1985,1315,2000,1338,2000,1338,1985,1338,1890xe" filled="true" fillcolor="#40ad49" stroked="false">
              <v:path arrowok="t"/>
              <v:fill type="solid"/>
            </v:shape>
            <v:shape style="position:absolute;left:1325;top:1975;width:13;height:28" coordorigin="1325,1975" coordsize="13,28" path="m1325,1975l1328,1978m1325,1975l1338,2003e" filled="false" stroked="true" strokeweight="1pt" strokecolor="#40ad49">
              <v:path arrowok="t"/>
              <v:stroke dashstyle="solid"/>
            </v:shape>
            <v:shape style="position:absolute;left:1338;top:1847;width:2;height:165" coordorigin="1339,1848" coordsize="0,165" path="m1339,1848l1339,2013m1339,1848l1339,1895e" filled="false" stroked="true" strokeweight="1.125pt" strokecolor="#40ad49">
              <v:path arrowok="t"/>
              <v:stroke dashstyle="solid"/>
            </v:shape>
            <v:rect style="position:absolute;left:1327;top:1875;width:23;height:110" filled="true" fillcolor="#40ad49" stroked="false">
              <v:fill type="solid"/>
            </v:rect>
            <v:line style="position:absolute" from="1338,1975" to="1350,1900" stroked="true" strokeweight="1pt" strokecolor="#40ad49">
              <v:stroke dashstyle="solid"/>
            </v:line>
            <v:rect style="position:absolute;left:1340;top:1890;width:23;height:65" filled="true" fillcolor="#40ad49" stroked="false">
              <v:fill type="solid"/>
            </v:rect>
            <v:line style="position:absolute" from="1350,1900" to="1360,1933" stroked="true" strokeweight="1pt" strokecolor="#40ad49">
              <v:stroke dashstyle="solid"/>
            </v:line>
            <v:line style="position:absolute" from="1361,1830" to="1361,1943" stroked="true" strokeweight="1.125pt" strokecolor="#40ad49">
              <v:stroke dashstyle="solid"/>
            </v:line>
            <v:shape style="position:absolute;left:1360;top:1782;width:15;height:63" coordorigin="1360,1783" coordsize="15,63" path="m1360,1840l1363,1845m1360,1840l1373,1798m1373,1798l1375,1783m1373,1783l1375,1785e" filled="false" stroked="true" strokeweight="1pt" strokecolor="#40ad49">
              <v:path arrowok="t"/>
              <v:stroke dashstyle="solid"/>
            </v:shape>
            <v:shape style="position:absolute;left:1373;top:1772;width:2;height:78" coordorigin="1374,1773" coordsize="0,78" path="m1374,1773l1374,1850m1374,1803l1374,1850e" filled="false" stroked="true" strokeweight="1.125pt" strokecolor="#40ad49">
              <v:path arrowok="t"/>
              <v:stroke dashstyle="solid"/>
            </v:shape>
            <v:line style="position:absolute" from="1373,1813" to="1385,1783" stroked="true" strokeweight="1pt" strokecolor="#40ad49">
              <v:stroke dashstyle="solid"/>
            </v:line>
            <v:shape style="position:absolute;left:1386;top:1595;width:2;height:198" coordorigin="1386,1595" coordsize="0,198" path="m1386,1698l1386,1793m1386,1595l1386,1718m1386,1595l1386,1793e" filled="false" stroked="true" strokeweight="1.125pt" strokecolor="#40ad49">
              <v:path arrowok="t"/>
              <v:stroke dashstyle="solid"/>
            </v:shape>
            <v:line style="position:absolute" from="1385,1783" to="1445,1960" stroked="true" strokeweight="1pt" strokecolor="#40ad49">
              <v:stroke dashstyle="solid"/>
            </v:line>
            <v:line style="position:absolute" from="1446,1905" to="1446,1970" stroked="true" strokeweight="1.125pt" strokecolor="#40ad49">
              <v:stroke dashstyle="solid"/>
            </v:line>
            <v:line style="position:absolute" from="1445,1915" to="1448,1933" stroked="true" strokeweight="1pt" strokecolor="#40ad49">
              <v:stroke dashstyle="solid"/>
            </v:line>
            <v:line style="position:absolute" from="1451,1773" to="1451,1943" stroked="true" strokeweight="1.625pt" strokecolor="#40ad49">
              <v:stroke dashstyle="solid"/>
            </v:line>
            <v:line style="position:absolute" from="1458,1783" to="1460,1785" stroked="true" strokeweight="1pt" strokecolor="#40ad49">
              <v:stroke dashstyle="solid"/>
            </v:line>
            <v:line style="position:absolute" from="1459,1578" to="1459,1793" stroked="true" strokeweight="1.125pt" strokecolor="#40ad49">
              <v:stroke dashstyle="solid"/>
            </v:line>
            <v:shape style="position:absolute;left:1457;top:1425;width:23;height:163" coordorigin="1458,1425" coordsize="23,163" path="m1458,1588l1470,1515m1470,1515l1470,1588m1470,1588l1470,1425m1470,1425l1480,1428e" filled="false" stroked="true" strokeweight="1pt" strokecolor="#40ad49">
              <v:path arrowok="t"/>
              <v:stroke dashstyle="solid"/>
            </v:shape>
            <v:line style="position:absolute" from="1481,1385" to="1481,1435" stroked="true" strokeweight="1.125pt" strokecolor="#40ad49">
              <v:stroke dashstyle="solid"/>
            </v:line>
            <v:shape style="position:absolute;left:1480;top:1367;width:10;height:30" coordorigin="1480,1368" coordsize="10,30" path="m1480,1395l1483,1398m1480,1395l1483,1398m1480,1395l1490,1368e" filled="false" stroked="true" strokeweight="1pt" strokecolor="#40ad49">
              <v:path arrowok="t"/>
              <v:stroke dashstyle="solid"/>
            </v:shape>
            <v:line style="position:absolute" from="1491,1358" to="1491,1405" stroked="true" strokeweight="1.125pt" strokecolor="#40ad49">
              <v:stroke dashstyle="solid"/>
            </v:line>
            <v:shape style="position:absolute;left:1490;top:1262;width:35;height:135" coordorigin="1490,1263" coordsize="35,135" path="m1490,1395l1493,1398m1490,1395l1493,1398m1490,1395l1503,1383m1503,1383l1505,1385m1503,1383l1505,1395m1503,1395l1505,1383m1503,1383l1515,1368m1515,1323l1515,1368m1515,1323l1525,1263e" filled="false" stroked="true" strokeweight="1pt" strokecolor="#40ad49">
              <v:path arrowok="t"/>
              <v:stroke dashstyle="solid"/>
            </v:shape>
            <v:line style="position:absolute" from="1526,1088" to="1526,1273" stroked="true" strokeweight="1.125pt" strokecolor="#40ad49">
              <v:stroke dashstyle="solid"/>
            </v:line>
            <v:shape style="position:absolute;left:1312;top:607;width:920;height:1218" coordorigin="1313,608" coordsize="920,1218" path="m1313,1825l1350,1813m1350,1813l1385,1783m1385,1783l1433,1708m1433,1708l1470,1620m1470,1620l1503,1530m1503,1530l1550,1425m1550,1425l1585,1350m1585,1350l1635,1263m1635,1263l1670,1188m1670,1188l1705,1130m1705,1130l1753,1055m1753,1055l1790,995m1790,995l1825,953m1825,953l1873,893m1873,893l1910,848m1910,848l1945,803m1945,803l1993,773m1993,773l2028,728m2028,728l2065,698m2065,698l2113,668m2113,668l2148,655m2148,655l2185,640m2185,640l2233,608e" filled="false" stroked="true" strokeweight="1pt" strokecolor="#0066a5">
              <v:path arrowok="t"/>
              <v:stroke dashstyle="solid"/>
            </v:shape>
            <v:line style="position:absolute" from="2223,609" to="2278,609" stroked="true" strokeweight="1.125pt" strokecolor="#0066a5">
              <v:stroke dashstyle="solid"/>
            </v:line>
            <v:shape style="position:absolute;left:2267;top:580;width:83;height:28" coordorigin="2268,580" coordsize="83,28" path="m2268,608l2303,595m2303,595l2350,580e" filled="false" stroked="true" strokeweight="1pt" strokecolor="#0066a5">
              <v:path arrowok="t"/>
              <v:stroke dashstyle="solid"/>
            </v:shape>
            <v:shape style="position:absolute;left:2340;top:581;width:93;height:2" coordorigin="2340,582" coordsize="93,0" path="m2340,582l2398,582m2378,582l2433,582e" filled="false" stroked="true" strokeweight="1.125pt" strokecolor="#0066a5">
              <v:path arrowok="t"/>
              <v:stroke dashstyle="solid"/>
            </v:shape>
            <v:line style="position:absolute" from="2423,580" to="2470,565" stroked="true" strokeweight="1pt" strokecolor="#0066a5">
              <v:stroke dashstyle="solid"/>
            </v:line>
            <v:shape style="position:absolute;left:2460;top:566;width:90;height:2" coordorigin="2460,567" coordsize="90,0" path="m2460,567l2515,567m2495,567l2550,567e" filled="false" stroked="true" strokeweight="1.125pt" strokecolor="#0066a5">
              <v:path arrowok="t"/>
              <v:stroke dashstyle="solid"/>
            </v:shape>
            <v:line style="position:absolute" from="2540,565" to="2588,580" stroked="true" strokeweight="1pt" strokecolor="#0066a5">
              <v:stroke dashstyle="solid"/>
            </v:line>
            <v:shape style="position:absolute;left:2577;top:581;width:105;height:2" coordorigin="2578,582" coordsize="105,0" path="m2578,582l2633,582m2613,582l2683,582e" filled="false" stroked="true" strokeweight="1.125pt" strokecolor="#0066a5">
              <v:path arrowok="t"/>
              <v:stroke dashstyle="solid"/>
            </v:shape>
            <v:line style="position:absolute" from="2673,580" to="2708,595" stroked="true" strokeweight="1pt" strokecolor="#0066a5">
              <v:stroke dashstyle="solid"/>
            </v:line>
            <v:line style="position:absolute" from="2698,597" to="2753,597" stroked="true" strokeweight="1.125pt" strokecolor="#0066a5">
              <v:stroke dashstyle="solid"/>
            </v:line>
            <v:shape style="position:absolute;left:2742;top:595;width:85;height:30" coordorigin="2743,595" coordsize="85,30" path="m2743,595l2790,608m2790,608l2828,625e" filled="false" stroked="true" strokeweight="1pt" strokecolor="#0066a5">
              <v:path arrowok="t"/>
              <v:stroke dashstyle="solid"/>
            </v:shape>
            <v:line style="position:absolute" from="2818,627" to="2873,627" stroked="true" strokeweight="1.125pt" strokecolor="#0066a5">
              <v:stroke dashstyle="solid"/>
            </v:line>
            <v:shape style="position:absolute;left:2862;top:625;width:1050;height:465" coordorigin="2863,625" coordsize="1050,465" path="m2863,625l2910,640m2910,640l2948,655m2948,655l2983,668m2983,668l3030,683m3030,683l3065,698m3065,698l3103,715m3103,715l3150,728m3150,728l3185,743m3185,743l3223,758m3223,758l3270,773m3270,773l3305,803m3305,803l3340,818m3340,818l3390,833m3390,833l3425,848m3425,848l3460,878m3460,878l3505,893m3505,893l3543,908m3543,908l3578,920m3578,920l3625,953m3625,953l3663,968m3663,968l3698,980m3698,980l3745,1010m3745,1010l3780,1025m3780,1025l3830,1055m3830,1055l3865,1070m3865,1070l3900,1085m3900,1085l3913,1090e" filled="false" stroked="true" strokeweight="1pt" strokecolor="#0066a5">
              <v:path arrowok="t"/>
              <v:stroke dashstyle="solid"/>
            </v:shape>
            <v:shape style="position:absolute;left:1525;top:225;width:755;height:873" coordorigin="1525,225" coordsize="755,873" path="m1525,1098l1563,1085m1563,1085l1598,1070m1598,1070l1645,1025m1645,1025l1683,968m1683,968l1718,908m1718,908l1765,833m1765,833l1800,743m1800,743l1838,655m1838,655l1885,580m1885,580l1920,520m1920,520l1968,445m1968,445l2005,403m2005,403l2040,358m2040,358l2088,328m2088,328l2125,300m2125,300l2160,268m2160,268l2208,253m2208,253l2243,238m2243,238l2280,225e" filled="false" stroked="true" strokeweight="1pt" strokecolor="#ed1b2d">
              <v:path arrowok="t"/>
              <v:stroke dashstyle="solid"/>
            </v:shape>
            <v:line style="position:absolute" from="2270,227" to="2338,227" stroked="true" strokeweight="1.125pt" strokecolor="#ed1b2d">
              <v:stroke dashstyle="solid"/>
            </v:line>
            <v:line style="position:absolute" from="2328,225" to="2363,208" stroked="true" strokeweight="1pt" strokecolor="#ed1b2d">
              <v:stroke dashstyle="solid"/>
            </v:line>
            <v:shape style="position:absolute;left:2352;top:209;width:293;height:2" coordorigin="2353,209" coordsize="293,0" path="m2353,209l2410,209m2390,209l2458,209m2438,209l2490,209m2470,209l2525,209m2505,209l2575,209m2555,209l2610,209m2590,209l2645,209e" filled="false" stroked="true" strokeweight="1.125pt" strokecolor="#ed1b2d">
              <v:path arrowok="t"/>
              <v:stroke dashstyle="solid"/>
            </v:shape>
            <v:line style="position:absolute" from="2635,208" to="2683,225" stroked="true" strokeweight="1pt" strokecolor="#ed1b2d">
              <v:stroke dashstyle="solid"/>
            </v:line>
            <v:line style="position:absolute" from="2673,227" to="2730,227" stroked="true" strokeweight="1.125pt" strokecolor="#ed1b2d">
              <v:stroke dashstyle="solid"/>
            </v:line>
            <v:line style="position:absolute" from="2720,225" to="2755,238" stroked="true" strokeweight="1pt" strokecolor="#ed1b2d">
              <v:stroke dashstyle="solid"/>
            </v:line>
            <v:line style="position:absolute" from="2745,239" to="2813,239" stroked="true" strokeweight="1.125pt" strokecolor="#ed1b2d">
              <v:stroke dashstyle="solid"/>
            </v:line>
            <v:line style="position:absolute" from="2803,238" to="2840,253" stroked="true" strokeweight="1pt" strokecolor="#ed1b2d">
              <v:stroke dashstyle="solid"/>
            </v:line>
            <v:line style="position:absolute" from="2830,254" to="2885,254" stroked="true" strokeweight="1.125pt" strokecolor="#ed1b2d">
              <v:stroke dashstyle="solid"/>
            </v:line>
            <v:shape style="position:absolute;left:2875;top:252;width:83;height:30" coordorigin="2875,253" coordsize="83,30" path="m2875,253l2923,268m2923,268l2958,283e" filled="false" stroked="true" strokeweight="1pt" strokecolor="#ed1b2d">
              <v:path arrowok="t"/>
              <v:stroke dashstyle="solid"/>
            </v:shape>
            <v:line style="position:absolute" from="2948,284" to="3018,284" stroked="true" strokeweight="1.125pt" strokecolor="#ed1b2d">
              <v:stroke dashstyle="solid"/>
            </v:line>
            <v:shape style="position:absolute;left:3007;top:282;width:118;height:45" coordorigin="3008,283" coordsize="118,45" path="m3008,283l3043,300m3043,300l3078,313m3078,313l3125,328e" filled="false" stroked="true" strokeweight="1pt" strokecolor="#ed1b2d">
              <v:path arrowok="t"/>
              <v:stroke dashstyle="solid"/>
            </v:shape>
            <v:line style="position:absolute" from="3115,329" to="3173,329" stroked="true" strokeweight="1.125pt" strokecolor="#ed1b2d">
              <v:stroke dashstyle="solid"/>
            </v:line>
            <v:shape style="position:absolute;left:3162;top:327;width:750;height:313" coordorigin="3163,328" coordsize="750,313" path="m3163,328l3198,343m3198,343l3245,358m3245,358l3283,370m3283,370l3318,388m3318,388l3365,403m3365,403l3400,418m3400,418l3483,445m3483,445l3518,463m3518,463l3555,478m3555,478l3603,490m3603,490l3638,520m3638,520l3673,535m3673,535l3723,550m3723,550l3793,580m3793,580l3840,595m3840,595l3878,608m3878,608l3913,640e" filled="false" stroked="true" strokeweight="1pt" strokecolor="#ed1b2d">
              <v:path arrowok="t"/>
              <v:stroke dashstyle="solid"/>
            </v:shape>
            <v:shape style="position:absolute;left:890;top:202;width:3184;height:2322" coordorigin="890,202" coordsize="3184,2322" path="m977,1484l890,1484m977,1750l890,1750m977,2004l890,2004m977,2257l890,2257m977,2524l890,2524m977,203l890,203m977,457l890,457m977,710l890,710m977,977l890,977m977,1230l890,1230m4073,1483l3987,1483m4073,1749l3987,1749m4073,2003l3987,2003m4073,2256l3987,2256m4073,2524l3987,2524m4073,202l3987,202m4073,456l3987,456m4073,709l3987,709m4073,977l3987,977m4073,1229l3987,1229e" filled="false" stroked="true" strokeweight=".5pt" strokecolor="#000000">
              <v:path arrowok="t"/>
              <v:stroke dashstyle="solid"/>
            </v:shape>
            <v:shape style="position:absolute;left:2019;top:245;width:789;height:639" type="#_x0000_t202" filled="false" stroked="false">
              <v:textbox inset="0,0,0,0">
                <w:txbxContent>
                  <w:p>
                    <w:pPr>
                      <w:spacing w:line="133" w:lineRule="exact" w:before="0"/>
                      <w:ind w:left="198" w:right="0" w:firstLine="0"/>
                      <w:jc w:val="left"/>
                      <w:rPr>
                        <w:sz w:val="12"/>
                      </w:rPr>
                    </w:pPr>
                    <w:r>
                      <w:rPr>
                        <w:color w:val="231F20"/>
                        <w:sz w:val="12"/>
                      </w:rPr>
                      <w:t>9 Feb. 2000</w:t>
                    </w:r>
                  </w:p>
                  <w:p>
                    <w:pPr>
                      <w:spacing w:line="240" w:lineRule="auto" w:before="0"/>
                      <w:rPr>
                        <w:sz w:val="12"/>
                      </w:rPr>
                    </w:pPr>
                  </w:p>
                  <w:p>
                    <w:pPr>
                      <w:spacing w:line="240" w:lineRule="auto" w:before="0"/>
                      <w:rPr>
                        <w:sz w:val="12"/>
                      </w:rPr>
                    </w:pPr>
                  </w:p>
                  <w:p>
                    <w:pPr>
                      <w:spacing w:before="91"/>
                      <w:ind w:left="0" w:right="0" w:firstLine="0"/>
                      <w:jc w:val="left"/>
                      <w:rPr>
                        <w:sz w:val="12"/>
                      </w:rPr>
                    </w:pPr>
                    <w:r>
                      <w:rPr>
                        <w:color w:val="231F20"/>
                        <w:sz w:val="12"/>
                      </w:rPr>
                      <w:t>3 Nov. 1999</w:t>
                    </w:r>
                  </w:p>
                </w:txbxContent>
              </v:textbox>
              <w10:wrap type="none"/>
            </v:shape>
            <v:shape style="position:absolute;left:1251;top:2357;width:1183;height:134" type="#_x0000_t202" filled="false" stroked="false">
              <v:textbox inset="0,0,0,0">
                <w:txbxContent>
                  <w:p>
                    <w:pPr>
                      <w:spacing w:line="133" w:lineRule="exact" w:before="0"/>
                      <w:ind w:left="0" w:right="0" w:firstLine="0"/>
                      <w:jc w:val="left"/>
                      <w:rPr>
                        <w:sz w:val="12"/>
                      </w:rPr>
                    </w:pPr>
                    <w:r>
                      <w:rPr>
                        <w:sz w:val="12"/>
                      </w:rPr>
                      <w:t>Two-week GC repo rate</w:t>
                    </w:r>
                  </w:p>
                </w:txbxContent>
              </v:textbox>
              <w10:wrap type="none"/>
            </v:shape>
            <w10:wrap type="none"/>
          </v:group>
        </w:pict>
      </w:r>
      <w:r>
        <w:rPr>
          <w:sz w:val="12"/>
        </w:rPr>
        <w:t>6.6</w:t>
      </w:r>
    </w:p>
    <w:p>
      <w:pPr>
        <w:pStyle w:val="BodyText"/>
        <w:rPr>
          <w:sz w:val="11"/>
        </w:rPr>
      </w:pPr>
    </w:p>
    <w:p>
      <w:pPr>
        <w:spacing w:before="0"/>
        <w:ind w:left="0" w:right="40" w:firstLine="0"/>
        <w:jc w:val="right"/>
        <w:rPr>
          <w:sz w:val="12"/>
        </w:rPr>
      </w:pPr>
      <w:r>
        <w:rPr>
          <w:sz w:val="12"/>
        </w:rPr>
        <w:t>6.4</w:t>
      </w:r>
    </w:p>
    <w:p>
      <w:pPr>
        <w:pStyle w:val="BodyText"/>
        <w:spacing w:before="7"/>
        <w:rPr>
          <w:sz w:val="10"/>
        </w:rPr>
      </w:pPr>
    </w:p>
    <w:p>
      <w:pPr>
        <w:spacing w:before="0"/>
        <w:ind w:left="0" w:right="38" w:firstLine="0"/>
        <w:jc w:val="right"/>
        <w:rPr>
          <w:sz w:val="12"/>
        </w:rPr>
      </w:pPr>
      <w:r>
        <w:rPr>
          <w:sz w:val="12"/>
        </w:rPr>
        <w:t>6.2</w:t>
      </w:r>
    </w:p>
    <w:p>
      <w:pPr>
        <w:spacing w:before="107"/>
        <w:ind w:left="0" w:right="40" w:firstLine="0"/>
        <w:jc w:val="right"/>
        <w:rPr>
          <w:sz w:val="12"/>
        </w:rPr>
      </w:pPr>
      <w:r>
        <w:rPr>
          <w:sz w:val="12"/>
        </w:rPr>
        <w:t>6.0</w:t>
      </w:r>
    </w:p>
    <w:p>
      <w:pPr>
        <w:pStyle w:val="BodyText"/>
        <w:spacing w:before="3"/>
        <w:rPr>
          <w:sz w:val="11"/>
        </w:rPr>
      </w:pPr>
    </w:p>
    <w:p>
      <w:pPr>
        <w:spacing w:before="0"/>
        <w:ind w:left="0" w:right="40" w:firstLine="0"/>
        <w:jc w:val="right"/>
        <w:rPr>
          <w:sz w:val="12"/>
        </w:rPr>
      </w:pPr>
      <w:r>
        <w:rPr>
          <w:sz w:val="12"/>
        </w:rPr>
        <w:t>5.8</w:t>
      </w:r>
    </w:p>
    <w:p>
      <w:pPr>
        <w:pStyle w:val="BodyText"/>
        <w:rPr>
          <w:sz w:val="10"/>
        </w:rPr>
      </w:pPr>
    </w:p>
    <w:p>
      <w:pPr>
        <w:spacing w:before="0"/>
        <w:ind w:left="0" w:right="40" w:firstLine="0"/>
        <w:jc w:val="right"/>
        <w:rPr>
          <w:sz w:val="12"/>
        </w:rPr>
      </w:pPr>
      <w:r>
        <w:rPr>
          <w:sz w:val="12"/>
        </w:rPr>
        <w:t>5.6</w:t>
      </w:r>
    </w:p>
    <w:p>
      <w:pPr>
        <w:pStyle w:val="BodyText"/>
        <w:spacing w:before="3"/>
        <w:rPr>
          <w:sz w:val="11"/>
        </w:rPr>
      </w:pPr>
    </w:p>
    <w:p>
      <w:pPr>
        <w:spacing w:before="0"/>
        <w:ind w:left="0" w:right="40" w:firstLine="0"/>
        <w:jc w:val="right"/>
        <w:rPr>
          <w:sz w:val="12"/>
        </w:rPr>
      </w:pPr>
      <w:r>
        <w:rPr>
          <w:sz w:val="12"/>
        </w:rPr>
        <w:t>5.4</w:t>
      </w:r>
    </w:p>
    <w:p>
      <w:pPr>
        <w:pStyle w:val="BodyText"/>
        <w:spacing w:before="11"/>
        <w:rPr>
          <w:sz w:val="9"/>
        </w:rPr>
      </w:pPr>
    </w:p>
    <w:p>
      <w:pPr>
        <w:spacing w:before="0"/>
        <w:ind w:left="0" w:right="40" w:firstLine="0"/>
        <w:jc w:val="right"/>
        <w:rPr>
          <w:sz w:val="12"/>
        </w:rPr>
      </w:pPr>
      <w:r>
        <w:rPr>
          <w:sz w:val="12"/>
        </w:rPr>
        <w:t>5.2</w:t>
      </w:r>
    </w:p>
    <w:p>
      <w:pPr>
        <w:pStyle w:val="BodyText"/>
        <w:spacing w:before="11"/>
        <w:rPr>
          <w:sz w:val="9"/>
        </w:rPr>
      </w:pPr>
    </w:p>
    <w:p>
      <w:pPr>
        <w:spacing w:before="0"/>
        <w:ind w:left="0" w:right="40" w:firstLine="0"/>
        <w:jc w:val="right"/>
        <w:rPr>
          <w:sz w:val="12"/>
        </w:rPr>
      </w:pPr>
      <w:r>
        <w:rPr>
          <w:sz w:val="12"/>
        </w:rPr>
        <w:t>5.0</w:t>
      </w:r>
    </w:p>
    <w:p>
      <w:pPr>
        <w:pStyle w:val="BodyText"/>
        <w:spacing w:before="3"/>
        <w:rPr>
          <w:sz w:val="11"/>
        </w:rPr>
      </w:pPr>
    </w:p>
    <w:p>
      <w:pPr>
        <w:spacing w:before="0"/>
        <w:ind w:left="0" w:right="40" w:firstLine="0"/>
        <w:jc w:val="right"/>
        <w:rPr>
          <w:sz w:val="12"/>
        </w:rPr>
      </w:pPr>
      <w:r>
        <w:rPr>
          <w:sz w:val="12"/>
        </w:rPr>
        <w:t>4.8</w:t>
      </w:r>
    </w:p>
    <w:p>
      <w:pPr>
        <w:pStyle w:val="BodyText"/>
        <w:spacing w:before="11"/>
        <w:rPr>
          <w:sz w:val="9"/>
        </w:rPr>
      </w:pPr>
    </w:p>
    <w:p>
      <w:pPr>
        <w:spacing w:line="95" w:lineRule="exact" w:before="0"/>
        <w:ind w:left="0" w:right="40" w:firstLine="0"/>
        <w:jc w:val="right"/>
        <w:rPr>
          <w:sz w:val="12"/>
        </w:rPr>
      </w:pPr>
      <w:r>
        <w:rPr/>
        <w:pict>
          <v:group style="position:absolute;margin-left:44.292pt;margin-top:3.649473pt;width:161.15pt;height:7.2pt;mso-position-horizontal-relative:page;mso-position-vertical-relative:paragraph;z-index:15804416" coordorigin="886,73" coordsize="3223,144">
            <v:shape style="position:absolute;left:4063;top:81;width:40;height:127" coordorigin="4063,81" coordsize="40,127" path="m4083,81l4083,108,4063,124,4103,138,4063,158,4103,174,4080,184,4080,208e" filled="false" stroked="true" strokeweight=".5pt" strokecolor="#000000">
              <v:path arrowok="t"/>
              <v:stroke dashstyle="solid"/>
            </v:shape>
            <v:line style="position:absolute" from="4073,78" to="3987,78" stroked="true" strokeweight=".5pt" strokecolor="#000000">
              <v:stroke dashstyle="solid"/>
            </v:line>
            <v:shape style="position:absolute;left:966;top:81;width:40;height:127" coordorigin="966,81" coordsize="40,127" path="m986,81l986,108,966,124,1006,138,966,158,1006,174,983,184,983,208e" filled="false" stroked="true" strokeweight=".5pt" strokecolor="#000000">
              <v:path arrowok="t"/>
              <v:stroke dashstyle="solid"/>
            </v:shape>
            <v:shape style="position:absolute;left:885;top:78;width:3191;height:138" coordorigin="886,79" coordsize="3191,138" path="m977,79l890,79m1037,163l1037,216m1443,116l1443,216m1240,163l1240,216m1643,163l1643,216m2243,116l2243,216m1843,163l1843,216m886,211l4077,211m2043,163l2043,216m2442,163l2442,216m3037,116l3037,216m2640,163l2640,216m2838,163l2838,216m3235,163l3235,216m3830,116l3830,216m3433,163l3433,216m3632,163l3632,216e" filled="false" stroked="true" strokeweight=".5pt" strokecolor="#000000">
              <v:path arrowok="t"/>
              <v:stroke dashstyle="solid"/>
            </v:shape>
            <w10:wrap type="none"/>
          </v:group>
        </w:pict>
      </w:r>
      <w:r>
        <w:rPr>
          <w:sz w:val="12"/>
        </w:rPr>
        <w:t>4.6</w:t>
      </w:r>
    </w:p>
    <w:p>
      <w:pPr>
        <w:spacing w:line="242" w:lineRule="auto" w:before="206"/>
        <w:ind w:left="190" w:right="181" w:firstLine="0"/>
        <w:jc w:val="left"/>
        <w:rPr>
          <w:sz w:val="24"/>
        </w:rPr>
      </w:pPr>
      <w:r>
        <w:rPr/>
        <w:br w:type="column"/>
      </w:r>
      <w:r>
        <w:rPr>
          <w:sz w:val="24"/>
        </w:rPr>
        <w:t>9–10 February the MPC voted to raise the official repo rate by a further 0.25 percentage points to 6%. Official rates have also risen in the euro area and the United States since the previous </w:t>
      </w:r>
      <w:r>
        <w:rPr>
          <w:i/>
          <w:sz w:val="24"/>
        </w:rPr>
        <w:t>Report</w:t>
      </w:r>
      <w:r>
        <w:rPr>
          <w:sz w:val="24"/>
        </w:rPr>
        <w:t>. The European Central Bank raised its official rate by 0.25 percentage points on 3 February. And the US Federal Open Market Committee has increased the Federal funds target rate on two separate occasions, by a total of 0.50 percentage points, since the previous </w:t>
      </w:r>
      <w:r>
        <w:rPr>
          <w:i/>
          <w:sz w:val="24"/>
        </w:rPr>
        <w:t>Report</w:t>
      </w:r>
      <w:r>
        <w:rPr>
          <w:sz w:val="24"/>
        </w:rPr>
        <w:t>.</w:t>
      </w:r>
    </w:p>
    <w:p>
      <w:pPr>
        <w:pStyle w:val="BodyText"/>
        <w:spacing w:before="4"/>
        <w:rPr>
          <w:sz w:val="25"/>
        </w:rPr>
      </w:pPr>
    </w:p>
    <w:p>
      <w:pPr>
        <w:spacing w:line="242" w:lineRule="auto" w:before="0"/>
        <w:ind w:left="190" w:right="195" w:firstLine="0"/>
        <w:jc w:val="left"/>
        <w:rPr>
          <w:sz w:val="24"/>
        </w:rPr>
      </w:pPr>
      <w:r>
        <w:rPr>
          <w:sz w:val="24"/>
        </w:rPr>
        <w:t>The impact of official interest rate decisions on aggregate demand depends partly on the extent to which wholesale markets anticipate these decisions. Chart 1.11</w:t>
      </w:r>
    </w:p>
    <w:p>
      <w:pPr>
        <w:spacing w:after="0" w:line="242" w:lineRule="auto"/>
        <w:jc w:val="left"/>
        <w:rPr>
          <w:sz w:val="24"/>
        </w:rPr>
        <w:sectPr>
          <w:type w:val="continuous"/>
          <w:pgSz w:w="11900" w:h="16840"/>
          <w:pgMar w:top="1220" w:bottom="280" w:left="620" w:right="640"/>
          <w:cols w:num="3" w:equalWidth="0">
            <w:col w:w="2330" w:space="557"/>
            <w:col w:w="826" w:space="1077"/>
            <w:col w:w="5850"/>
          </w:cols>
        </w:sectPr>
      </w:pPr>
    </w:p>
    <w:p>
      <w:pPr>
        <w:pStyle w:val="BodyText"/>
        <w:spacing w:before="7"/>
        <w:rPr>
          <w:sz w:val="10"/>
        </w:rPr>
      </w:pPr>
    </w:p>
    <w:p>
      <w:pPr>
        <w:spacing w:before="1"/>
        <w:ind w:left="447" w:right="0" w:firstLine="0"/>
        <w:jc w:val="left"/>
        <w:rPr>
          <w:sz w:val="12"/>
        </w:rPr>
      </w:pPr>
      <w:r>
        <w:rPr>
          <w:sz w:val="12"/>
        </w:rPr>
        <w:t>1999</w:t>
      </w:r>
    </w:p>
    <w:p>
      <w:pPr>
        <w:pStyle w:val="BodyText"/>
        <w:spacing w:before="7"/>
        <w:rPr>
          <w:sz w:val="10"/>
        </w:rPr>
      </w:pPr>
      <w:r>
        <w:rPr/>
        <w:br w:type="column"/>
      </w:r>
      <w:r>
        <w:rPr>
          <w:sz w:val="10"/>
        </w:rPr>
      </w:r>
    </w:p>
    <w:p>
      <w:pPr>
        <w:tabs>
          <w:tab w:pos="1257" w:val="left" w:leader="none"/>
          <w:tab w:pos="2064" w:val="left" w:leader="none"/>
          <w:tab w:pos="2464" w:val="left" w:leader="none"/>
        </w:tabs>
        <w:spacing w:before="1"/>
        <w:ind w:left="402" w:right="0" w:firstLine="0"/>
        <w:jc w:val="left"/>
        <w:rPr>
          <w:sz w:val="12"/>
        </w:rPr>
      </w:pPr>
      <w:r>
        <w:rPr>
          <w:sz w:val="12"/>
        </w:rPr>
        <w:t>2000</w:t>
        <w:tab/>
        <w:t>01</w:t>
        <w:tab/>
        <w:t>02</w:t>
        <w:tab/>
      </w:r>
      <w:r>
        <w:rPr>
          <w:spacing w:val="-10"/>
          <w:sz w:val="12"/>
        </w:rPr>
        <w:t>03</w:t>
      </w:r>
    </w:p>
    <w:p>
      <w:pPr>
        <w:spacing w:before="43"/>
        <w:ind w:left="160" w:right="0" w:firstLine="0"/>
        <w:jc w:val="left"/>
        <w:rPr>
          <w:sz w:val="12"/>
        </w:rPr>
      </w:pPr>
      <w:r>
        <w:rPr/>
        <w:br w:type="column"/>
      </w:r>
      <w:r>
        <w:rPr>
          <w:sz w:val="12"/>
        </w:rPr>
        <w:t>0.0</w:t>
      </w:r>
    </w:p>
    <w:p>
      <w:pPr>
        <w:pStyle w:val="Heading6"/>
        <w:spacing w:line="266" w:lineRule="exact"/>
        <w:ind w:left="447"/>
      </w:pPr>
      <w:r>
        <w:rPr/>
        <w:br w:type="column"/>
      </w:r>
      <w:r>
        <w:rPr/>
        <w:t>shows two-week forward rates for the United Kingdom</w:t>
      </w:r>
    </w:p>
    <w:p>
      <w:pPr>
        <w:spacing w:after="0" w:line="266" w:lineRule="exact"/>
        <w:sectPr>
          <w:type w:val="continuous"/>
          <w:pgSz w:w="11900" w:h="16840"/>
          <w:pgMar w:top="1220" w:bottom="280" w:left="620" w:right="640"/>
          <w:cols w:num="4" w:equalWidth="0">
            <w:col w:w="688" w:space="40"/>
            <w:col w:w="2585" w:space="39"/>
            <w:col w:w="351" w:space="830"/>
            <w:col w:w="6107"/>
          </w:cols>
        </w:sectPr>
      </w:pPr>
    </w:p>
    <w:p>
      <w:pPr>
        <w:pStyle w:val="BodyText"/>
        <w:spacing w:before="2"/>
        <w:rPr>
          <w:sz w:val="14"/>
        </w:rPr>
      </w:pPr>
    </w:p>
    <w:p>
      <w:pPr>
        <w:spacing w:before="0"/>
        <w:ind w:left="190" w:right="0" w:firstLine="0"/>
        <w:jc w:val="left"/>
        <w:rPr>
          <w:sz w:val="12"/>
        </w:rPr>
      </w:pPr>
      <w:r>
        <w:rPr>
          <w:sz w:val="12"/>
        </w:rPr>
        <w:t>Source: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6"/>
        </w:rPr>
      </w:pPr>
    </w:p>
    <w:p>
      <w:pPr>
        <w:pStyle w:val="Heading9"/>
        <w:spacing w:before="0"/>
        <w:ind w:left="214"/>
      </w:pPr>
      <w:r>
        <w:rPr>
          <w:color w:val="0093C1"/>
        </w:rPr>
        <w:t>Chart 1.12</w:t>
      </w:r>
    </w:p>
    <w:p>
      <w:pPr>
        <w:spacing w:line="249" w:lineRule="auto" w:before="10"/>
        <w:ind w:left="214" w:right="20" w:firstLine="0"/>
        <w:jc w:val="left"/>
        <w:rPr>
          <w:b/>
          <w:sz w:val="20"/>
        </w:rPr>
      </w:pPr>
      <w:r>
        <w:rPr>
          <w:b/>
          <w:color w:val="0093C1"/>
          <w:sz w:val="20"/>
        </w:rPr>
        <w:t>Implied distribution for sterling three-month interest rates</w:t>
      </w:r>
    </w:p>
    <w:p>
      <w:pPr>
        <w:tabs>
          <w:tab w:pos="3028" w:val="left" w:leader="none"/>
        </w:tabs>
        <w:spacing w:line="600" w:lineRule="auto" w:before="125"/>
        <w:ind w:left="3444" w:right="502" w:hanging="3135"/>
        <w:jc w:val="right"/>
        <w:rPr>
          <w:sz w:val="12"/>
        </w:rPr>
      </w:pPr>
      <w:r>
        <w:rPr/>
        <w:pict>
          <v:group style="position:absolute;margin-left:52.950001pt;margin-top:25.300367pt;width:141.65pt;height:120pt;mso-position-horizontal-relative:page;mso-position-vertical-relative:paragraph;z-index:-22340096" coordorigin="1059,506" coordsize="2833,2400">
            <v:shape style="position:absolute;left:3231;top:506;width:660;height:2186" coordorigin="3232,506" coordsize="660,2186" path="m3892,506l3712,923,3532,1358,3352,1864,3232,2228,3352,2333,3532,2449,3712,2541,3892,2691,3892,506xe" filled="true" fillcolor="#dbe3f0" stroked="false">
              <v:path arrowok="t"/>
              <v:fill type="solid"/>
            </v:shape>
            <v:shape style="position:absolute;left:3231;top:843;width:660;height:1665" coordorigin="3232,843" coordsize="660,1665" path="m3892,843l3712,1160,3532,1518,3352,1925,3232,2230,3352,2267,3532,2309,3712,2406,3892,2507,3892,843xe" filled="true" fillcolor="#bfd0e6" stroked="false">
              <v:path arrowok="t"/>
              <v:fill type="solid"/>
            </v:shape>
            <v:shape style="position:absolute;left:3231;top:1051;width:660;height:1321" coordorigin="3232,1052" coordsize="660,1321" path="m3892,1052l3712,1314,3532,1609,3352,1967,3232,2230,3352,2225,3532,2205,3712,2313,3892,2372,3892,1052xe" filled="true" fillcolor="#a4bedc" stroked="false">
              <v:path arrowok="t"/>
              <v:fill type="solid"/>
            </v:shape>
            <v:shape style="position:absolute;left:3231;top:1199;width:660;height:1055" coordorigin="3232,1200" coordsize="660,1055" path="m3892,1200l3712,1435,3532,1668,3352,1996,3232,2228,3352,2193,3532,2121,3712,2238,3892,2254,3892,1200xe" filled="true" fillcolor="#8aadd3" stroked="false">
              <v:path arrowok="t"/>
              <v:fill type="solid"/>
            </v:shape>
            <v:shape style="position:absolute;left:3231;top:1316;width:660;height:912" coordorigin="3232,1316" coordsize="660,912" path="m3892,1316l3712,1535,3532,1715,3352,2020,3232,2228,3352,2171,3532,2058,3712,2174,3892,2152,3892,1316xe" filled="true" fillcolor="#729fca" stroked="false">
              <v:path arrowok="t"/>
              <v:fill type="solid"/>
            </v:shape>
            <v:shape style="position:absolute;left:3231;top:1420;width:660;height:810" coordorigin="3232,1421" coordsize="660,810" path="m3892,1421l3712,1623,3532,1755,3352,2045,3232,2230,3352,2157,3532,2010,3712,2115,3892,2062,3892,1421xe" filled="true" fillcolor="#5991c2" stroked="false">
              <v:path arrowok="t"/>
              <v:fill type="solid"/>
            </v:shape>
            <v:shape style="position:absolute;left:3231;top:1512;width:660;height:719" coordorigin="3232,1513" coordsize="660,719" path="m3892,1513l3712,1696,3532,1787,3352,2063,3232,2231,3352,2144,3532,1968,3712,2055,3892,1977,3892,1513xe" filled="true" fillcolor="#3d85ba" stroked="false">
              <v:path arrowok="t"/>
              <v:fill type="solid"/>
            </v:shape>
            <v:shape style="position:absolute;left:3231;top:1588;width:660;height:639" coordorigin="3232,1589" coordsize="660,639" path="m3892,1589l3712,1760,3532,1811,3352,2074,3232,2227,3352,2127,3532,1927,3712,1992,3892,1893,3892,1589xe" filled="true" fillcolor="#0e7ab3" stroked="false">
              <v:path arrowok="t"/>
              <v:fill type="solid"/>
            </v:shape>
            <v:shape style="position:absolute;left:3231;top:1667;width:660;height:562" coordorigin="3232,1668" coordsize="660,562" path="m3892,1668l3712,1812,3532,1842,3352,2089,3232,2229,3352,2115,3532,1900,3712,1928,3892,1818,3892,1668xe" filled="true" fillcolor="#0066a5" stroked="false">
              <v:path arrowok="t"/>
              <v:fill type="solid"/>
            </v:shape>
            <v:shape style="position:absolute;left:1069;top:1139;width:1440;height:1309" coordorigin="1069,1140" coordsize="1440,1309" path="m1129,2176l1069,2089m1189,2176l1129,2176m1249,2051l1189,2176m1309,2006l1249,2051m1369,1859l1309,2006m1429,1654l1369,1859m1489,1520l1429,1654m1549,1480l1489,1520m1609,1449l1549,1480m1669,1256l1609,1449m1729,1198l1669,1256m1789,1299l1729,1198m1849,1312l1789,1299m1909,1299l1849,1312m1969,1329l1909,1299m2029,1347l1969,1329m2089,1199l2029,1347m2149,1140l2089,1199m2209,1175l2149,1140m2269,1362l2209,1175m2329,1534l2269,1362m2389,1702l2329,1534m2449,2050l2389,1702m2509,2448l2449,2050e" filled="false" stroked="true" strokeweight="1pt" strokecolor="#0066a5">
              <v:path arrowok="t"/>
              <v:stroke dashstyle="solid"/>
            </v:shape>
            <v:shape style="position:absolute;left:2499;top:2438;width:500;height:467" type="#_x0000_t75" stroked="false">
              <v:imagedata r:id="rId40" o:title=""/>
            </v:shape>
            <v:shape style="position:absolute;left:2989;top:2229;width:240;height:501" coordorigin="2989,2229" coordsize="240,501" path="m3049,2309l2989,2730m3109,2413l3049,2309m3169,2288l3109,2413m3229,2229l3169,2288e" filled="false" stroked="true" strokeweight="1pt" strokecolor="#0066a5">
              <v:path arrowok="t"/>
              <v:stroke dashstyle="solid"/>
            </v:shape>
            <w10:wrap type="none"/>
          </v:group>
        </w:pict>
      </w:r>
      <w:r>
        <w:rPr/>
        <w:pict>
          <v:group style="position:absolute;margin-left:46.450001pt;margin-top:30.470367pt;width:3.6pt;height:.5pt;mso-position-horizontal-relative:page;mso-position-vertical-relative:paragraph;z-index:-22336512" coordorigin="929,609" coordsize="72,10">
            <v:shape style="position:absolute;left:929;top:614;width:72;height:2" coordorigin="929,614" coordsize="72,0" path="m1001,614l929,614e" filled="true" fillcolor="#231f20" stroked="false">
              <v:path arrowok="t"/>
              <v:fill type="solid"/>
            </v:shape>
            <v:line style="position:absolute" from="929,614" to="1001,614" stroked="true" strokeweight=".5pt" strokecolor="#000000">
              <v:stroke dashstyle="solid"/>
            </v:line>
            <w10:wrap type="none"/>
          </v:group>
        </w:pict>
      </w:r>
      <w:r>
        <w:rPr/>
        <w:pict>
          <v:group style="position:absolute;margin-left:46.450001pt;margin-top:13.371367pt;width:3.6pt;height:.5pt;mso-position-horizontal-relative:page;mso-position-vertical-relative:paragraph;z-index:-22336000" coordorigin="929,267" coordsize="72,10">
            <v:shape style="position:absolute;left:929;top:272;width:72;height:2" coordorigin="929,272" coordsize="72,0" path="m1001,272l929,272e" filled="true" fillcolor="#231f20" stroked="false">
              <v:path arrowok="t"/>
              <v:fill type="solid"/>
            </v:shape>
            <v:line style="position:absolute" from="929,272" to="1001,272" stroked="true" strokeweight=".5pt" strokecolor="#000000">
              <v:stroke dashstyle="solid"/>
            </v:line>
            <w10:wrap type="none"/>
          </v:group>
        </w:pict>
      </w:r>
      <w:r>
        <w:rPr/>
        <w:pict>
          <v:group style="position:absolute;margin-left:198.350006pt;margin-top:30.470367pt;width:3.6pt;height:.5pt;mso-position-horizontal-relative:page;mso-position-vertical-relative:paragraph;z-index:-22332416" coordorigin="3967,609" coordsize="72,10">
            <v:shape style="position:absolute;left:3967;top:614;width:72;height:2" coordorigin="3967,614" coordsize="72,0" path="m4039,614l3967,614e" filled="true" fillcolor="#231f20" stroked="false">
              <v:path arrowok="t"/>
              <v:fill type="solid"/>
            </v:shape>
            <v:line style="position:absolute" from="4039,614" to="3967,614" stroked="true" strokeweight=".5pt" strokecolor="#000000">
              <v:stroke dashstyle="solid"/>
            </v:line>
            <w10:wrap type="none"/>
          </v:group>
        </w:pict>
      </w:r>
      <w:r>
        <w:rPr/>
        <w:pict>
          <v:group style="position:absolute;margin-left:198.350006pt;margin-top:13.371367pt;width:3.6pt;height:.5pt;mso-position-horizontal-relative:page;mso-position-vertical-relative:paragraph;z-index:-22331904" coordorigin="3967,267" coordsize="72,10">
            <v:shape style="position:absolute;left:3967;top:272;width:72;height:2" coordorigin="3967,272" coordsize="72,0" path="m4039,272l3967,272e" filled="true" fillcolor="#231f20" stroked="false">
              <v:path arrowok="t"/>
              <v:fill type="solid"/>
            </v:shape>
            <v:line style="position:absolute" from="4039,272" to="3967,272" stroked="true" strokeweight=".5pt" strokecolor="#000000">
              <v:stroke dashstyle="solid"/>
            </v:line>
            <w10:wrap type="none"/>
          </v:group>
        </w:pict>
      </w:r>
      <w:r>
        <w:rPr>
          <w:color w:val="231F20"/>
          <w:sz w:val="12"/>
        </w:rPr>
        <w:t>Expectations as at cob 9 February 2000</w:t>
        <w:tab/>
        <w:t>Per cent</w:t>
      </w:r>
      <w:r>
        <w:rPr>
          <w:color w:val="231F20"/>
          <w:spacing w:val="-5"/>
          <w:sz w:val="12"/>
        </w:rPr>
        <w:t> </w:t>
      </w:r>
      <w:r>
        <w:rPr>
          <w:color w:val="231F20"/>
          <w:position w:val="-5"/>
          <w:sz w:val="12"/>
        </w:rPr>
        <w:t>9.0 </w:t>
      </w:r>
      <w:r>
        <w:rPr>
          <w:color w:val="231F20"/>
          <w:sz w:val="12"/>
        </w:rPr>
        <w:t>8.5</w:t>
      </w:r>
    </w:p>
    <w:p>
      <w:pPr>
        <w:spacing w:line="136" w:lineRule="exact" w:before="0"/>
        <w:ind w:left="0" w:right="502" w:firstLine="0"/>
        <w:jc w:val="right"/>
        <w:rPr>
          <w:sz w:val="12"/>
        </w:rPr>
      </w:pPr>
      <w:r>
        <w:rPr/>
        <w:pict>
          <v:group style="position:absolute;margin-left:46.450001pt;margin-top:3.823297pt;width:3.6pt;height:.5pt;mso-position-horizontal-relative:page;mso-position-vertical-relative:paragraph;z-index:15808000" coordorigin="929,76" coordsize="72,10">
            <v:shape style="position:absolute;left:929;top:81;width:72;height:2" coordorigin="929,81" coordsize="72,0" path="m1001,81l929,81e" filled="true" fillcolor="#231f20" stroked="false">
              <v:path arrowok="t"/>
              <v:fill type="solid"/>
            </v:shape>
            <v:line style="position:absolute" from="929,81" to="1001,81" stroked="true" strokeweight=".5pt" strokecolor="#000000">
              <v:stroke dashstyle="solid"/>
            </v:line>
            <w10:wrap type="none"/>
          </v:group>
        </w:pict>
      </w:r>
      <w:r>
        <w:rPr/>
        <w:pict>
          <v:group style="position:absolute;margin-left:198.350006pt;margin-top:3.823297pt;width:3.6pt;height:.5pt;mso-position-horizontal-relative:page;mso-position-vertical-relative:paragraph;z-index:15812096" coordorigin="3967,76" coordsize="72,10">
            <v:shape style="position:absolute;left:3967;top:81;width:72;height:2" coordorigin="3967,81" coordsize="72,0" path="m4039,81l3967,81e" filled="true" fillcolor="#231f20" stroked="false">
              <v:path arrowok="t"/>
              <v:fill type="solid"/>
            </v:shape>
            <v:line style="position:absolute" from="4039,81" to="3967,81" stroked="true" strokeweight=".5pt" strokecolor="#000000">
              <v:stroke dashstyle="solid"/>
            </v:line>
            <w10:wrap type="none"/>
          </v:group>
        </w:pict>
      </w:r>
      <w:r>
        <w:rPr>
          <w:color w:val="231F20"/>
          <w:sz w:val="12"/>
        </w:rPr>
        <w:t>8.0</w:t>
      </w:r>
    </w:p>
    <w:p>
      <w:pPr>
        <w:pStyle w:val="BodyText"/>
        <w:spacing w:before="8"/>
        <w:rPr>
          <w:sz w:val="17"/>
        </w:rPr>
      </w:pPr>
    </w:p>
    <w:p>
      <w:pPr>
        <w:spacing w:before="0"/>
        <w:ind w:left="0" w:right="502" w:firstLine="0"/>
        <w:jc w:val="right"/>
        <w:rPr>
          <w:sz w:val="12"/>
        </w:rPr>
      </w:pPr>
      <w:r>
        <w:rPr/>
        <w:pict>
          <v:group style="position:absolute;margin-left:46.450001pt;margin-top:3.946552pt;width:3.6pt;height:.5pt;mso-position-horizontal-relative:page;mso-position-vertical-relative:paragraph;z-index:15807488" coordorigin="929,79" coordsize="72,10">
            <v:shape style="position:absolute;left:929;top:83;width:72;height:2" coordorigin="929,84" coordsize="72,0" path="m1001,84l929,84e" filled="true" fillcolor="#231f20" stroked="false">
              <v:path arrowok="t"/>
              <v:fill type="solid"/>
            </v:shape>
            <v:line style="position:absolute" from="929,84" to="1001,84" stroked="true" strokeweight=".5pt" strokecolor="#000000">
              <v:stroke dashstyle="solid"/>
            </v:line>
            <w10:wrap type="none"/>
          </v:group>
        </w:pict>
      </w:r>
      <w:r>
        <w:rPr/>
        <w:pict>
          <v:group style="position:absolute;margin-left:198.350006pt;margin-top:3.946552pt;width:3.6pt;height:.5pt;mso-position-horizontal-relative:page;mso-position-vertical-relative:paragraph;z-index:15811584" coordorigin="3967,79" coordsize="72,10">
            <v:shape style="position:absolute;left:3967;top:83;width:72;height:2" coordorigin="3967,84" coordsize="72,0" path="m4039,84l3967,84e" filled="true" fillcolor="#231f20" stroked="false">
              <v:path arrowok="t"/>
              <v:fill type="solid"/>
            </v:shape>
            <v:line style="position:absolute" from="4039,84" to="3967,84" stroked="true" strokeweight=".5pt" strokecolor="#000000">
              <v:stroke dashstyle="solid"/>
            </v:line>
            <w10:wrap type="none"/>
          </v:group>
        </w:pict>
      </w:r>
      <w:r>
        <w:rPr>
          <w:color w:val="231F20"/>
          <w:sz w:val="12"/>
        </w:rPr>
        <w:t>7.5</w:t>
      </w:r>
    </w:p>
    <w:p>
      <w:pPr>
        <w:pStyle w:val="BodyText"/>
        <w:spacing w:before="8"/>
        <w:rPr>
          <w:sz w:val="17"/>
        </w:rPr>
      </w:pPr>
    </w:p>
    <w:p>
      <w:pPr>
        <w:spacing w:before="1"/>
        <w:ind w:left="0" w:right="502" w:firstLine="0"/>
        <w:jc w:val="right"/>
        <w:rPr>
          <w:sz w:val="12"/>
        </w:rPr>
      </w:pPr>
      <w:r>
        <w:rPr/>
        <w:pict>
          <v:group style="position:absolute;margin-left:46.450001pt;margin-top:3.996561pt;width:3.6pt;height:.5pt;mso-position-horizontal-relative:page;mso-position-vertical-relative:paragraph;z-index:15806976" coordorigin="929,80" coordsize="72,10">
            <v:shape style="position:absolute;left:929;top:84;width:72;height:2" coordorigin="929,85" coordsize="72,0" path="m1001,85l929,85e" filled="true" fillcolor="#231f20" stroked="false">
              <v:path arrowok="t"/>
              <v:fill type="solid"/>
            </v:shape>
            <v:line style="position:absolute" from="929,85" to="1001,85" stroked="true" strokeweight=".5pt" strokecolor="#000000">
              <v:stroke dashstyle="solid"/>
            </v:line>
            <w10:wrap type="none"/>
          </v:group>
        </w:pict>
      </w:r>
      <w:r>
        <w:rPr/>
        <w:pict>
          <v:group style="position:absolute;margin-left:198.350006pt;margin-top:3.996561pt;width:3.6pt;height:.5pt;mso-position-horizontal-relative:page;mso-position-vertical-relative:paragraph;z-index:15811072" coordorigin="3967,80" coordsize="72,10">
            <v:shape style="position:absolute;left:3967;top:84;width:72;height:2" coordorigin="3967,85" coordsize="72,0" path="m4039,85l3967,85e" filled="true" fillcolor="#231f20" stroked="false">
              <v:path arrowok="t"/>
              <v:fill type="solid"/>
            </v:shape>
            <v:line style="position:absolute" from="4039,85" to="3967,85" stroked="true" strokeweight=".5pt" strokecolor="#000000">
              <v:stroke dashstyle="solid"/>
            </v:line>
            <w10:wrap type="none"/>
          </v:group>
        </w:pict>
      </w:r>
      <w:r>
        <w:rPr>
          <w:color w:val="231F20"/>
          <w:sz w:val="12"/>
        </w:rPr>
        <w:t>7.0</w:t>
      </w:r>
    </w:p>
    <w:p>
      <w:pPr>
        <w:pStyle w:val="BodyText"/>
        <w:spacing w:before="8"/>
        <w:rPr>
          <w:sz w:val="17"/>
        </w:rPr>
      </w:pPr>
    </w:p>
    <w:p>
      <w:pPr>
        <w:spacing w:before="0"/>
        <w:ind w:left="0" w:right="502" w:firstLine="0"/>
        <w:jc w:val="right"/>
        <w:rPr>
          <w:sz w:val="12"/>
        </w:rPr>
      </w:pPr>
      <w:r>
        <w:rPr/>
        <w:pict>
          <v:group style="position:absolute;margin-left:46.450001pt;margin-top:3.94657pt;width:3.6pt;height:.5pt;mso-position-horizontal-relative:page;mso-position-vertical-relative:paragraph;z-index:15806464" coordorigin="929,79" coordsize="72,10">
            <v:shape style="position:absolute;left:929;top:83;width:72;height:2" coordorigin="929,84" coordsize="72,0" path="m1001,84l929,84e" filled="true" fillcolor="#231f20" stroked="false">
              <v:path arrowok="t"/>
              <v:fill type="solid"/>
            </v:shape>
            <v:line style="position:absolute" from="929,84" to="1001,84" stroked="true" strokeweight=".5pt" strokecolor="#000000">
              <v:stroke dashstyle="solid"/>
            </v:line>
            <w10:wrap type="none"/>
          </v:group>
        </w:pict>
      </w:r>
      <w:r>
        <w:rPr/>
        <w:pict>
          <v:group style="position:absolute;margin-left:198.350006pt;margin-top:3.94657pt;width:3.6pt;height:.5pt;mso-position-horizontal-relative:page;mso-position-vertical-relative:paragraph;z-index:15810560" coordorigin="3967,79" coordsize="72,10">
            <v:shape style="position:absolute;left:3967;top:83;width:72;height:2" coordorigin="3967,84" coordsize="72,0" path="m4039,84l3967,84e" filled="true" fillcolor="#231f20" stroked="false">
              <v:path arrowok="t"/>
              <v:fill type="solid"/>
            </v:shape>
            <v:line style="position:absolute" from="4039,84" to="3967,84" stroked="true" strokeweight=".5pt" strokecolor="#000000">
              <v:stroke dashstyle="solid"/>
            </v:line>
            <w10:wrap type="none"/>
          </v:group>
        </w:pict>
      </w:r>
      <w:r>
        <w:rPr>
          <w:color w:val="231F20"/>
          <w:sz w:val="12"/>
        </w:rPr>
        <w:t>6.5</w:t>
      </w:r>
    </w:p>
    <w:p>
      <w:pPr>
        <w:pStyle w:val="BodyText"/>
        <w:spacing w:before="9"/>
        <w:rPr>
          <w:sz w:val="17"/>
        </w:rPr>
      </w:pPr>
    </w:p>
    <w:p>
      <w:pPr>
        <w:spacing w:before="0"/>
        <w:ind w:left="0" w:right="502" w:firstLine="0"/>
        <w:jc w:val="right"/>
        <w:rPr>
          <w:sz w:val="12"/>
        </w:rPr>
      </w:pPr>
      <w:r>
        <w:rPr/>
        <w:pict>
          <v:group style="position:absolute;margin-left:46.450001pt;margin-top:3.946564pt;width:3.6pt;height:.5pt;mso-position-horizontal-relative:page;mso-position-vertical-relative:paragraph;z-index:15805952" coordorigin="929,79" coordsize="72,10">
            <v:shape style="position:absolute;left:929;top:83;width:72;height:2" coordorigin="929,84" coordsize="72,0" path="m1001,84l929,84e" filled="true" fillcolor="#231f20" stroked="false">
              <v:path arrowok="t"/>
              <v:fill type="solid"/>
            </v:shape>
            <v:line style="position:absolute" from="929,84" to="1001,84" stroked="true" strokeweight=".5pt" strokecolor="#000000">
              <v:stroke dashstyle="solid"/>
            </v:line>
            <w10:wrap type="none"/>
          </v:group>
        </w:pict>
      </w:r>
      <w:r>
        <w:rPr/>
        <w:pict>
          <v:group style="position:absolute;margin-left:198.350006pt;margin-top:3.946564pt;width:3.6pt;height:.5pt;mso-position-horizontal-relative:page;mso-position-vertical-relative:paragraph;z-index:15810048" coordorigin="3967,79" coordsize="72,10">
            <v:shape style="position:absolute;left:3967;top:83;width:72;height:2" coordorigin="3967,84" coordsize="72,0" path="m4039,84l3967,84e" filled="true" fillcolor="#231f20" stroked="false">
              <v:path arrowok="t"/>
              <v:fill type="solid"/>
            </v:shape>
            <v:line style="position:absolute" from="4039,84" to="3967,84" stroked="true" strokeweight=".5pt" strokecolor="#000000">
              <v:stroke dashstyle="solid"/>
            </v:line>
            <w10:wrap type="none"/>
          </v:group>
        </w:pict>
      </w:r>
      <w:r>
        <w:rPr>
          <w:color w:val="231F20"/>
          <w:sz w:val="12"/>
        </w:rPr>
        <w:t>6.0</w:t>
      </w:r>
    </w:p>
    <w:p>
      <w:pPr>
        <w:pStyle w:val="Heading6"/>
        <w:spacing w:line="242" w:lineRule="auto" w:before="4"/>
        <w:ind w:right="461"/>
      </w:pPr>
      <w:r>
        <w:rPr/>
        <w:br w:type="column"/>
      </w:r>
      <w:r>
        <w:rPr/>
        <w:t>derived from government bond and gilt repo rates on 3 November 1999 and 9 February 2000, using the </w:t>
      </w:r>
      <w:r>
        <w:rPr>
          <w:spacing w:val="-3"/>
        </w:rPr>
        <w:t>Bank’s </w:t>
      </w:r>
      <w:r>
        <w:rPr/>
        <w:t>new yield curve estimation technique.</w:t>
      </w:r>
      <w:r>
        <w:rPr>
          <w:position w:val="5"/>
          <w:sz w:val="16"/>
        </w:rPr>
        <w:t>(1) </w:t>
      </w:r>
      <w:r>
        <w:rPr>
          <w:spacing w:val="-4"/>
        </w:rPr>
        <w:t>Since </w:t>
      </w:r>
      <w:r>
        <w:rPr/>
        <w:t>3 November, forward rates have risen by around</w:t>
      </w:r>
      <w:r>
        <w:rPr>
          <w:spacing w:val="-6"/>
        </w:rPr>
        <w:t> </w:t>
      </w:r>
      <w:r>
        <w:rPr/>
        <w:t>a</w:t>
      </w:r>
    </w:p>
    <w:p>
      <w:pPr>
        <w:spacing w:line="242" w:lineRule="auto" w:before="5"/>
        <w:ind w:left="190" w:right="190" w:firstLine="0"/>
        <w:jc w:val="left"/>
        <w:rPr>
          <w:sz w:val="24"/>
        </w:rPr>
      </w:pPr>
      <w:r>
        <w:rPr>
          <w:sz w:val="24"/>
        </w:rPr>
        <w:t>quarter of a percentage point at the short end of the yield curve. Technical factors mean that two-week market </w:t>
      </w:r>
      <w:r>
        <w:rPr>
          <w:spacing w:val="-5"/>
          <w:sz w:val="24"/>
        </w:rPr>
        <w:t>gilt </w:t>
      </w:r>
      <w:r>
        <w:rPr>
          <w:sz w:val="24"/>
        </w:rPr>
        <w:t>repo rates tend to lie slightly below the official repo rate. So market expectations of future official interest rates are probably a little above those shown in Chart</w:t>
      </w:r>
      <w:r>
        <w:rPr>
          <w:spacing w:val="-6"/>
          <w:sz w:val="24"/>
        </w:rPr>
        <w:t> </w:t>
      </w:r>
      <w:r>
        <w:rPr>
          <w:sz w:val="24"/>
        </w:rPr>
        <w:t>1.11.</w:t>
      </w:r>
    </w:p>
    <w:p>
      <w:pPr>
        <w:spacing w:line="242" w:lineRule="auto" w:before="6"/>
        <w:ind w:left="190" w:right="161" w:firstLine="0"/>
        <w:jc w:val="left"/>
        <w:rPr>
          <w:sz w:val="24"/>
        </w:rPr>
      </w:pPr>
      <w:r>
        <w:rPr>
          <w:sz w:val="24"/>
        </w:rPr>
        <w:t>Short-term interest rate expectations also rose in the euro area and the United States over this period, consistent with increasing market confidence about stronger global activity and concurrent rising inflationary concerns.</w:t>
      </w:r>
    </w:p>
    <w:p>
      <w:pPr>
        <w:spacing w:line="242" w:lineRule="auto" w:before="5"/>
        <w:ind w:left="190" w:right="195" w:firstLine="0"/>
        <w:jc w:val="left"/>
        <w:rPr>
          <w:sz w:val="24"/>
        </w:rPr>
      </w:pPr>
      <w:r>
        <w:rPr>
          <w:sz w:val="24"/>
        </w:rPr>
        <w:t>International short-term interest rate expectations increased particularly sharply in early January, perhaps as market fears of possible economic disruption associated with the century date change subsided.</w:t>
      </w:r>
    </w:p>
    <w:p>
      <w:pPr>
        <w:pStyle w:val="BodyText"/>
        <w:spacing w:before="9"/>
        <w:rPr>
          <w:sz w:val="24"/>
        </w:rPr>
      </w:pPr>
    </w:p>
    <w:p>
      <w:pPr>
        <w:spacing w:line="242" w:lineRule="auto" w:before="0"/>
        <w:ind w:left="190" w:right="181" w:firstLine="0"/>
        <w:jc w:val="left"/>
        <w:rPr>
          <w:sz w:val="24"/>
        </w:rPr>
      </w:pPr>
      <w:r>
        <w:rPr>
          <w:sz w:val="24"/>
        </w:rPr>
        <w:t>Changes in nominal interest rates reflect the combined effect of revisions to inflation expectations, real interest rates and risk premia. In the United Kingdom, quarterly survey evidence for 1999 Q4 suggests that changes</w:t>
      </w:r>
    </w:p>
    <w:p>
      <w:pPr>
        <w:spacing w:line="242" w:lineRule="auto" w:before="5"/>
        <w:ind w:left="190" w:right="181" w:firstLine="0"/>
        <w:jc w:val="left"/>
        <w:rPr>
          <w:sz w:val="24"/>
        </w:rPr>
      </w:pPr>
      <w:r>
        <w:rPr>
          <w:sz w:val="24"/>
        </w:rPr>
        <w:t>in inflation expectations have been small in recent months. That suggests that much of the rise in nominal rates has been reflected in higher real rates and/or risk premia.</w:t>
      </w:r>
    </w:p>
    <w:p>
      <w:pPr>
        <w:spacing w:after="0" w:line="242" w:lineRule="auto"/>
        <w:jc w:val="left"/>
        <w:rPr>
          <w:sz w:val="24"/>
        </w:rPr>
        <w:sectPr>
          <w:type w:val="continuous"/>
          <w:pgSz w:w="11900" w:h="16840"/>
          <w:pgMar w:top="1220" w:bottom="280" w:left="620" w:right="640"/>
          <w:cols w:num="2" w:equalWidth="0">
            <w:col w:w="4099" w:space="691"/>
            <w:col w:w="5850"/>
          </w:cols>
        </w:sectPr>
      </w:pPr>
    </w:p>
    <w:p>
      <w:pPr>
        <w:pStyle w:val="BodyText"/>
        <w:spacing w:before="5"/>
        <w:rPr>
          <w:sz w:val="9"/>
        </w:rPr>
      </w:pPr>
    </w:p>
    <w:p>
      <w:pPr>
        <w:spacing w:after="0"/>
        <w:rPr>
          <w:sz w:val="9"/>
        </w:rPr>
        <w:sectPr>
          <w:type w:val="continuous"/>
          <w:pgSz w:w="11900" w:h="16840"/>
          <w:pgMar w:top="1220" w:bottom="280" w:left="620" w:right="640"/>
        </w:sectPr>
      </w:pPr>
    </w:p>
    <w:p>
      <w:pPr>
        <w:pStyle w:val="BodyText"/>
        <w:spacing w:before="2"/>
        <w:rPr>
          <w:sz w:val="15"/>
        </w:rPr>
      </w:pPr>
    </w:p>
    <w:p>
      <w:pPr>
        <w:pStyle w:val="BodyText"/>
        <w:spacing w:line="20" w:lineRule="exact"/>
        <w:ind w:left="304"/>
        <w:rPr>
          <w:sz w:val="2"/>
        </w:rPr>
      </w:pPr>
      <w:r>
        <w:rPr>
          <w:sz w:val="2"/>
        </w:rPr>
        <w:pict>
          <v:group style="width:3.6pt;height:.5pt;mso-position-horizontal-relative:char;mso-position-vertical-relative:line" coordorigin="0,0" coordsize="72,10">
            <v:shape style="position:absolute;left:0;top:5;width:72;height:2" coordorigin="0,5" coordsize="72,0" path="m72,5l0,5e" filled="true" fillcolor="#231f20" stroked="false">
              <v:path arrowok="t"/>
              <v:fill type="solid"/>
            </v:shape>
            <v:line style="position:absolute" from="0,5" to="72,5" stroked="true" strokeweight=".5pt" strokecolor="#000000">
              <v:stroke dashstyle="solid"/>
            </v:line>
          </v:group>
        </w:pict>
      </w:r>
      <w:r>
        <w:rPr>
          <w:sz w:val="2"/>
        </w:rPr>
      </w:r>
    </w:p>
    <w:p>
      <w:pPr>
        <w:pStyle w:val="BodyText"/>
        <w:rPr>
          <w:sz w:val="12"/>
        </w:rPr>
      </w:pPr>
    </w:p>
    <w:p>
      <w:pPr>
        <w:pStyle w:val="BodyText"/>
        <w:rPr>
          <w:sz w:val="12"/>
        </w:rPr>
      </w:pPr>
    </w:p>
    <w:p>
      <w:pPr>
        <w:pStyle w:val="BodyText"/>
        <w:spacing w:before="3"/>
        <w:rPr>
          <w:sz w:val="16"/>
        </w:rPr>
      </w:pPr>
    </w:p>
    <w:p>
      <w:pPr>
        <w:tabs>
          <w:tab w:pos="1468" w:val="left" w:leader="none"/>
          <w:tab w:pos="2213" w:val="left" w:leader="none"/>
          <w:tab w:pos="2823" w:val="left" w:leader="none"/>
        </w:tabs>
        <w:spacing w:before="0"/>
        <w:ind w:left="648" w:right="0" w:firstLine="0"/>
        <w:jc w:val="left"/>
        <w:rPr>
          <w:sz w:val="12"/>
        </w:rPr>
      </w:pPr>
      <w:r>
        <w:rPr>
          <w:color w:val="231F20"/>
          <w:sz w:val="12"/>
        </w:rPr>
        <w:t>1997</w:t>
        <w:tab/>
        <w:t>98</w:t>
        <w:tab/>
        <w:t>99</w:t>
        <w:tab/>
        <w:t>2000</w:t>
      </w:r>
    </w:p>
    <w:p>
      <w:pPr>
        <w:spacing w:line="101" w:lineRule="exact" w:before="99"/>
        <w:ind w:left="219" w:right="0" w:firstLine="0"/>
        <w:jc w:val="left"/>
        <w:rPr>
          <w:sz w:val="12"/>
        </w:rPr>
      </w:pPr>
      <w:r>
        <w:rPr>
          <w:sz w:val="12"/>
        </w:rPr>
        <w:t>Sources: LIFFE and Bank of England.</w:t>
      </w:r>
    </w:p>
    <w:p>
      <w:pPr>
        <w:spacing w:before="95"/>
        <w:ind w:left="223" w:right="0" w:firstLine="0"/>
        <w:jc w:val="left"/>
        <w:rPr>
          <w:sz w:val="12"/>
        </w:rPr>
      </w:pPr>
      <w:r>
        <w:rPr/>
        <w:br w:type="column"/>
      </w:r>
      <w:r>
        <w:rPr>
          <w:color w:val="231F20"/>
          <w:sz w:val="12"/>
        </w:rPr>
        <w:t>5.5</w:t>
      </w:r>
    </w:p>
    <w:p>
      <w:pPr>
        <w:pStyle w:val="BodyText"/>
        <w:spacing w:before="9"/>
        <w:rPr>
          <w:sz w:val="17"/>
        </w:rPr>
      </w:pPr>
    </w:p>
    <w:p>
      <w:pPr>
        <w:spacing w:before="0"/>
        <w:ind w:left="223" w:right="0" w:firstLine="0"/>
        <w:jc w:val="left"/>
        <w:rPr>
          <w:sz w:val="12"/>
        </w:rPr>
      </w:pPr>
      <w:r>
        <w:rPr/>
        <w:pict>
          <v:group style="position:absolute;margin-left:46.450001pt;margin-top:3.946567pt;width:156.5pt;height:6.7pt;mso-position-horizontal-relative:page;mso-position-vertical-relative:paragraph;z-index:15805440" coordorigin="929,79" coordsize="3130,134">
            <v:shape style="position:absolute;left:929;top:207;width:3100;height:2" coordorigin="929,207" coordsize="3100,0" path="m4029,207l929,207e" filled="true" fillcolor="#231f20" stroked="false">
              <v:path arrowok="t"/>
              <v:fill type="solid"/>
            </v:shape>
            <v:line style="position:absolute" from="929,207" to="4029,207" stroked="true" strokeweight=".5pt" strokecolor="#000000">
              <v:stroke dashstyle="solid"/>
            </v:line>
            <v:shape style="position:absolute;left:1069;top:119;width:2;height:89" coordorigin="1069,119" coordsize="0,89" path="m1069,119l1069,207e" filled="true" fillcolor="#231f20" stroked="false">
              <v:path arrowok="t"/>
              <v:fill type="solid"/>
            </v:shape>
            <v:line style="position:absolute" from="1069,207" to="1069,119" stroked="true" strokeweight=".5pt" strokecolor="#000000">
              <v:stroke dashstyle="solid"/>
            </v:line>
            <v:shape style="position:absolute;left:1129;top:159;width:2;height:49" coordorigin="1129,159" coordsize="0,49" path="m1129,159l1129,207e" filled="true" fillcolor="#231f20" stroked="false">
              <v:path arrowok="t"/>
              <v:fill type="solid"/>
            </v:shape>
            <v:line style="position:absolute" from="1129,207" to="1129,159" stroked="true" strokeweight=".5pt" strokecolor="#000000">
              <v:stroke dashstyle="solid"/>
            </v:line>
            <v:shape style="position:absolute;left:1189;top:159;width:2;height:49" coordorigin="1189,159" coordsize="0,49" path="m1189,159l1189,207e" filled="true" fillcolor="#231f20" stroked="false">
              <v:path arrowok="t"/>
              <v:fill type="solid"/>
            </v:shape>
            <v:line style="position:absolute" from="1189,207" to="1189,159" stroked="true" strokeweight=".5pt" strokecolor="#000000">
              <v:stroke dashstyle="solid"/>
            </v:line>
            <v:shape style="position:absolute;left:1249;top:159;width:2;height:49" coordorigin="1249,159" coordsize="0,49" path="m1249,159l1249,207e" filled="true" fillcolor="#231f20" stroked="false">
              <v:path arrowok="t"/>
              <v:fill type="solid"/>
            </v:shape>
            <v:line style="position:absolute" from="1249,207" to="1249,159" stroked="true" strokeweight=".5pt" strokecolor="#000000">
              <v:stroke dashstyle="solid"/>
            </v:line>
            <v:shape style="position:absolute;left:1309;top:159;width:2;height:49" coordorigin="1309,159" coordsize="0,49" path="m1309,159l1309,207e" filled="true" fillcolor="#231f20" stroked="false">
              <v:path arrowok="t"/>
              <v:fill type="solid"/>
            </v:shape>
            <v:line style="position:absolute" from="1309,207" to="1309,159" stroked="true" strokeweight=".5pt" strokecolor="#000000">
              <v:stroke dashstyle="solid"/>
            </v:line>
            <v:shape style="position:absolute;left:1369;top:159;width:2;height:49" coordorigin="1369,159" coordsize="0,49" path="m1369,159l1369,207e" filled="true" fillcolor="#231f20" stroked="false">
              <v:path arrowok="t"/>
              <v:fill type="solid"/>
            </v:shape>
            <v:line style="position:absolute" from="1369,207" to="1369,159" stroked="true" strokeweight=".5pt" strokecolor="#000000">
              <v:stroke dashstyle="solid"/>
            </v:line>
            <v:shape style="position:absolute;left:1429;top:159;width:2;height:49" coordorigin="1429,159" coordsize="0,49" path="m1429,159l1429,207e" filled="true" fillcolor="#231f20" stroked="false">
              <v:path arrowok="t"/>
              <v:fill type="solid"/>
            </v:shape>
            <v:line style="position:absolute" from="1429,207" to="1429,159" stroked="true" strokeweight=".5pt" strokecolor="#000000">
              <v:stroke dashstyle="solid"/>
            </v:line>
            <v:shape style="position:absolute;left:1489;top:159;width:2;height:49" coordorigin="1489,159" coordsize="0,49" path="m1489,159l1489,207e" filled="true" fillcolor="#231f20" stroked="false">
              <v:path arrowok="t"/>
              <v:fill type="solid"/>
            </v:shape>
            <v:line style="position:absolute" from="1489,207" to="1489,159" stroked="true" strokeweight=".5pt" strokecolor="#000000">
              <v:stroke dashstyle="solid"/>
            </v:line>
            <v:shape style="position:absolute;left:1549;top:159;width:2;height:49" coordorigin="1549,159" coordsize="0,49" path="m1549,159l1549,207e" filled="true" fillcolor="#231f20" stroked="false">
              <v:path arrowok="t"/>
              <v:fill type="solid"/>
            </v:shape>
            <v:line style="position:absolute" from="1549,207" to="1549,159" stroked="true" strokeweight=".5pt" strokecolor="#000000">
              <v:stroke dashstyle="solid"/>
            </v:line>
            <v:shape style="position:absolute;left:1609;top:159;width:2;height:49" coordorigin="1609,159" coordsize="0,49" path="m1609,159l1609,207e" filled="true" fillcolor="#231f20" stroked="false">
              <v:path arrowok="t"/>
              <v:fill type="solid"/>
            </v:shape>
            <v:line style="position:absolute" from="1609,207" to="1609,159" stroked="true" strokeweight=".5pt" strokecolor="#000000">
              <v:stroke dashstyle="solid"/>
            </v:line>
            <v:shape style="position:absolute;left:1669;top:159;width:2;height:49" coordorigin="1669,159" coordsize="0,49" path="m1669,159l1669,207e" filled="true" fillcolor="#231f20" stroked="false">
              <v:path arrowok="t"/>
              <v:fill type="solid"/>
            </v:shape>
            <v:line style="position:absolute" from="1669,207" to="1669,159" stroked="true" strokeweight=".5pt" strokecolor="#000000">
              <v:stroke dashstyle="solid"/>
            </v:line>
            <v:shape style="position:absolute;left:1729;top:159;width:2;height:49" coordorigin="1729,159" coordsize="0,49" path="m1729,159l1729,207e" filled="true" fillcolor="#231f20" stroked="false">
              <v:path arrowok="t"/>
              <v:fill type="solid"/>
            </v:shape>
            <v:line style="position:absolute" from="1729,207" to="1729,159" stroked="true" strokeweight=".5pt" strokecolor="#000000">
              <v:stroke dashstyle="solid"/>
            </v:line>
            <v:shape style="position:absolute;left:1789;top:119;width:2;height:89" coordorigin="1789,119" coordsize="0,89" path="m1789,119l1789,207e" filled="true" fillcolor="#231f20" stroked="false">
              <v:path arrowok="t"/>
              <v:fill type="solid"/>
            </v:shape>
            <v:line style="position:absolute" from="1789,207" to="1789,119" stroked="true" strokeweight=".5pt" strokecolor="#000000">
              <v:stroke dashstyle="solid"/>
            </v:line>
            <v:shape style="position:absolute;left:1849;top:159;width:2;height:49" coordorigin="1849,159" coordsize="0,49" path="m1849,159l1849,207e" filled="true" fillcolor="#231f20" stroked="false">
              <v:path arrowok="t"/>
              <v:fill type="solid"/>
            </v:shape>
            <v:line style="position:absolute" from="1849,207" to="1849,159" stroked="true" strokeweight=".5pt" strokecolor="#000000">
              <v:stroke dashstyle="solid"/>
            </v:line>
            <v:shape style="position:absolute;left:1909;top:159;width:2;height:49" coordorigin="1909,159" coordsize="0,49" path="m1909,159l1909,207e" filled="true" fillcolor="#231f20" stroked="false">
              <v:path arrowok="t"/>
              <v:fill type="solid"/>
            </v:shape>
            <v:line style="position:absolute" from="1909,207" to="1909,159" stroked="true" strokeweight=".5pt" strokecolor="#000000">
              <v:stroke dashstyle="solid"/>
            </v:line>
            <v:shape style="position:absolute;left:1969;top:159;width:2;height:49" coordorigin="1969,159" coordsize="0,49" path="m1969,159l1969,207e" filled="true" fillcolor="#231f20" stroked="false">
              <v:path arrowok="t"/>
              <v:fill type="solid"/>
            </v:shape>
            <v:line style="position:absolute" from="1969,207" to="1969,159" stroked="true" strokeweight=".5pt" strokecolor="#000000">
              <v:stroke dashstyle="solid"/>
            </v:line>
            <v:shape style="position:absolute;left:2029;top:159;width:2;height:49" coordorigin="2029,159" coordsize="0,49" path="m2029,159l2029,207e" filled="true" fillcolor="#231f20" stroked="false">
              <v:path arrowok="t"/>
              <v:fill type="solid"/>
            </v:shape>
            <v:line style="position:absolute" from="2029,207" to="2029,159" stroked="true" strokeweight=".5pt" strokecolor="#000000">
              <v:stroke dashstyle="solid"/>
            </v:line>
            <v:shape style="position:absolute;left:2089;top:159;width:2;height:49" coordorigin="2089,159" coordsize="0,49" path="m2089,159l2089,207e" filled="true" fillcolor="#231f20" stroked="false">
              <v:path arrowok="t"/>
              <v:fill type="solid"/>
            </v:shape>
            <v:line style="position:absolute" from="2089,207" to="2089,159" stroked="true" strokeweight=".5pt" strokecolor="#000000">
              <v:stroke dashstyle="solid"/>
            </v:line>
            <v:shape style="position:absolute;left:2149;top:159;width:2;height:49" coordorigin="2149,159" coordsize="0,49" path="m2149,159l2149,207e" filled="true" fillcolor="#231f20" stroked="false">
              <v:path arrowok="t"/>
              <v:fill type="solid"/>
            </v:shape>
            <v:line style="position:absolute" from="2149,207" to="2149,159" stroked="true" strokeweight=".5pt" strokecolor="#000000">
              <v:stroke dashstyle="solid"/>
            </v:line>
            <v:shape style="position:absolute;left:2209;top:159;width:2;height:49" coordorigin="2209,159" coordsize="0,49" path="m2209,159l2209,207e" filled="true" fillcolor="#231f20" stroked="false">
              <v:path arrowok="t"/>
              <v:fill type="solid"/>
            </v:shape>
            <v:line style="position:absolute" from="2209,207" to="2209,159" stroked="true" strokeweight=".5pt" strokecolor="#000000">
              <v:stroke dashstyle="solid"/>
            </v:line>
            <v:shape style="position:absolute;left:2269;top:159;width:2;height:49" coordorigin="2269,159" coordsize="0,49" path="m2269,159l2269,207e" filled="true" fillcolor="#231f20" stroked="false">
              <v:path arrowok="t"/>
              <v:fill type="solid"/>
            </v:shape>
            <v:line style="position:absolute" from="2269,207" to="2269,159" stroked="true" strokeweight=".5pt" strokecolor="#000000">
              <v:stroke dashstyle="solid"/>
            </v:line>
            <v:shape style="position:absolute;left:2329;top:159;width:2;height:49" coordorigin="2329,159" coordsize="0,49" path="m2329,159l2329,207e" filled="true" fillcolor="#231f20" stroked="false">
              <v:path arrowok="t"/>
              <v:fill type="solid"/>
            </v:shape>
            <v:line style="position:absolute" from="2329,207" to="2329,159" stroked="true" strokeweight=".5pt" strokecolor="#000000">
              <v:stroke dashstyle="solid"/>
            </v:line>
            <v:shape style="position:absolute;left:2389;top:159;width:2;height:49" coordorigin="2389,159" coordsize="0,49" path="m2389,159l2389,207e" filled="true" fillcolor="#231f20" stroked="false">
              <v:path arrowok="t"/>
              <v:fill type="solid"/>
            </v:shape>
            <v:line style="position:absolute" from="2389,207" to="2389,159" stroked="true" strokeweight=".5pt" strokecolor="#000000">
              <v:stroke dashstyle="solid"/>
            </v:line>
            <v:shape style="position:absolute;left:2449;top:159;width:2;height:49" coordorigin="2449,159" coordsize="0,49" path="m2449,159l2449,207e" filled="true" fillcolor="#231f20" stroked="false">
              <v:path arrowok="t"/>
              <v:fill type="solid"/>
            </v:shape>
            <v:line style="position:absolute" from="2449,207" to="2449,159" stroked="true" strokeweight=".5pt" strokecolor="#000000">
              <v:stroke dashstyle="solid"/>
            </v:line>
            <v:shape style="position:absolute;left:2509;top:119;width:2;height:89" coordorigin="2509,119" coordsize="0,89" path="m2509,119l2509,207e" filled="true" fillcolor="#231f20" stroked="false">
              <v:path arrowok="t"/>
              <v:fill type="solid"/>
            </v:shape>
            <v:line style="position:absolute" from="2509,207" to="2509,119" stroked="true" strokeweight=".5pt" strokecolor="#000000">
              <v:stroke dashstyle="solid"/>
            </v:line>
            <v:shape style="position:absolute;left:2569;top:159;width:2;height:49" coordorigin="2569,159" coordsize="0,49" path="m2569,159l2569,207e" filled="true" fillcolor="#231f20" stroked="false">
              <v:path arrowok="t"/>
              <v:fill type="solid"/>
            </v:shape>
            <v:line style="position:absolute" from="2569,207" to="2569,159" stroked="true" strokeweight=".5pt" strokecolor="#000000">
              <v:stroke dashstyle="solid"/>
            </v:line>
            <v:shape style="position:absolute;left:2629;top:159;width:2;height:49" coordorigin="2629,159" coordsize="0,49" path="m2629,159l2629,207e" filled="true" fillcolor="#231f20" stroked="false">
              <v:path arrowok="t"/>
              <v:fill type="solid"/>
            </v:shape>
            <v:line style="position:absolute" from="2629,207" to="2629,159" stroked="true" strokeweight=".5pt" strokecolor="#000000">
              <v:stroke dashstyle="solid"/>
            </v:line>
            <v:shape style="position:absolute;left:2689;top:159;width:2;height:49" coordorigin="2689,159" coordsize="0,49" path="m2689,159l2689,207e" filled="true" fillcolor="#231f20" stroked="false">
              <v:path arrowok="t"/>
              <v:fill type="solid"/>
            </v:shape>
            <v:line style="position:absolute" from="2689,207" to="2689,159" stroked="true" strokeweight=".5pt" strokecolor="#000000">
              <v:stroke dashstyle="solid"/>
            </v:line>
            <v:shape style="position:absolute;left:2749;top:159;width:2;height:49" coordorigin="2749,159" coordsize="0,49" path="m2749,159l2749,207e" filled="true" fillcolor="#231f20" stroked="false">
              <v:path arrowok="t"/>
              <v:fill type="solid"/>
            </v:shape>
            <v:line style="position:absolute" from="2749,207" to="2749,159" stroked="true" strokeweight=".5pt" strokecolor="#000000">
              <v:stroke dashstyle="solid"/>
            </v:line>
            <v:shape style="position:absolute;left:2809;top:159;width:2;height:49" coordorigin="2809,159" coordsize="0,49" path="m2809,159l2809,207e" filled="true" fillcolor="#231f20" stroked="false">
              <v:path arrowok="t"/>
              <v:fill type="solid"/>
            </v:shape>
            <v:line style="position:absolute" from="2809,207" to="2809,159" stroked="true" strokeweight=".5pt" strokecolor="#000000">
              <v:stroke dashstyle="solid"/>
            </v:line>
            <v:shape style="position:absolute;left:2869;top:159;width:2;height:49" coordorigin="2869,159" coordsize="0,49" path="m2869,159l2869,207e" filled="true" fillcolor="#231f20" stroked="false">
              <v:path arrowok="t"/>
              <v:fill type="solid"/>
            </v:shape>
            <v:line style="position:absolute" from="2869,207" to="2869,159" stroked="true" strokeweight=".5pt" strokecolor="#000000">
              <v:stroke dashstyle="solid"/>
            </v:line>
            <v:shape style="position:absolute;left:2929;top:159;width:2;height:49" coordorigin="2929,159" coordsize="0,49" path="m2929,159l2929,207e" filled="true" fillcolor="#231f20" stroked="false">
              <v:path arrowok="t"/>
              <v:fill type="solid"/>
            </v:shape>
            <v:line style="position:absolute" from="2929,207" to="2929,159" stroked="true" strokeweight=".5pt" strokecolor="#000000">
              <v:stroke dashstyle="solid"/>
            </v:line>
            <v:shape style="position:absolute;left:2989;top:159;width:2;height:49" coordorigin="2989,159" coordsize="0,49" path="m2989,159l2989,207e" filled="true" fillcolor="#231f20" stroked="false">
              <v:path arrowok="t"/>
              <v:fill type="solid"/>
            </v:shape>
            <v:line style="position:absolute" from="2989,207" to="2989,159" stroked="true" strokeweight=".5pt" strokecolor="#000000">
              <v:stroke dashstyle="solid"/>
            </v:line>
            <v:shape style="position:absolute;left:3049;top:159;width:2;height:49" coordorigin="3049,159" coordsize="0,49" path="m3049,159l3049,207e" filled="true" fillcolor="#231f20" stroked="false">
              <v:path arrowok="t"/>
              <v:fill type="solid"/>
            </v:shape>
            <v:line style="position:absolute" from="3049,207" to="3049,159" stroked="true" strokeweight=".5pt" strokecolor="#000000">
              <v:stroke dashstyle="solid"/>
            </v:line>
            <v:shape style="position:absolute;left:3109;top:159;width:2;height:49" coordorigin="3109,159" coordsize="0,49" path="m3109,159l3109,207e" filled="true" fillcolor="#231f20" stroked="false">
              <v:path arrowok="t"/>
              <v:fill type="solid"/>
            </v:shape>
            <v:line style="position:absolute" from="3109,207" to="3109,159" stroked="true" strokeweight=".5pt" strokecolor="#000000">
              <v:stroke dashstyle="solid"/>
            </v:line>
            <v:shape style="position:absolute;left:3169;top:159;width:2;height:49" coordorigin="3169,159" coordsize="0,49" path="m3169,159l3169,207e" filled="true" fillcolor="#231f20" stroked="false">
              <v:path arrowok="t"/>
              <v:fill type="solid"/>
            </v:shape>
            <v:line style="position:absolute" from="3169,207" to="3169,159" stroked="true" strokeweight=".5pt" strokecolor="#000000">
              <v:stroke dashstyle="solid"/>
            </v:line>
            <v:shape style="position:absolute;left:3229;top:119;width:2;height:89" coordorigin="3229,119" coordsize="0,89" path="m3229,119l3229,207e" filled="true" fillcolor="#231f20" stroked="false">
              <v:path arrowok="t"/>
              <v:fill type="solid"/>
            </v:shape>
            <v:line style="position:absolute" from="3229,207" to="3229,119" stroked="true" strokeweight=".5pt" strokecolor="#000000">
              <v:stroke dashstyle="solid"/>
            </v:line>
            <v:shape style="position:absolute;left:3289;top:159;width:2;height:49" coordorigin="3289,159" coordsize="0,49" path="m3289,159l3289,207e" filled="true" fillcolor="#231f20" stroked="false">
              <v:path arrowok="t"/>
              <v:fill type="solid"/>
            </v:shape>
            <v:line style="position:absolute" from="3289,207" to="3289,159" stroked="true" strokeweight=".5pt" strokecolor="#000000">
              <v:stroke dashstyle="solid"/>
            </v:line>
            <v:shape style="position:absolute;left:3349;top:159;width:2;height:49" coordorigin="3349,159" coordsize="0,49" path="m3349,159l3349,207e" filled="true" fillcolor="#231f20" stroked="false">
              <v:path arrowok="t"/>
              <v:fill type="solid"/>
            </v:shape>
            <v:line style="position:absolute" from="3349,207" to="3349,159" stroked="true" strokeweight=".5pt" strokecolor="#000000">
              <v:stroke dashstyle="solid"/>
            </v:line>
            <v:shape style="position:absolute;left:3409;top:159;width:2;height:49" coordorigin="3409,159" coordsize="0,49" path="m3409,159l3409,207e" filled="true" fillcolor="#231f20" stroked="false">
              <v:path arrowok="t"/>
              <v:fill type="solid"/>
            </v:shape>
            <v:line style="position:absolute" from="3409,207" to="3409,159" stroked="true" strokeweight=".5pt" strokecolor="#000000">
              <v:stroke dashstyle="solid"/>
            </v:line>
            <v:shape style="position:absolute;left:3469;top:159;width:2;height:49" coordorigin="3469,159" coordsize="0,49" path="m3469,159l3469,207e" filled="true" fillcolor="#231f20" stroked="false">
              <v:path arrowok="t"/>
              <v:fill type="solid"/>
            </v:shape>
            <v:line style="position:absolute" from="3469,207" to="3469,159" stroked="true" strokeweight=".5pt" strokecolor="#000000">
              <v:stroke dashstyle="solid"/>
            </v:line>
            <v:shape style="position:absolute;left:3529;top:159;width:2;height:49" coordorigin="3529,159" coordsize="0,49" path="m3529,159l3529,207e" filled="true" fillcolor="#231f20" stroked="false">
              <v:path arrowok="t"/>
              <v:fill type="solid"/>
            </v:shape>
            <v:line style="position:absolute" from="3529,207" to="3529,159" stroked="true" strokeweight=".5pt" strokecolor="#000000">
              <v:stroke dashstyle="solid"/>
            </v:line>
            <v:shape style="position:absolute;left:3589;top:159;width:2;height:49" coordorigin="3589,159" coordsize="0,49" path="m3589,159l3589,207e" filled="true" fillcolor="#231f20" stroked="false">
              <v:path arrowok="t"/>
              <v:fill type="solid"/>
            </v:shape>
            <v:line style="position:absolute" from="3589,207" to="3589,159" stroked="true" strokeweight=".5pt" strokecolor="#000000">
              <v:stroke dashstyle="solid"/>
            </v:line>
            <v:shape style="position:absolute;left:3649;top:159;width:2;height:49" coordorigin="3649,159" coordsize="0,49" path="m3649,159l3649,207e" filled="true" fillcolor="#231f20" stroked="false">
              <v:path arrowok="t"/>
              <v:fill type="solid"/>
            </v:shape>
            <v:line style="position:absolute" from="3649,207" to="3649,159" stroked="true" strokeweight=".5pt" strokecolor="#000000">
              <v:stroke dashstyle="solid"/>
            </v:line>
            <v:shape style="position:absolute;left:3709;top:159;width:2;height:49" coordorigin="3709,159" coordsize="0,49" path="m3709,159l3709,207e" filled="true" fillcolor="#231f20" stroked="false">
              <v:path arrowok="t"/>
              <v:fill type="solid"/>
            </v:shape>
            <v:line style="position:absolute" from="3709,207" to="3709,159" stroked="true" strokeweight=".5pt" strokecolor="#000000">
              <v:stroke dashstyle="solid"/>
            </v:line>
            <v:shape style="position:absolute;left:3769;top:159;width:2;height:49" coordorigin="3769,159" coordsize="0,49" path="m3769,159l3769,207e" filled="true" fillcolor="#231f20" stroked="false">
              <v:path arrowok="t"/>
              <v:fill type="solid"/>
            </v:shape>
            <v:line style="position:absolute" from="3769,207" to="3769,159" stroked="true" strokeweight=".5pt" strokecolor="#000000">
              <v:stroke dashstyle="solid"/>
            </v:line>
            <v:shape style="position:absolute;left:3829;top:159;width:2;height:49" coordorigin="3829,159" coordsize="0,49" path="m3829,159l3829,207e" filled="true" fillcolor="#231f20" stroked="false">
              <v:path arrowok="t"/>
              <v:fill type="solid"/>
            </v:shape>
            <v:line style="position:absolute" from="3829,207" to="3829,159" stroked="true" strokeweight=".5pt" strokecolor="#000000">
              <v:stroke dashstyle="solid"/>
            </v:line>
            <v:shape style="position:absolute;left:3889;top:159;width:2;height:49" coordorigin="3889,159" coordsize="0,49" path="m3889,159l3889,207e" filled="true" fillcolor="#231f20" stroked="false">
              <v:path arrowok="t"/>
              <v:fill type="solid"/>
            </v:shape>
            <v:line style="position:absolute" from="3889,207" to="3889,159" stroked="true" strokeweight=".5pt" strokecolor="#000000">
              <v:stroke dashstyle="solid"/>
            </v:line>
            <v:shape style="position:absolute;left:929;top:83;width:72;height:2" coordorigin="929,84" coordsize="72,0" path="m1001,84l929,84e" filled="true" fillcolor="#231f20" stroked="false">
              <v:path arrowok="t"/>
              <v:fill type="solid"/>
            </v:shape>
            <v:line style="position:absolute" from="929,84" to="1001,84" stroked="true" strokeweight=".5pt" strokecolor="#000000">
              <v:stroke dashstyle="solid"/>
            </v:line>
            <v:shape style="position:absolute;left:3967;top:83;width:72;height:2" coordorigin="3967,84" coordsize="72,0" path="m4039,84l3967,84e" filled="true" fillcolor="#231f20" stroked="false">
              <v:path arrowok="t"/>
              <v:fill type="solid"/>
            </v:shape>
            <v:shape style="position:absolute;left:984;top:83;width:3070;height:124" coordorigin="984,84" coordsize="3070,124" path="m4039,84l3967,84m4034,87l4034,112,4014,128,4054,141,4014,160,4054,176,4031,185,4030,207m1004,86l1004,111,984,127,1024,140,984,159,1024,175,1001,184,1000,206e" filled="false" stroked="true" strokeweight=".5pt" strokecolor="#000000">
              <v:path arrowok="t"/>
              <v:stroke dashstyle="solid"/>
            </v:shape>
            <w10:wrap type="none"/>
          </v:group>
        </w:pict>
      </w:r>
      <w:r>
        <w:rPr/>
        <w:pict>
          <v:group style="position:absolute;margin-left:198.350006pt;margin-top:-13.153433pt;width:3.6pt;height:.5pt;mso-position-horizontal-relative:page;mso-position-vertical-relative:paragraph;z-index:15809536" coordorigin="3967,-263" coordsize="72,10">
            <v:shape style="position:absolute;left:3967;top:-259;width:72;height:2" coordorigin="3967,-258" coordsize="72,0" path="m4039,-258l3967,-258e" filled="true" fillcolor="#231f20" stroked="false">
              <v:path arrowok="t"/>
              <v:fill type="solid"/>
            </v:shape>
            <v:line style="position:absolute" from="4039,-258" to="3967,-258" stroked="true" strokeweight=".5pt" strokecolor="#000000">
              <v:stroke dashstyle="solid"/>
            </v:line>
            <w10:wrap type="none"/>
          </v:group>
        </w:pict>
      </w:r>
      <w:r>
        <w:rPr>
          <w:color w:val="231F20"/>
          <w:sz w:val="12"/>
        </w:rPr>
        <w:t>5.0</w:t>
      </w:r>
    </w:p>
    <w:p>
      <w:pPr>
        <w:spacing w:before="12"/>
        <w:ind w:left="218" w:right="0" w:firstLine="0"/>
        <w:jc w:val="left"/>
        <w:rPr>
          <w:sz w:val="12"/>
        </w:rPr>
      </w:pPr>
      <w:r>
        <w:rPr>
          <w:color w:val="231F20"/>
          <w:sz w:val="12"/>
        </w:rPr>
        <w:t>0.0</w:t>
      </w:r>
    </w:p>
    <w:p>
      <w:pPr>
        <w:pStyle w:val="Heading6"/>
        <w:spacing w:line="242" w:lineRule="auto" w:before="145"/>
        <w:ind w:left="218" w:right="167"/>
      </w:pPr>
      <w:r>
        <w:rPr/>
        <w:br w:type="column"/>
      </w:r>
      <w:r>
        <w:rPr/>
        <w:t>Chart 1.12 shows the risk-neutral probability distribution of expected three-month market interest rates derived from options prices on 9 February 2000. Expectations</w:t>
      </w:r>
    </w:p>
    <w:p>
      <w:pPr>
        <w:spacing w:after="0" w:line="242" w:lineRule="auto"/>
        <w:sectPr>
          <w:type w:val="continuous"/>
          <w:pgSz w:w="11900" w:h="16840"/>
          <w:pgMar w:top="1220" w:bottom="280" w:left="620" w:right="640"/>
          <w:cols w:num="3" w:equalWidth="0">
            <w:col w:w="3104" w:space="116"/>
            <w:col w:w="415" w:space="1127"/>
            <w:col w:w="5878"/>
          </w:cols>
        </w:sectPr>
      </w:pPr>
    </w:p>
    <w:p>
      <w:pPr>
        <w:pStyle w:val="BodyText"/>
        <w:spacing w:before="5"/>
        <w:rPr>
          <w:sz w:val="13"/>
        </w:rPr>
      </w:pPr>
    </w:p>
    <w:p>
      <w:pPr>
        <w:spacing w:line="208" w:lineRule="auto" w:before="0"/>
        <w:ind w:left="219" w:right="259" w:firstLine="0"/>
        <w:jc w:val="left"/>
        <w:rPr>
          <w:sz w:val="12"/>
        </w:rPr>
      </w:pPr>
      <w:r>
        <w:rPr>
          <w:sz w:val="12"/>
        </w:rPr>
        <w:t>The fan chart depicting the probability distribution for short-term interest rates is rather like a contour map. At any given point, the depth of shading</w:t>
      </w:r>
    </w:p>
    <w:p>
      <w:pPr>
        <w:spacing w:line="208" w:lineRule="auto" w:before="0"/>
        <w:ind w:left="219" w:right="143" w:firstLine="0"/>
        <w:jc w:val="left"/>
        <w:rPr>
          <w:sz w:val="12"/>
        </w:rPr>
      </w:pPr>
      <w:r>
        <w:rPr>
          <w:sz w:val="12"/>
        </w:rPr>
        <w:t>represents the height of the probability density function implied by the markets over a range of outcomes for short-term interest rates. The markets judge that there is 10% chance of interest rates being within the darkest, central band at any date. Each successive pair of bands covers a further 10% of the probability</w:t>
      </w:r>
    </w:p>
    <w:p>
      <w:pPr>
        <w:spacing w:line="208" w:lineRule="auto" w:before="0"/>
        <w:ind w:left="219" w:right="20" w:firstLine="0"/>
        <w:jc w:val="left"/>
        <w:rPr>
          <w:sz w:val="12"/>
        </w:rPr>
      </w:pPr>
      <w:r>
        <w:rPr>
          <w:sz w:val="12"/>
        </w:rPr>
        <w:t>distribution until 90% of the distribution is covered. The bands widen as the time horizon is extended, indicating increased uncertainty about interest rate outcomes.</w:t>
      </w:r>
    </w:p>
    <w:p>
      <w:pPr>
        <w:pStyle w:val="Heading6"/>
        <w:spacing w:line="242" w:lineRule="auto"/>
        <w:ind w:left="218" w:right="150"/>
      </w:pPr>
      <w:r>
        <w:rPr/>
        <w:br w:type="column"/>
      </w:r>
      <w:r>
        <w:rPr/>
        <w:t>for the market rate in question—the three-month interbank rate—will generally exceed expectations of the official repo rate. The total width of the distribution at any point in time shows market uncertainty about the path of UK interest rates. The width of the fan above</w:t>
      </w:r>
    </w:p>
    <w:p>
      <w:pPr>
        <w:pStyle w:val="BodyText"/>
        <w:spacing w:before="1"/>
        <w:rPr>
          <w:sz w:val="9"/>
        </w:rPr>
      </w:pPr>
      <w:r>
        <w:rPr/>
        <w:pict>
          <v:shape style="position:absolute;margin-left:279pt;margin-top:7.316258pt;width:277pt;height:.1pt;mso-position-horizontal-relative:page;mso-position-vertical-relative:paragraph;z-index:-15654912;mso-wrap-distance-left:0;mso-wrap-distance-right:0" coordorigin="5580,146" coordsize="5540,0" path="m5580,146l11120,146e" filled="false" stroked="true" strokeweight=".125pt" strokecolor="#000000">
            <v:path arrowok="t"/>
            <v:stroke dashstyle="solid"/>
            <w10:wrap type="topAndBottom"/>
          </v:shape>
        </w:pict>
      </w:r>
    </w:p>
    <w:p>
      <w:pPr>
        <w:spacing w:line="208" w:lineRule="auto" w:before="0"/>
        <w:ind w:left="468" w:right="667" w:hanging="240"/>
        <w:jc w:val="left"/>
        <w:rPr>
          <w:sz w:val="16"/>
        </w:rPr>
      </w:pPr>
      <w:hyperlink r:id="rId16">
        <w:r>
          <w:rPr>
            <w:sz w:val="16"/>
          </w:rPr>
          <w:t>(1) This technique is explained by Anderson, N and Sleath, J, ‘New estimates of the UK real and nominal yield curves’, </w:t>
        </w:r>
        <w:r>
          <w:rPr>
            <w:i/>
            <w:sz w:val="16"/>
          </w:rPr>
          <w:t>Bank of England Quarterly </w:t>
        </w:r>
        <w:r>
          <w:rPr>
            <w:i/>
            <w:sz w:val="16"/>
          </w:rPr>
          <w:t>Bulletin</w:t>
        </w:r>
        <w:r>
          <w:rPr>
            <w:sz w:val="16"/>
          </w:rPr>
          <w:t>, November 1999, pages 384–92.</w:t>
        </w:r>
      </w:hyperlink>
    </w:p>
    <w:p>
      <w:pPr>
        <w:spacing w:after="0" w:line="208" w:lineRule="auto"/>
        <w:jc w:val="left"/>
        <w:rPr>
          <w:sz w:val="16"/>
        </w:rPr>
        <w:sectPr>
          <w:type w:val="continuous"/>
          <w:pgSz w:w="11900" w:h="16840"/>
          <w:pgMar w:top="1220" w:bottom="280" w:left="620" w:right="640"/>
          <w:cols w:num="2" w:equalWidth="0">
            <w:col w:w="4201" w:space="560"/>
            <w:col w:w="5879"/>
          </w:cols>
        </w:sectPr>
      </w:pPr>
    </w:p>
    <w:p>
      <w:pPr>
        <w:pStyle w:val="BodyText"/>
        <w:rPr>
          <w:sz w:val="20"/>
        </w:rPr>
      </w:pPr>
    </w:p>
    <w:p>
      <w:pPr>
        <w:spacing w:after="0"/>
        <w:rPr>
          <w:sz w:val="20"/>
        </w:rPr>
        <w:sectPr>
          <w:headerReference w:type="default" r:id="rId41"/>
          <w:headerReference w:type="even" r:id="rId42"/>
          <w:footerReference w:type="default" r:id="rId43"/>
          <w:footerReference w:type="even" r:id="rId44"/>
          <w:pgSz w:w="11900" w:h="16840"/>
          <w:pgMar w:header="584" w:footer="617" w:top="780" w:bottom="800" w:left="620" w:right="640"/>
          <w:pgNumType w:start="9"/>
        </w:sectPr>
      </w:pPr>
    </w:p>
    <w:p>
      <w:pPr>
        <w:pStyle w:val="BodyText"/>
        <w:spacing w:before="7"/>
        <w:rPr>
          <w:sz w:val="19"/>
        </w:rPr>
      </w:pPr>
    </w:p>
    <w:p>
      <w:pPr>
        <w:pStyle w:val="Heading9"/>
        <w:spacing w:before="0"/>
        <w:ind w:left="170"/>
      </w:pPr>
      <w:bookmarkStart w:name="Long-term interest rates" w:id="20"/>
      <w:bookmarkEnd w:id="20"/>
      <w:r>
        <w:rPr>
          <w:b w:val="0"/>
        </w:rPr>
      </w:r>
      <w:bookmarkStart w:name="Equity prices" w:id="21"/>
      <w:bookmarkEnd w:id="21"/>
      <w:r>
        <w:rPr>
          <w:b w:val="0"/>
        </w:rPr>
      </w:r>
      <w:bookmarkStart w:name="_bookmark7" w:id="22"/>
      <w:bookmarkEnd w:id="22"/>
      <w:r>
        <w:rPr>
          <w:b w:val="0"/>
        </w:rPr>
      </w:r>
      <w:r>
        <w:rPr>
          <w:color w:val="0093C1"/>
        </w:rPr>
        <w:t>Chart 1.13</w:t>
      </w:r>
    </w:p>
    <w:p>
      <w:pPr>
        <w:spacing w:line="249" w:lineRule="auto" w:before="10"/>
        <w:ind w:left="170" w:right="188" w:firstLine="0"/>
        <w:jc w:val="left"/>
        <w:rPr>
          <w:b/>
          <w:sz w:val="20"/>
        </w:rPr>
      </w:pPr>
      <w:r>
        <w:rPr>
          <w:b/>
          <w:color w:val="0093C1"/>
          <w:sz w:val="20"/>
        </w:rPr>
        <w:t>Standard deviation and skewness of expected three-month interbank rates, six months ahead</w:t>
      </w:r>
    </w:p>
    <w:p>
      <w:pPr>
        <w:spacing w:before="115"/>
        <w:ind w:left="3029" w:right="0" w:firstLine="0"/>
        <w:jc w:val="left"/>
        <w:rPr>
          <w:sz w:val="12"/>
        </w:rPr>
      </w:pPr>
      <w:r>
        <w:rPr/>
        <w:drawing>
          <wp:anchor distT="0" distB="0" distL="0" distR="0" allowOverlap="1" layoutInCell="1" locked="0" behindDoc="0" simplePos="0" relativeHeight="15819264">
            <wp:simplePos x="0" y="0"/>
            <wp:positionH relativeFrom="page">
              <wp:posOffset>536028</wp:posOffset>
            </wp:positionH>
            <wp:positionV relativeFrom="paragraph">
              <wp:posOffset>170702</wp:posOffset>
            </wp:positionV>
            <wp:extent cx="55029" cy="6350"/>
            <wp:effectExtent l="0" t="0" r="0" b="0"/>
            <wp:wrapNone/>
            <wp:docPr id="3" name="image10.png"/>
            <wp:cNvGraphicFramePr>
              <a:graphicFrameLocks noChangeAspect="1"/>
            </wp:cNvGraphicFramePr>
            <a:graphic>
              <a:graphicData uri="http://schemas.openxmlformats.org/drawingml/2006/picture">
                <pic:pic>
                  <pic:nvPicPr>
                    <pic:cNvPr id="4" name="image10.png"/>
                    <pic:cNvPicPr/>
                  </pic:nvPicPr>
                  <pic:blipFill>
                    <a:blip r:embed="rId45" cstate="print"/>
                    <a:stretch>
                      <a:fillRect/>
                    </a:stretch>
                  </pic:blipFill>
                  <pic:spPr>
                    <a:xfrm>
                      <a:off x="0" y="0"/>
                      <a:ext cx="55029" cy="6350"/>
                    </a:xfrm>
                    <a:prstGeom prst="rect">
                      <a:avLst/>
                    </a:prstGeom>
                  </pic:spPr>
                </pic:pic>
              </a:graphicData>
            </a:graphic>
          </wp:anchor>
        </w:drawing>
      </w:r>
      <w:r>
        <w:rPr>
          <w:sz w:val="12"/>
        </w:rPr>
        <w:t>Per ce</w:t>
      </w:r>
      <w:r>
        <w:rPr>
          <w:sz w:val="12"/>
          <w:u w:val="single"/>
        </w:rPr>
        <w:t>n</w:t>
      </w:r>
      <w:r>
        <w:rPr>
          <w:sz w:val="12"/>
        </w:rPr>
        <w:t>t</w:t>
      </w:r>
      <w:r>
        <w:rPr>
          <w:spacing w:val="16"/>
          <w:sz w:val="12"/>
        </w:rPr>
        <w:t> </w:t>
      </w:r>
      <w:r>
        <w:rPr>
          <w:position w:val="-7"/>
          <w:sz w:val="12"/>
        </w:rPr>
        <w:t>1.0</w:t>
      </w:r>
    </w:p>
    <w:p>
      <w:pPr>
        <w:spacing w:before="117"/>
        <w:ind w:left="3465" w:right="0" w:firstLine="0"/>
        <w:jc w:val="left"/>
        <w:rPr>
          <w:sz w:val="12"/>
        </w:rPr>
      </w:pPr>
      <w:r>
        <w:rPr/>
        <w:pict>
          <v:group style="position:absolute;margin-left:42.207001pt;margin-top:7.598718pt;width:159.8pt;height:134.15pt;mso-position-horizontal-relative:page;mso-position-vertical-relative:paragraph;z-index:-22326272" coordorigin="844,152" coordsize="3196,2683">
            <v:shape style="position:absolute;left:844;top:151;width:3196;height:2683" type="#_x0000_t75" stroked="false">
              <v:imagedata r:id="rId46" o:title=""/>
            </v:shape>
            <v:shape style="position:absolute;left:3952;top:2824;width:87;height:10" type="#_x0000_t75" stroked="false">
              <v:imagedata r:id="rId47" o:title=""/>
            </v:shape>
            <w10:wrap type="none"/>
          </v:group>
        </w:pict>
      </w:r>
      <w:r>
        <w:rPr>
          <w:sz w:val="12"/>
        </w:rPr>
        <w:t>0.9</w:t>
      </w:r>
    </w:p>
    <w:p>
      <w:pPr>
        <w:pStyle w:val="BodyText"/>
        <w:spacing w:before="8"/>
        <w:rPr>
          <w:sz w:val="11"/>
        </w:rPr>
      </w:pPr>
    </w:p>
    <w:p>
      <w:pPr>
        <w:spacing w:before="0"/>
        <w:ind w:left="3465" w:right="0" w:firstLine="0"/>
        <w:jc w:val="left"/>
        <w:rPr>
          <w:sz w:val="12"/>
        </w:rPr>
      </w:pPr>
      <w:r>
        <w:rPr>
          <w:sz w:val="12"/>
        </w:rPr>
        <w:t>0.8</w:t>
      </w:r>
    </w:p>
    <w:p>
      <w:pPr>
        <w:pStyle w:val="BodyText"/>
        <w:spacing w:before="7"/>
        <w:rPr>
          <w:sz w:val="11"/>
        </w:rPr>
      </w:pPr>
    </w:p>
    <w:p>
      <w:pPr>
        <w:spacing w:line="111" w:lineRule="exact" w:before="0"/>
        <w:ind w:left="3465" w:right="0" w:firstLine="0"/>
        <w:jc w:val="left"/>
        <w:rPr>
          <w:sz w:val="12"/>
        </w:rPr>
      </w:pPr>
      <w:r>
        <w:rPr>
          <w:sz w:val="12"/>
        </w:rPr>
        <w:t>0.7</w:t>
      </w:r>
    </w:p>
    <w:p>
      <w:pPr>
        <w:pStyle w:val="BodyText"/>
        <w:spacing w:before="9"/>
        <w:rPr>
          <w:sz w:val="35"/>
        </w:rPr>
      </w:pPr>
      <w:r>
        <w:rPr/>
        <w:br w:type="column"/>
      </w:r>
      <w:r>
        <w:rPr>
          <w:sz w:val="35"/>
        </w:rPr>
      </w:r>
    </w:p>
    <w:p>
      <w:pPr>
        <w:pStyle w:val="Heading6"/>
        <w:spacing w:line="280" w:lineRule="atLeast"/>
        <w:ind w:left="170" w:right="318"/>
      </w:pPr>
      <w:r>
        <w:rPr/>
        <w:t>and below the darkest band illustrates market views about the balance of risks to interest rates. The chart indicates that the market places more weight on upside risks to short-term rates over the next two years.  A new technique developed by the Bank can be used to estimate changes over time in market perceptions of risk and uncertainty about the near-term path of</w:t>
      </w:r>
      <w:r>
        <w:rPr>
          <w:spacing w:val="1"/>
        </w:rPr>
        <w:t> </w:t>
      </w:r>
      <w:r>
        <w:rPr>
          <w:spacing w:val="-3"/>
        </w:rPr>
        <w:t>interest</w:t>
      </w:r>
    </w:p>
    <w:p>
      <w:pPr>
        <w:spacing w:after="0" w:line="280" w:lineRule="atLeast"/>
        <w:sectPr>
          <w:type w:val="continuous"/>
          <w:pgSz w:w="11900" w:h="16840"/>
          <w:pgMar w:top="1220" w:bottom="280" w:left="620" w:right="640"/>
          <w:cols w:num="2" w:equalWidth="0">
            <w:col w:w="3656" w:space="1154"/>
            <w:col w:w="5830"/>
          </w:cols>
        </w:sectPr>
      </w:pPr>
    </w:p>
    <w:p>
      <w:pPr>
        <w:spacing w:line="50" w:lineRule="exact" w:before="0"/>
        <w:ind w:left="661" w:right="0" w:firstLine="0"/>
        <w:jc w:val="left"/>
        <w:rPr>
          <w:sz w:val="12"/>
        </w:rPr>
      </w:pPr>
      <w:r>
        <w:rPr>
          <w:sz w:val="12"/>
        </w:rPr>
        <w:t>Standard deviation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spacing w:before="1"/>
        <w:ind w:left="1683" w:right="0" w:firstLine="0"/>
        <w:jc w:val="left"/>
        <w:rPr>
          <w:sz w:val="12"/>
        </w:rPr>
      </w:pPr>
      <w:r>
        <w:rPr>
          <w:sz w:val="12"/>
        </w:rPr>
        <w:t>Skewness (a)</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3"/>
        </w:rPr>
      </w:pPr>
    </w:p>
    <w:p>
      <w:pPr>
        <w:tabs>
          <w:tab w:pos="850" w:val="left" w:leader="none"/>
          <w:tab w:pos="1706" w:val="left" w:leader="none"/>
          <w:tab w:pos="2139" w:val="left" w:leader="none"/>
          <w:tab w:pos="2595" w:val="left" w:leader="none"/>
        </w:tabs>
        <w:spacing w:before="1"/>
        <w:ind w:left="395" w:right="0" w:firstLine="0"/>
        <w:jc w:val="left"/>
        <w:rPr>
          <w:sz w:val="12"/>
        </w:rPr>
      </w:pPr>
      <w:r>
        <w:rPr>
          <w:sz w:val="12"/>
        </w:rPr>
        <w:t>Jan.</w:t>
        <w:tab/>
        <w:t>Mar.     </w:t>
      </w:r>
      <w:r>
        <w:rPr>
          <w:spacing w:val="18"/>
          <w:sz w:val="12"/>
        </w:rPr>
        <w:t> </w:t>
      </w:r>
      <w:r>
        <w:rPr>
          <w:sz w:val="12"/>
        </w:rPr>
        <w:t>May</w:t>
        <w:tab/>
        <w:t>July</w:t>
        <w:tab/>
        <w:t>Sept.</w:t>
        <w:tab/>
      </w:r>
      <w:r>
        <w:rPr>
          <w:spacing w:val="-5"/>
          <w:sz w:val="12"/>
        </w:rPr>
        <w:t>Nov.</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spacing w:before="0"/>
        <w:ind w:left="166" w:right="0" w:firstLine="0"/>
        <w:jc w:val="left"/>
        <w:rPr>
          <w:sz w:val="12"/>
        </w:rPr>
      </w:pPr>
      <w:r>
        <w:rPr>
          <w:sz w:val="12"/>
        </w:rPr>
        <w:t>Jan.</w:t>
      </w:r>
    </w:p>
    <w:p>
      <w:pPr>
        <w:spacing w:before="98"/>
        <w:ind w:left="197" w:right="0" w:firstLine="0"/>
        <w:jc w:val="left"/>
        <w:rPr>
          <w:sz w:val="12"/>
        </w:rPr>
      </w:pPr>
      <w:r>
        <w:rPr/>
        <w:br w:type="column"/>
      </w:r>
      <w:r>
        <w:rPr>
          <w:sz w:val="12"/>
        </w:rPr>
        <w:t>0.6</w:t>
      </w:r>
    </w:p>
    <w:p>
      <w:pPr>
        <w:spacing w:before="94"/>
        <w:ind w:left="197" w:right="0" w:firstLine="0"/>
        <w:jc w:val="left"/>
        <w:rPr>
          <w:sz w:val="12"/>
        </w:rPr>
      </w:pPr>
      <w:r>
        <w:rPr>
          <w:sz w:val="12"/>
        </w:rPr>
        <w:t>0.5</w:t>
      </w:r>
    </w:p>
    <w:p>
      <w:pPr>
        <w:spacing w:before="94"/>
        <w:ind w:left="197" w:right="0" w:firstLine="0"/>
        <w:jc w:val="left"/>
        <w:rPr>
          <w:sz w:val="12"/>
        </w:rPr>
      </w:pPr>
      <w:r>
        <w:rPr>
          <w:sz w:val="12"/>
        </w:rPr>
        <w:t>0.4</w:t>
      </w:r>
    </w:p>
    <w:p>
      <w:pPr>
        <w:pStyle w:val="BodyText"/>
        <w:spacing w:before="7"/>
        <w:rPr>
          <w:sz w:val="11"/>
        </w:rPr>
      </w:pPr>
    </w:p>
    <w:p>
      <w:pPr>
        <w:spacing w:before="1"/>
        <w:ind w:left="197" w:right="0" w:firstLine="0"/>
        <w:jc w:val="left"/>
        <w:rPr>
          <w:sz w:val="12"/>
        </w:rPr>
      </w:pPr>
      <w:r>
        <w:rPr>
          <w:sz w:val="12"/>
        </w:rPr>
        <w:t>0.3</w:t>
      </w:r>
    </w:p>
    <w:p>
      <w:pPr>
        <w:pStyle w:val="BodyText"/>
        <w:spacing w:before="7"/>
        <w:rPr>
          <w:sz w:val="11"/>
        </w:rPr>
      </w:pPr>
    </w:p>
    <w:p>
      <w:pPr>
        <w:spacing w:before="0"/>
        <w:ind w:left="197" w:right="0" w:firstLine="0"/>
        <w:jc w:val="left"/>
        <w:rPr>
          <w:sz w:val="12"/>
        </w:rPr>
      </w:pPr>
      <w:r>
        <w:rPr>
          <w:sz w:val="12"/>
        </w:rPr>
        <w:t>0.2</w:t>
      </w:r>
    </w:p>
    <w:p>
      <w:pPr>
        <w:pStyle w:val="BodyText"/>
        <w:spacing w:before="8"/>
        <w:rPr>
          <w:sz w:val="11"/>
        </w:rPr>
      </w:pPr>
    </w:p>
    <w:p>
      <w:pPr>
        <w:spacing w:line="110" w:lineRule="exact" w:before="0"/>
        <w:ind w:left="197" w:right="0" w:firstLine="0"/>
        <w:jc w:val="left"/>
        <w:rPr>
          <w:sz w:val="12"/>
        </w:rPr>
      </w:pPr>
      <w:r>
        <w:rPr>
          <w:sz w:val="12"/>
        </w:rPr>
        <w:t>0.1</w:t>
      </w:r>
    </w:p>
    <w:p>
      <w:pPr>
        <w:spacing w:line="149" w:lineRule="exact" w:before="0"/>
        <w:ind w:left="129" w:right="0" w:firstLine="0"/>
        <w:jc w:val="left"/>
        <w:rPr>
          <w:sz w:val="16"/>
        </w:rPr>
      </w:pPr>
      <w:r>
        <w:rPr>
          <w:sz w:val="16"/>
        </w:rPr>
        <w:t>+</w:t>
      </w:r>
    </w:p>
    <w:p>
      <w:pPr>
        <w:spacing w:line="168" w:lineRule="auto" w:before="13"/>
        <w:ind w:left="134" w:right="0" w:firstLine="0"/>
        <w:jc w:val="left"/>
        <w:rPr>
          <w:sz w:val="12"/>
        </w:rPr>
      </w:pPr>
      <w:r>
        <w:rPr>
          <w:spacing w:val="-5"/>
          <w:position w:val="-7"/>
          <w:sz w:val="16"/>
        </w:rPr>
        <w:t>_</w:t>
      </w:r>
      <w:r>
        <w:rPr>
          <w:spacing w:val="-5"/>
          <w:sz w:val="12"/>
        </w:rPr>
        <w:t>0.0</w:t>
      </w:r>
    </w:p>
    <w:p>
      <w:pPr>
        <w:spacing w:before="80"/>
        <w:ind w:left="197" w:right="0" w:firstLine="0"/>
        <w:jc w:val="left"/>
        <w:rPr>
          <w:sz w:val="12"/>
        </w:rPr>
      </w:pPr>
      <w:r>
        <w:rPr>
          <w:sz w:val="12"/>
        </w:rPr>
        <w:t>0.1</w:t>
      </w:r>
    </w:p>
    <w:p>
      <w:pPr>
        <w:pStyle w:val="Heading6"/>
        <w:spacing w:line="242" w:lineRule="auto" w:before="4"/>
        <w:ind w:left="395" w:right="555"/>
      </w:pPr>
      <w:r>
        <w:rPr/>
        <w:br w:type="column"/>
      </w:r>
      <w:r>
        <w:rPr/>
        <w:t>rates over a constant six-month horizon in the future. These estimates suggest that upside risk and market uncertainty rose in the middle of last year but have changed little since the November </w:t>
      </w:r>
      <w:r>
        <w:rPr>
          <w:i/>
        </w:rPr>
        <w:t>Report </w:t>
      </w:r>
      <w:r>
        <w:rPr/>
        <w:t>(see</w:t>
      </w:r>
    </w:p>
    <w:p>
      <w:pPr>
        <w:spacing w:before="6"/>
        <w:ind w:left="395" w:right="0" w:firstLine="0"/>
        <w:jc w:val="left"/>
        <w:rPr>
          <w:sz w:val="16"/>
        </w:rPr>
      </w:pPr>
      <w:r>
        <w:rPr>
          <w:sz w:val="24"/>
        </w:rPr>
        <w:t>Chart 1.13).</w:t>
      </w:r>
      <w:r>
        <w:rPr>
          <w:position w:val="5"/>
          <w:sz w:val="16"/>
        </w:rPr>
        <w:t>(1)</w:t>
      </w:r>
    </w:p>
    <w:p>
      <w:pPr>
        <w:pStyle w:val="BodyText"/>
        <w:rPr>
          <w:sz w:val="26"/>
        </w:rPr>
      </w:pPr>
    </w:p>
    <w:p>
      <w:pPr>
        <w:spacing w:line="280" w:lineRule="atLeast" w:before="0"/>
        <w:ind w:left="395" w:right="0" w:firstLine="0"/>
        <w:jc w:val="left"/>
        <w:rPr>
          <w:sz w:val="24"/>
        </w:rPr>
      </w:pPr>
      <w:r>
        <w:rPr>
          <w:sz w:val="24"/>
        </w:rPr>
        <w:t>One of the channels through which official and expected interest rates affect aggregate demand is their impact on</w:t>
      </w:r>
    </w:p>
    <w:p>
      <w:pPr>
        <w:spacing w:after="0" w:line="280" w:lineRule="atLeast"/>
        <w:jc w:val="left"/>
        <w:rPr>
          <w:sz w:val="24"/>
        </w:rPr>
        <w:sectPr>
          <w:type w:val="continuous"/>
          <w:pgSz w:w="11900" w:h="16840"/>
          <w:pgMar w:top="1220" w:bottom="280" w:left="620" w:right="640"/>
          <w:cols w:num="4" w:equalWidth="0">
            <w:col w:w="2832" w:space="40"/>
            <w:col w:w="357" w:space="39"/>
            <w:col w:w="388" w:space="928"/>
            <w:col w:w="6056"/>
          </w:cols>
        </w:sectPr>
      </w:pPr>
    </w:p>
    <w:p>
      <w:pPr>
        <w:tabs>
          <w:tab w:pos="3033" w:val="left" w:leader="none"/>
        </w:tabs>
        <w:spacing w:line="14" w:lineRule="exact" w:before="0"/>
        <w:ind w:left="1496" w:right="0" w:firstLine="0"/>
        <w:jc w:val="left"/>
        <w:rPr>
          <w:sz w:val="12"/>
        </w:rPr>
      </w:pPr>
      <w:r>
        <w:rPr>
          <w:sz w:val="12"/>
        </w:rPr>
        <w:t>1999</w:t>
        <w:tab/>
        <w:t>2000</w:t>
      </w:r>
    </w:p>
    <w:p>
      <w:pPr>
        <w:spacing w:before="90"/>
        <w:ind w:left="170" w:right="0" w:firstLine="0"/>
        <w:jc w:val="left"/>
        <w:rPr>
          <w:sz w:val="12"/>
        </w:rPr>
      </w:pPr>
      <w:r>
        <w:rPr>
          <w:sz w:val="12"/>
        </w:rPr>
        <w:t>Sources: LIFFE and Bank of England.</w:t>
      </w:r>
    </w:p>
    <w:p>
      <w:pPr>
        <w:pStyle w:val="BodyText"/>
        <w:spacing w:before="1"/>
        <w:rPr>
          <w:sz w:val="10"/>
        </w:rPr>
      </w:pPr>
    </w:p>
    <w:p>
      <w:pPr>
        <w:spacing w:line="208" w:lineRule="auto" w:before="1"/>
        <w:ind w:left="410" w:right="0" w:hanging="240"/>
        <w:jc w:val="left"/>
        <w:rPr>
          <w:sz w:val="12"/>
        </w:rPr>
      </w:pPr>
      <w:r>
        <w:rPr>
          <w:sz w:val="12"/>
        </w:rPr>
        <w:t>(a) Defined here as the third central moment of a probability distribution, normalised by the third power of standard deviation.</w:t>
      </w:r>
    </w:p>
    <w:p>
      <w:pPr>
        <w:pStyle w:val="BodyText"/>
        <w:rPr>
          <w:sz w:val="12"/>
        </w:rPr>
      </w:pPr>
    </w:p>
    <w:p>
      <w:pPr>
        <w:pStyle w:val="BodyText"/>
        <w:spacing w:before="9"/>
        <w:rPr>
          <w:sz w:val="12"/>
        </w:rPr>
      </w:pPr>
    </w:p>
    <w:p>
      <w:pPr>
        <w:pStyle w:val="Heading9"/>
        <w:spacing w:before="0"/>
      </w:pPr>
      <w:r>
        <w:rPr>
          <w:color w:val="0093C1"/>
        </w:rPr>
        <w:t>Chart 1.14</w:t>
      </w:r>
    </w:p>
    <w:p>
      <w:pPr>
        <w:spacing w:before="10"/>
        <w:ind w:left="190" w:right="0" w:firstLine="0"/>
        <w:jc w:val="left"/>
        <w:rPr>
          <w:sz w:val="12"/>
        </w:rPr>
      </w:pPr>
      <w:r>
        <w:rPr>
          <w:b/>
          <w:color w:val="0093C1"/>
          <w:sz w:val="20"/>
        </w:rPr>
        <w:t>Standard variable mortgage rates</w:t>
      </w:r>
      <w:r>
        <w:rPr>
          <w:position w:val="4"/>
          <w:sz w:val="12"/>
        </w:rPr>
        <w:t>(a)</w:t>
      </w:r>
    </w:p>
    <w:p>
      <w:pPr>
        <w:spacing w:before="132"/>
        <w:ind w:left="3062" w:right="0" w:firstLine="0"/>
        <w:jc w:val="left"/>
        <w:rPr>
          <w:sz w:val="11"/>
        </w:rPr>
      </w:pPr>
      <w:r>
        <w:rPr/>
        <w:pict>
          <v:group style="position:absolute;margin-left:44.083pt;margin-top:13.734766pt;width:158.85pt;height:127pt;mso-position-horizontal-relative:page;mso-position-vertical-relative:paragraph;z-index:-22327296" coordorigin="882,275" coordsize="3177,2540">
            <v:shape style="position:absolute;left:881;top:274;width:3177;height:2540" type="#_x0000_t75" stroked="false">
              <v:imagedata r:id="rId48" o:title=""/>
            </v:shape>
            <v:shape style="position:absolute;left:3075;top:340;width:842;height:267" type="#_x0000_t202" filled="false" stroked="false">
              <v:textbox inset="0,0,0,0">
                <w:txbxContent>
                  <w:p>
                    <w:pPr>
                      <w:spacing w:line="259" w:lineRule="auto" w:before="1"/>
                      <w:ind w:left="29" w:right="11" w:hanging="30"/>
                      <w:jc w:val="left"/>
                      <w:rPr>
                        <w:sz w:val="11"/>
                      </w:rPr>
                    </w:pPr>
                    <w:r>
                      <w:rPr>
                        <w:color w:val="231F20"/>
                        <w:w w:val="105"/>
                        <w:sz w:val="11"/>
                      </w:rPr>
                      <w:t>Standard variable rate</w:t>
                    </w:r>
                  </w:p>
                </w:txbxContent>
              </v:textbox>
              <w10:wrap type="none"/>
            </v:shape>
            <v:shape style="position:absolute;left:3430;top:1482;width:290;height:130" type="#_x0000_t202" filled="false" stroked="false">
              <v:textbox inset="0,0,0,0">
                <w:txbxContent>
                  <w:p>
                    <w:pPr>
                      <w:tabs>
                        <w:tab w:pos="269" w:val="left" w:leader="none"/>
                      </w:tabs>
                      <w:spacing w:before="1"/>
                      <w:ind w:left="0" w:right="0" w:firstLine="0"/>
                      <w:jc w:val="left"/>
                      <w:rPr>
                        <w:sz w:val="11"/>
                      </w:rPr>
                    </w:pPr>
                    <w:r>
                      <w:rPr>
                        <w:w w:val="106"/>
                        <w:sz w:val="11"/>
                        <w:u w:val="thick" w:color="008256"/>
                      </w:rPr>
                      <w:t> </w:t>
                    </w:r>
                    <w:r>
                      <w:rPr>
                        <w:sz w:val="11"/>
                        <w:u w:val="thick" w:color="008256"/>
                      </w:rPr>
                      <w:tab/>
                    </w:r>
                  </w:p>
                </w:txbxContent>
              </v:textbox>
              <w10:wrap type="none"/>
            </v:shape>
            <v:shape style="position:absolute;left:1322;top:2245;width:724;height:130" type="#_x0000_t202" filled="false" stroked="false">
              <v:textbox inset="0,0,0,0">
                <w:txbxContent>
                  <w:p>
                    <w:pPr>
                      <w:spacing w:before="1"/>
                      <w:ind w:left="0" w:right="0" w:firstLine="0"/>
                      <w:jc w:val="left"/>
                      <w:rPr>
                        <w:sz w:val="11"/>
                      </w:rPr>
                    </w:pPr>
                    <w:r>
                      <w:rPr>
                        <w:color w:val="231F20"/>
                        <w:w w:val="106"/>
                        <w:sz w:val="11"/>
                        <w:u w:val="thick" w:color="FAAB54"/>
                      </w:rPr>
                      <w:t> </w:t>
                    </w:r>
                    <w:r>
                      <w:rPr>
                        <w:color w:val="231F20"/>
                        <w:sz w:val="11"/>
                        <w:u w:val="thick" w:color="FAAB54"/>
                      </w:rPr>
                      <w:t>      </w:t>
                    </w:r>
                    <w:r>
                      <w:rPr>
                        <w:color w:val="231F20"/>
                        <w:sz w:val="11"/>
                      </w:rPr>
                      <w:t>  </w:t>
                    </w:r>
                    <w:r>
                      <w:rPr>
                        <w:color w:val="231F20"/>
                        <w:w w:val="105"/>
                        <w:sz w:val="11"/>
                      </w:rPr>
                      <w:t>Repo rate</w:t>
                    </w:r>
                  </w:p>
                </w:txbxContent>
              </v:textbox>
              <w10:wrap type="none"/>
            </v:shape>
            <w10:wrap type="none"/>
          </v:group>
        </w:pict>
      </w:r>
      <w:r>
        <w:rPr>
          <w:w w:val="105"/>
          <w:sz w:val="11"/>
        </w:rPr>
        <w:t>Per ce</w:t>
      </w:r>
      <w:r>
        <w:rPr>
          <w:w w:val="105"/>
          <w:sz w:val="11"/>
          <w:u w:val="single"/>
        </w:rPr>
        <w:t>n</w:t>
      </w:r>
      <w:r>
        <w:rPr>
          <w:w w:val="105"/>
          <w:sz w:val="11"/>
        </w:rPr>
        <w:t>t</w:t>
      </w:r>
      <w:r>
        <w:rPr>
          <w:spacing w:val="14"/>
          <w:w w:val="105"/>
          <w:sz w:val="11"/>
        </w:rPr>
        <w:t> </w:t>
      </w:r>
      <w:r>
        <w:rPr>
          <w:w w:val="105"/>
          <w:position w:val="-7"/>
          <w:sz w:val="11"/>
        </w:rPr>
        <w:t>9.0</w:t>
      </w:r>
    </w:p>
    <w:p>
      <w:pPr>
        <w:pStyle w:val="BodyText"/>
        <w:spacing w:before="1"/>
        <w:rPr>
          <w:sz w:val="17"/>
        </w:rPr>
      </w:pPr>
    </w:p>
    <w:p>
      <w:pPr>
        <w:spacing w:before="0"/>
        <w:ind w:left="0" w:right="224" w:firstLine="0"/>
        <w:jc w:val="right"/>
        <w:rPr>
          <w:sz w:val="11"/>
        </w:rPr>
      </w:pPr>
      <w:r>
        <w:rPr>
          <w:w w:val="105"/>
          <w:sz w:val="11"/>
        </w:rPr>
        <w:t>8.5</w:t>
      </w:r>
    </w:p>
    <w:p>
      <w:pPr>
        <w:pStyle w:val="BodyText"/>
        <w:spacing w:before="8"/>
        <w:rPr>
          <w:sz w:val="15"/>
        </w:rPr>
      </w:pPr>
    </w:p>
    <w:p>
      <w:pPr>
        <w:spacing w:before="0"/>
        <w:ind w:left="0" w:right="224" w:firstLine="0"/>
        <w:jc w:val="right"/>
        <w:rPr>
          <w:sz w:val="11"/>
        </w:rPr>
      </w:pPr>
      <w:r>
        <w:rPr>
          <w:w w:val="105"/>
          <w:sz w:val="11"/>
        </w:rPr>
        <w:t>8.0</w:t>
      </w:r>
    </w:p>
    <w:p>
      <w:pPr>
        <w:pStyle w:val="BodyText"/>
        <w:spacing w:before="1"/>
        <w:rPr>
          <w:sz w:val="17"/>
        </w:rPr>
      </w:pPr>
    </w:p>
    <w:p>
      <w:pPr>
        <w:spacing w:before="0"/>
        <w:ind w:left="0" w:right="224" w:firstLine="0"/>
        <w:jc w:val="right"/>
        <w:rPr>
          <w:sz w:val="11"/>
        </w:rPr>
      </w:pPr>
      <w:r>
        <w:rPr>
          <w:w w:val="105"/>
          <w:sz w:val="11"/>
        </w:rPr>
        <w:t>7.5</w:t>
      </w:r>
    </w:p>
    <w:p>
      <w:pPr>
        <w:pStyle w:val="BodyText"/>
        <w:spacing w:before="9"/>
        <w:rPr>
          <w:sz w:val="16"/>
        </w:rPr>
      </w:pPr>
    </w:p>
    <w:p>
      <w:pPr>
        <w:spacing w:before="0"/>
        <w:ind w:left="0" w:right="224" w:firstLine="0"/>
        <w:jc w:val="right"/>
        <w:rPr>
          <w:sz w:val="11"/>
        </w:rPr>
      </w:pPr>
      <w:r>
        <w:rPr>
          <w:w w:val="105"/>
          <w:sz w:val="11"/>
        </w:rPr>
        <w:t>7.0</w:t>
      </w:r>
    </w:p>
    <w:p>
      <w:pPr>
        <w:pStyle w:val="BodyText"/>
        <w:spacing w:before="9"/>
        <w:rPr>
          <w:sz w:val="15"/>
        </w:rPr>
      </w:pPr>
    </w:p>
    <w:p>
      <w:pPr>
        <w:spacing w:before="0"/>
        <w:ind w:left="0" w:right="224" w:firstLine="0"/>
        <w:jc w:val="right"/>
        <w:rPr>
          <w:sz w:val="11"/>
        </w:rPr>
      </w:pPr>
      <w:r>
        <w:rPr>
          <w:w w:val="105"/>
          <w:sz w:val="11"/>
        </w:rPr>
        <w:t>6.5</w:t>
      </w:r>
    </w:p>
    <w:p>
      <w:pPr>
        <w:pStyle w:val="BodyText"/>
        <w:spacing w:before="9"/>
        <w:rPr>
          <w:sz w:val="16"/>
        </w:rPr>
      </w:pPr>
    </w:p>
    <w:p>
      <w:pPr>
        <w:spacing w:before="0"/>
        <w:ind w:left="0" w:right="224" w:firstLine="0"/>
        <w:jc w:val="right"/>
        <w:rPr>
          <w:sz w:val="11"/>
        </w:rPr>
      </w:pPr>
      <w:r>
        <w:rPr>
          <w:w w:val="105"/>
          <w:sz w:val="11"/>
        </w:rPr>
        <w:t>6.0</w:t>
      </w:r>
    </w:p>
    <w:p>
      <w:pPr>
        <w:pStyle w:val="BodyText"/>
        <w:spacing w:before="1"/>
        <w:rPr>
          <w:sz w:val="17"/>
        </w:rPr>
      </w:pPr>
    </w:p>
    <w:p>
      <w:pPr>
        <w:spacing w:before="0"/>
        <w:ind w:left="0" w:right="224" w:firstLine="0"/>
        <w:jc w:val="right"/>
        <w:rPr>
          <w:sz w:val="11"/>
        </w:rPr>
      </w:pPr>
      <w:r>
        <w:rPr>
          <w:w w:val="105"/>
          <w:sz w:val="11"/>
        </w:rPr>
        <w:t>5.5</w:t>
      </w:r>
    </w:p>
    <w:p>
      <w:pPr>
        <w:pStyle w:val="BodyText"/>
        <w:spacing w:before="8"/>
        <w:rPr>
          <w:sz w:val="15"/>
        </w:rPr>
      </w:pPr>
    </w:p>
    <w:p>
      <w:pPr>
        <w:spacing w:before="0"/>
        <w:ind w:left="0" w:right="224" w:firstLine="0"/>
        <w:jc w:val="right"/>
        <w:rPr>
          <w:sz w:val="11"/>
        </w:rPr>
      </w:pPr>
      <w:r>
        <w:rPr>
          <w:w w:val="105"/>
          <w:sz w:val="11"/>
        </w:rPr>
        <w:t>5.0</w:t>
      </w:r>
    </w:p>
    <w:p>
      <w:pPr>
        <w:pStyle w:val="BodyText"/>
        <w:spacing w:before="1"/>
        <w:rPr>
          <w:sz w:val="17"/>
        </w:rPr>
      </w:pPr>
    </w:p>
    <w:p>
      <w:pPr>
        <w:spacing w:line="124" w:lineRule="exact" w:before="0"/>
        <w:ind w:left="0" w:right="224" w:firstLine="0"/>
        <w:jc w:val="right"/>
        <w:rPr>
          <w:sz w:val="11"/>
        </w:rPr>
      </w:pPr>
      <w:r>
        <w:rPr/>
        <w:drawing>
          <wp:anchor distT="0" distB="0" distL="0" distR="0" allowOverlap="1" layoutInCell="1" locked="0" behindDoc="1" simplePos="0" relativeHeight="480989696">
            <wp:simplePos x="0" y="0"/>
            <wp:positionH relativeFrom="page">
              <wp:posOffset>555625</wp:posOffset>
            </wp:positionH>
            <wp:positionV relativeFrom="paragraph">
              <wp:posOffset>27009</wp:posOffset>
            </wp:positionV>
            <wp:extent cx="2032520" cy="81064"/>
            <wp:effectExtent l="0" t="0" r="0" b="0"/>
            <wp:wrapNone/>
            <wp:docPr id="5" name="image14.png"/>
            <wp:cNvGraphicFramePr>
              <a:graphicFrameLocks noChangeAspect="1"/>
            </wp:cNvGraphicFramePr>
            <a:graphic>
              <a:graphicData uri="http://schemas.openxmlformats.org/drawingml/2006/picture">
                <pic:pic>
                  <pic:nvPicPr>
                    <pic:cNvPr id="6" name="image14.png"/>
                    <pic:cNvPicPr/>
                  </pic:nvPicPr>
                  <pic:blipFill>
                    <a:blip r:embed="rId49" cstate="print"/>
                    <a:stretch>
                      <a:fillRect/>
                    </a:stretch>
                  </pic:blipFill>
                  <pic:spPr>
                    <a:xfrm>
                      <a:off x="0" y="0"/>
                      <a:ext cx="2032520" cy="81064"/>
                    </a:xfrm>
                    <a:prstGeom prst="rect">
                      <a:avLst/>
                    </a:prstGeom>
                  </pic:spPr>
                </pic:pic>
              </a:graphicData>
            </a:graphic>
          </wp:anchor>
        </w:drawing>
      </w:r>
      <w:r>
        <w:rPr>
          <w:w w:val="105"/>
          <w:sz w:val="11"/>
        </w:rPr>
        <w:t>4.5</w:t>
      </w:r>
    </w:p>
    <w:p>
      <w:pPr>
        <w:tabs>
          <w:tab w:pos="1364" w:val="left" w:leader="none"/>
          <w:tab w:pos="2089" w:val="left" w:leader="none"/>
          <w:tab w:pos="2814" w:val="left" w:leader="none"/>
          <w:tab w:pos="3269" w:val="left" w:leader="none"/>
        </w:tabs>
        <w:spacing w:line="194" w:lineRule="exact" w:before="0"/>
        <w:ind w:left="579" w:right="0" w:firstLine="0"/>
        <w:jc w:val="left"/>
        <w:rPr>
          <w:sz w:val="11"/>
        </w:rPr>
      </w:pPr>
      <w:r>
        <w:rPr>
          <w:w w:val="105"/>
          <w:sz w:val="11"/>
        </w:rPr>
        <w:t>1996</w:t>
        <w:tab/>
        <w:t>97</w:t>
        <w:tab/>
        <w:t>98</w:t>
        <w:tab/>
        <w:t>99</w:t>
        <w:tab/>
        <w:t>00  </w:t>
      </w:r>
      <w:r>
        <w:rPr>
          <w:spacing w:val="19"/>
          <w:w w:val="105"/>
          <w:sz w:val="11"/>
        </w:rPr>
        <w:t> </w:t>
      </w:r>
      <w:r>
        <w:rPr>
          <w:w w:val="105"/>
          <w:position w:val="7"/>
          <w:sz w:val="11"/>
        </w:rPr>
        <w:t>0.0</w:t>
      </w:r>
    </w:p>
    <w:p>
      <w:pPr>
        <w:spacing w:before="146"/>
        <w:ind w:left="180" w:right="0" w:firstLine="0"/>
        <w:jc w:val="left"/>
        <w:rPr>
          <w:sz w:val="12"/>
        </w:rPr>
      </w:pPr>
      <w:r>
        <w:rPr>
          <w:sz w:val="12"/>
        </w:rPr>
        <w:t>Source: Bank of England.</w:t>
      </w:r>
    </w:p>
    <w:p>
      <w:pPr>
        <w:spacing w:before="102"/>
        <w:ind w:left="180" w:right="0" w:firstLine="0"/>
        <w:jc w:val="left"/>
        <w:rPr>
          <w:sz w:val="12"/>
        </w:rPr>
      </w:pPr>
      <w:r>
        <w:rPr>
          <w:sz w:val="12"/>
        </w:rPr>
        <w:t>(a) Data to January 2000. The repo rate was raised to 6% on 10 February.</w:t>
      </w:r>
    </w:p>
    <w:p>
      <w:pPr>
        <w:pStyle w:val="BodyText"/>
        <w:spacing w:before="4"/>
        <w:rPr>
          <w:sz w:val="12"/>
        </w:rPr>
      </w:pPr>
    </w:p>
    <w:p>
      <w:pPr>
        <w:pStyle w:val="Heading9"/>
        <w:spacing w:before="0"/>
        <w:ind w:left="185"/>
      </w:pPr>
      <w:r>
        <w:rPr>
          <w:color w:val="0093C1"/>
        </w:rPr>
        <w:t>Chart 1.15</w:t>
      </w:r>
    </w:p>
    <w:p>
      <w:pPr>
        <w:spacing w:line="249" w:lineRule="auto" w:before="10"/>
        <w:ind w:left="185" w:right="648" w:firstLine="0"/>
        <w:jc w:val="left"/>
        <w:rPr>
          <w:sz w:val="12"/>
        </w:rPr>
      </w:pPr>
      <w:r>
        <w:rPr>
          <w:b/>
          <w:color w:val="0093C1"/>
          <w:sz w:val="20"/>
        </w:rPr>
        <w:t>Five-year fixed mortgage and swap interest rates</w:t>
      </w:r>
      <w:r>
        <w:rPr>
          <w:position w:val="4"/>
          <w:sz w:val="12"/>
        </w:rPr>
        <w:t>(a)</w:t>
      </w:r>
    </w:p>
    <w:p>
      <w:pPr>
        <w:spacing w:before="150"/>
        <w:ind w:left="3063" w:right="0" w:firstLine="0"/>
        <w:jc w:val="left"/>
        <w:rPr>
          <w:sz w:val="12"/>
        </w:rPr>
      </w:pPr>
      <w:r>
        <w:rPr/>
        <w:drawing>
          <wp:anchor distT="0" distB="0" distL="0" distR="0" allowOverlap="1" layoutInCell="1" locked="0" behindDoc="0" simplePos="0" relativeHeight="15815680">
            <wp:simplePos x="0" y="0"/>
            <wp:positionH relativeFrom="page">
              <wp:posOffset>576110</wp:posOffset>
            </wp:positionH>
            <wp:positionV relativeFrom="paragraph">
              <wp:posOffset>185464</wp:posOffset>
            </wp:positionV>
            <wp:extent cx="55041" cy="6350"/>
            <wp:effectExtent l="0" t="0" r="0" b="0"/>
            <wp:wrapNone/>
            <wp:docPr id="7" name="image12.png"/>
            <wp:cNvGraphicFramePr>
              <a:graphicFrameLocks noChangeAspect="1"/>
            </wp:cNvGraphicFramePr>
            <a:graphic>
              <a:graphicData uri="http://schemas.openxmlformats.org/drawingml/2006/picture">
                <pic:pic>
                  <pic:nvPicPr>
                    <pic:cNvPr id="8" name="image12.png"/>
                    <pic:cNvPicPr/>
                  </pic:nvPicPr>
                  <pic:blipFill>
                    <a:blip r:embed="rId47" cstate="print"/>
                    <a:stretch>
                      <a:fillRect/>
                    </a:stretch>
                  </pic:blipFill>
                  <pic:spPr>
                    <a:xfrm>
                      <a:off x="0" y="0"/>
                      <a:ext cx="55041" cy="6350"/>
                    </a:xfrm>
                    <a:prstGeom prst="rect">
                      <a:avLst/>
                    </a:prstGeom>
                  </pic:spPr>
                </pic:pic>
              </a:graphicData>
            </a:graphic>
          </wp:anchor>
        </w:drawing>
      </w:r>
      <w:r>
        <w:rPr>
          <w:sz w:val="12"/>
        </w:rPr>
        <w:t>Per ce</w:t>
      </w:r>
      <w:r>
        <w:rPr>
          <w:sz w:val="12"/>
          <w:u w:val="single"/>
        </w:rPr>
        <w:t>n</w:t>
      </w:r>
      <w:r>
        <w:rPr>
          <w:sz w:val="12"/>
        </w:rPr>
        <w:t>t</w:t>
      </w:r>
      <w:r>
        <w:rPr>
          <w:spacing w:val="22"/>
          <w:sz w:val="12"/>
        </w:rPr>
        <w:t> </w:t>
      </w:r>
      <w:r>
        <w:rPr>
          <w:position w:val="-5"/>
          <w:sz w:val="12"/>
        </w:rPr>
        <w:t>9.0</w:t>
      </w:r>
    </w:p>
    <w:p>
      <w:pPr>
        <w:pStyle w:val="BodyText"/>
        <w:spacing w:before="4"/>
        <w:rPr>
          <w:sz w:val="15"/>
        </w:rPr>
      </w:pPr>
    </w:p>
    <w:p>
      <w:pPr>
        <w:spacing w:before="0"/>
        <w:ind w:left="0" w:right="194" w:firstLine="0"/>
        <w:jc w:val="right"/>
        <w:rPr>
          <w:sz w:val="12"/>
        </w:rPr>
      </w:pPr>
      <w:r>
        <w:rPr/>
        <w:pict>
          <v:group style="position:absolute;margin-left:45.362999pt;margin-top:3.800356pt;width:158.1pt;height:110.85pt;mso-position-horizontal-relative:page;mso-position-vertical-relative:paragraph;z-index:15814656" coordorigin="907,76" coordsize="3162,2217">
            <v:shape style="position:absolute;left:907;top:76;width:3162;height:2217" type="#_x0000_t75" stroked="false">
              <v:imagedata r:id="rId50" o:title=""/>
            </v:shape>
            <v:shape style="position:absolute;left:2673;top:779;width:697;height:133" type="#_x0000_t202" filled="false" stroked="false">
              <v:textbox inset="0,0,0,0">
                <w:txbxContent>
                  <w:p>
                    <w:pPr>
                      <w:spacing w:line="133" w:lineRule="exact" w:before="0"/>
                      <w:ind w:left="0" w:right="0" w:firstLine="0"/>
                      <w:jc w:val="left"/>
                      <w:rPr>
                        <w:sz w:val="12"/>
                      </w:rPr>
                    </w:pPr>
                    <w:r>
                      <w:rPr>
                        <w:sz w:val="12"/>
                      </w:rPr>
                      <w:t>Mortgage rate</w:t>
                    </w:r>
                  </w:p>
                </w:txbxContent>
              </v:textbox>
              <w10:wrap type="none"/>
            </v:shape>
            <v:shape style="position:absolute;left:2680;top:1804;width:497;height:133" type="#_x0000_t202" filled="false" stroked="false">
              <v:textbox inset="0,0,0,0">
                <w:txbxContent>
                  <w:p>
                    <w:pPr>
                      <w:spacing w:line="133" w:lineRule="exact" w:before="0"/>
                      <w:ind w:left="0" w:right="0" w:firstLine="0"/>
                      <w:jc w:val="left"/>
                      <w:rPr>
                        <w:sz w:val="12"/>
                      </w:rPr>
                    </w:pPr>
                    <w:r>
                      <w:rPr>
                        <w:sz w:val="12"/>
                      </w:rPr>
                      <w:t>Swap rate</w:t>
                    </w:r>
                  </w:p>
                </w:txbxContent>
              </v:textbox>
              <w10:wrap type="none"/>
            </v:shape>
            <w10:wrap type="none"/>
          </v:group>
        </w:pict>
      </w:r>
      <w:r>
        <w:rPr>
          <w:sz w:val="12"/>
        </w:rPr>
        <w:t>8.5</w:t>
      </w:r>
    </w:p>
    <w:p>
      <w:pPr>
        <w:pStyle w:val="BodyText"/>
        <w:spacing w:before="9"/>
        <w:rPr>
          <w:sz w:val="14"/>
        </w:rPr>
      </w:pPr>
    </w:p>
    <w:p>
      <w:pPr>
        <w:spacing w:before="0"/>
        <w:ind w:left="0" w:right="194" w:firstLine="0"/>
        <w:jc w:val="right"/>
        <w:rPr>
          <w:sz w:val="12"/>
        </w:rPr>
      </w:pPr>
      <w:r>
        <w:rPr>
          <w:sz w:val="12"/>
        </w:rPr>
        <w:t>8.0</w:t>
      </w:r>
    </w:p>
    <w:p>
      <w:pPr>
        <w:pStyle w:val="BodyText"/>
        <w:spacing w:before="9"/>
        <w:rPr>
          <w:sz w:val="15"/>
        </w:rPr>
      </w:pPr>
    </w:p>
    <w:p>
      <w:pPr>
        <w:spacing w:before="0"/>
        <w:ind w:left="0" w:right="194" w:firstLine="0"/>
        <w:jc w:val="right"/>
        <w:rPr>
          <w:sz w:val="12"/>
        </w:rPr>
      </w:pPr>
      <w:r>
        <w:rPr>
          <w:sz w:val="12"/>
        </w:rPr>
        <w:t>7.5</w:t>
      </w:r>
    </w:p>
    <w:p>
      <w:pPr>
        <w:pStyle w:val="BodyText"/>
        <w:spacing w:before="10"/>
        <w:rPr>
          <w:sz w:val="15"/>
        </w:rPr>
      </w:pPr>
    </w:p>
    <w:p>
      <w:pPr>
        <w:spacing w:before="0"/>
        <w:ind w:left="0" w:right="194" w:firstLine="0"/>
        <w:jc w:val="right"/>
        <w:rPr>
          <w:sz w:val="12"/>
        </w:rPr>
      </w:pPr>
      <w:r>
        <w:rPr>
          <w:sz w:val="12"/>
        </w:rPr>
        <w:t>7.0</w:t>
      </w:r>
    </w:p>
    <w:p>
      <w:pPr>
        <w:pStyle w:val="BodyText"/>
        <w:spacing w:before="8"/>
        <w:rPr>
          <w:sz w:val="14"/>
        </w:rPr>
      </w:pPr>
    </w:p>
    <w:p>
      <w:pPr>
        <w:spacing w:before="1"/>
        <w:ind w:left="0" w:right="194" w:firstLine="0"/>
        <w:jc w:val="right"/>
        <w:rPr>
          <w:sz w:val="12"/>
        </w:rPr>
      </w:pPr>
      <w:r>
        <w:rPr>
          <w:sz w:val="12"/>
        </w:rPr>
        <w:t>6.5</w:t>
      </w:r>
    </w:p>
    <w:p>
      <w:pPr>
        <w:pStyle w:val="BodyText"/>
        <w:rPr>
          <w:sz w:val="16"/>
        </w:rPr>
      </w:pPr>
    </w:p>
    <w:p>
      <w:pPr>
        <w:spacing w:before="0"/>
        <w:ind w:left="0" w:right="194" w:firstLine="0"/>
        <w:jc w:val="right"/>
        <w:rPr>
          <w:sz w:val="12"/>
        </w:rPr>
      </w:pPr>
      <w:r>
        <w:rPr>
          <w:sz w:val="12"/>
        </w:rPr>
        <w:t>6.0</w:t>
      </w:r>
    </w:p>
    <w:p>
      <w:pPr>
        <w:pStyle w:val="BodyText"/>
        <w:spacing w:before="9"/>
        <w:rPr>
          <w:sz w:val="15"/>
        </w:rPr>
      </w:pPr>
    </w:p>
    <w:p>
      <w:pPr>
        <w:spacing w:before="1"/>
        <w:ind w:left="0" w:right="194" w:firstLine="0"/>
        <w:jc w:val="right"/>
        <w:rPr>
          <w:sz w:val="12"/>
        </w:rPr>
      </w:pPr>
      <w:r>
        <w:rPr>
          <w:sz w:val="12"/>
        </w:rPr>
        <w:t>5.5</w:t>
      </w:r>
    </w:p>
    <w:p>
      <w:pPr>
        <w:pStyle w:val="BodyText"/>
        <w:spacing w:before="8"/>
        <w:rPr>
          <w:sz w:val="14"/>
        </w:rPr>
      </w:pPr>
    </w:p>
    <w:p>
      <w:pPr>
        <w:spacing w:before="0"/>
        <w:ind w:left="0" w:right="194" w:firstLine="0"/>
        <w:jc w:val="right"/>
        <w:rPr>
          <w:sz w:val="12"/>
        </w:rPr>
      </w:pPr>
      <w:r>
        <w:rPr>
          <w:sz w:val="12"/>
        </w:rPr>
        <w:t>5.0</w:t>
      </w:r>
    </w:p>
    <w:p>
      <w:pPr>
        <w:pStyle w:val="Heading6"/>
        <w:spacing w:line="242" w:lineRule="auto" w:before="5"/>
        <w:ind w:left="170" w:right="286"/>
      </w:pPr>
      <w:r>
        <w:rPr/>
        <w:br w:type="column"/>
      </w:r>
      <w:r>
        <w:rPr/>
        <w:t>mortgage rates. Over the past year, standard variable mortgage rates have moved broadly in line with official interest rates (see Chart 1.14). Fixed mortgage rates tend to be set in relation to interest rates in the swaps market, at which lenders can exchange fixed-rate income from mortgages for floating-rate income. Fixed mortgage rates have risen since mid-1999, but by somewhat less than swap rates of comparable maturity (see Chart 1.15).</w:t>
      </w:r>
    </w:p>
    <w:p>
      <w:pPr>
        <w:pStyle w:val="BodyText"/>
        <w:spacing w:before="6"/>
        <w:rPr>
          <w:sz w:val="30"/>
        </w:rPr>
      </w:pPr>
    </w:p>
    <w:p>
      <w:pPr>
        <w:spacing w:before="0"/>
        <w:ind w:left="170" w:right="0" w:firstLine="0"/>
        <w:jc w:val="left"/>
        <w:rPr>
          <w:i/>
          <w:sz w:val="24"/>
        </w:rPr>
      </w:pPr>
      <w:r>
        <w:rPr>
          <w:i/>
          <w:color w:val="009483"/>
          <w:sz w:val="24"/>
        </w:rPr>
        <w:t>Long-term interest rates</w:t>
      </w:r>
    </w:p>
    <w:p>
      <w:pPr>
        <w:spacing w:line="242" w:lineRule="auto" w:before="124"/>
        <w:ind w:left="170" w:right="166" w:firstLine="0"/>
        <w:jc w:val="left"/>
        <w:rPr>
          <w:sz w:val="24"/>
        </w:rPr>
      </w:pPr>
      <w:r>
        <w:rPr>
          <w:sz w:val="24"/>
        </w:rPr>
        <w:t>Since the November </w:t>
      </w:r>
      <w:r>
        <w:rPr>
          <w:i/>
          <w:sz w:val="24"/>
        </w:rPr>
        <w:t>Report</w:t>
      </w:r>
      <w:r>
        <w:rPr>
          <w:sz w:val="24"/>
        </w:rPr>
        <w:t>, ten-year nominal bond yields have risen in the United Kingdom, the euro area and the United States (see Chart 1.16). The UK ten-year nominal spot rate stood at 5.5% on 9 February, about</w:t>
      </w:r>
    </w:p>
    <w:p>
      <w:pPr>
        <w:spacing w:line="242" w:lineRule="auto" w:before="5"/>
        <w:ind w:left="170" w:right="128" w:firstLine="0"/>
        <w:jc w:val="left"/>
        <w:rPr>
          <w:sz w:val="24"/>
        </w:rPr>
      </w:pPr>
      <w:r>
        <w:rPr>
          <w:sz w:val="24"/>
        </w:rPr>
        <w:t>0.30 percentage points above its level on 3 November (see Table 1.C), although it remains low by recent historical standards. UK corporate bond rates have also risen since the previous </w:t>
      </w:r>
      <w:r>
        <w:rPr>
          <w:i/>
          <w:sz w:val="24"/>
        </w:rPr>
        <w:t>Report</w:t>
      </w:r>
      <w:r>
        <w:rPr>
          <w:sz w:val="24"/>
        </w:rPr>
        <w:t>. The continued low level of long-term corporate bond rates relative to shorter-term yields may partly have explained the pick-up in</w:t>
      </w:r>
    </w:p>
    <w:p>
      <w:pPr>
        <w:spacing w:line="242" w:lineRule="auto" w:before="8"/>
        <w:ind w:left="170" w:right="626" w:firstLine="0"/>
        <w:jc w:val="left"/>
        <w:rPr>
          <w:sz w:val="24"/>
        </w:rPr>
      </w:pPr>
      <w:r>
        <w:rPr>
          <w:sz w:val="24"/>
        </w:rPr>
        <w:t>long-maturity sterling corporate bond issuance since mid-1999.</w:t>
      </w:r>
    </w:p>
    <w:p>
      <w:pPr>
        <w:pStyle w:val="BodyText"/>
        <w:spacing w:before="9"/>
        <w:rPr>
          <w:sz w:val="29"/>
        </w:rPr>
      </w:pPr>
    </w:p>
    <w:p>
      <w:pPr>
        <w:spacing w:before="0"/>
        <w:ind w:left="170" w:right="0" w:firstLine="0"/>
        <w:jc w:val="left"/>
        <w:rPr>
          <w:i/>
          <w:sz w:val="24"/>
        </w:rPr>
      </w:pPr>
      <w:r>
        <w:rPr>
          <w:i/>
          <w:color w:val="009483"/>
          <w:sz w:val="24"/>
        </w:rPr>
        <w:t>Equity prices</w:t>
      </w:r>
    </w:p>
    <w:p>
      <w:pPr>
        <w:spacing w:line="242" w:lineRule="auto" w:before="124"/>
        <w:ind w:left="170" w:right="166" w:firstLine="0"/>
        <w:jc w:val="left"/>
        <w:rPr>
          <w:sz w:val="24"/>
        </w:rPr>
      </w:pPr>
      <w:r>
        <w:rPr>
          <w:sz w:val="24"/>
        </w:rPr>
        <w:t>Equity prices have risen in the United Kingdom, the </w:t>
      </w:r>
      <w:r>
        <w:rPr>
          <w:spacing w:val="-5"/>
          <w:sz w:val="24"/>
        </w:rPr>
        <w:t>euro </w:t>
      </w:r>
      <w:r>
        <w:rPr>
          <w:sz w:val="24"/>
        </w:rPr>
        <w:t>area and the United States since the November </w:t>
      </w:r>
      <w:r>
        <w:rPr>
          <w:i/>
          <w:sz w:val="24"/>
        </w:rPr>
        <w:t>Report </w:t>
      </w:r>
      <w:r>
        <w:rPr>
          <w:sz w:val="24"/>
        </w:rPr>
        <w:t>(see </w:t>
      </w:r>
      <w:r>
        <w:rPr>
          <w:spacing w:val="-4"/>
          <w:sz w:val="24"/>
        </w:rPr>
        <w:t>Table </w:t>
      </w:r>
      <w:r>
        <w:rPr>
          <w:sz w:val="24"/>
        </w:rPr>
        <w:t>1.D).  In particular, there have been substantial increases in the valuations of IT stocks. The </w:t>
      </w:r>
      <w:hyperlink w:history="true" w:anchor="_bookmark8">
        <w:r>
          <w:rPr>
            <w:sz w:val="24"/>
          </w:rPr>
          <w:t>box on page 10</w:t>
        </w:r>
      </w:hyperlink>
      <w:r>
        <w:rPr>
          <w:sz w:val="24"/>
        </w:rPr>
        <w:t> discusses the contribution of these stocks to rises in international aggregate equity indices. In the</w:t>
      </w:r>
    </w:p>
    <w:p>
      <w:pPr>
        <w:spacing w:after="0" w:line="242" w:lineRule="auto"/>
        <w:jc w:val="left"/>
        <w:rPr>
          <w:sz w:val="24"/>
        </w:rPr>
        <w:sectPr>
          <w:type w:val="continuous"/>
          <w:pgSz w:w="11900" w:h="16840"/>
          <w:pgMar w:top="1220" w:bottom="280" w:left="620" w:right="640"/>
          <w:cols w:num="2" w:equalWidth="0">
            <w:col w:w="3853" w:space="957"/>
            <w:col w:w="5830"/>
          </w:cols>
        </w:sectPr>
      </w:pPr>
    </w:p>
    <w:p>
      <w:pPr>
        <w:pStyle w:val="BodyText"/>
        <w:spacing w:before="8"/>
        <w:rPr>
          <w:sz w:val="11"/>
        </w:rPr>
      </w:pPr>
    </w:p>
    <w:p>
      <w:pPr>
        <w:tabs>
          <w:tab w:pos="4944" w:val="left" w:leader="none"/>
          <w:tab w:pos="10469" w:val="left" w:leader="none"/>
        </w:tabs>
        <w:spacing w:line="136" w:lineRule="exact" w:before="1"/>
        <w:ind w:left="3505" w:right="0" w:firstLine="0"/>
        <w:jc w:val="left"/>
        <w:rPr>
          <w:sz w:val="12"/>
        </w:rPr>
      </w:pPr>
      <w:r>
        <w:rPr/>
        <w:drawing>
          <wp:anchor distT="0" distB="0" distL="0" distR="0" allowOverlap="1" layoutInCell="1" locked="0" behindDoc="1" simplePos="0" relativeHeight="480986624">
            <wp:simplePos x="0" y="0"/>
            <wp:positionH relativeFrom="page">
              <wp:posOffset>562355</wp:posOffset>
            </wp:positionH>
            <wp:positionV relativeFrom="paragraph">
              <wp:posOffset>49676</wp:posOffset>
            </wp:positionV>
            <wp:extent cx="2031987" cy="70777"/>
            <wp:effectExtent l="0" t="0" r="0" b="0"/>
            <wp:wrapNone/>
            <wp:docPr id="9" name="image16.png"/>
            <wp:cNvGraphicFramePr>
              <a:graphicFrameLocks noChangeAspect="1"/>
            </wp:cNvGraphicFramePr>
            <a:graphic>
              <a:graphicData uri="http://schemas.openxmlformats.org/drawingml/2006/picture">
                <pic:pic>
                  <pic:nvPicPr>
                    <pic:cNvPr id="10" name="image16.png"/>
                    <pic:cNvPicPr/>
                  </pic:nvPicPr>
                  <pic:blipFill>
                    <a:blip r:embed="rId51" cstate="print"/>
                    <a:stretch>
                      <a:fillRect/>
                    </a:stretch>
                  </pic:blipFill>
                  <pic:spPr>
                    <a:xfrm>
                      <a:off x="0" y="0"/>
                      <a:ext cx="2031987" cy="70777"/>
                    </a:xfrm>
                    <a:prstGeom prst="rect">
                      <a:avLst/>
                    </a:prstGeom>
                  </pic:spPr>
                </pic:pic>
              </a:graphicData>
            </a:graphic>
          </wp:anchor>
        </w:drawing>
      </w:r>
      <w:r>
        <w:rPr>
          <w:sz w:val="12"/>
        </w:rPr>
        <w:t>4.5</w:t>
        <w:tab/>
      </w:r>
      <w:r>
        <w:rPr>
          <w:sz w:val="12"/>
          <w:u w:val="single"/>
        </w:rPr>
        <w:t> </w:t>
        <w:tab/>
      </w:r>
    </w:p>
    <w:p>
      <w:pPr>
        <w:spacing w:after="0" w:line="136" w:lineRule="exact"/>
        <w:jc w:val="left"/>
        <w:rPr>
          <w:sz w:val="12"/>
        </w:rPr>
        <w:sectPr>
          <w:type w:val="continuous"/>
          <w:pgSz w:w="11900" w:h="16840"/>
          <w:pgMar w:top="1220" w:bottom="280" w:left="620" w:right="640"/>
        </w:sectPr>
      </w:pPr>
    </w:p>
    <w:p>
      <w:pPr>
        <w:tabs>
          <w:tab w:pos="1408" w:val="left" w:leader="none"/>
          <w:tab w:pos="2138" w:val="left" w:leader="none"/>
          <w:tab w:pos="2858" w:val="left" w:leader="none"/>
          <w:tab w:pos="3182" w:val="left" w:leader="none"/>
        </w:tabs>
        <w:spacing w:line="217" w:lineRule="exact" w:before="0"/>
        <w:ind w:left="628" w:right="0" w:firstLine="0"/>
        <w:jc w:val="left"/>
        <w:rPr>
          <w:sz w:val="12"/>
        </w:rPr>
      </w:pPr>
      <w:r>
        <w:rPr>
          <w:sz w:val="12"/>
        </w:rPr>
        <w:t>1996</w:t>
        <w:tab/>
        <w:t>97</w:t>
        <w:tab/>
        <w:t>98</w:t>
        <w:tab/>
        <w:t>99</w:t>
        <w:tab/>
        <w:t>2000</w:t>
      </w:r>
      <w:r>
        <w:rPr>
          <w:spacing w:val="22"/>
          <w:sz w:val="12"/>
        </w:rPr>
        <w:t> </w:t>
      </w:r>
      <w:r>
        <w:rPr>
          <w:position w:val="8"/>
          <w:sz w:val="12"/>
        </w:rPr>
        <w:t>0.0</w:t>
      </w:r>
    </w:p>
    <w:p>
      <w:pPr>
        <w:spacing w:before="69"/>
        <w:ind w:left="185" w:right="0" w:firstLine="0"/>
        <w:jc w:val="left"/>
        <w:rPr>
          <w:sz w:val="12"/>
        </w:rPr>
      </w:pPr>
      <w:r>
        <w:rPr>
          <w:sz w:val="12"/>
        </w:rPr>
        <w:t>Source: Bank of England.</w:t>
      </w:r>
    </w:p>
    <w:p>
      <w:pPr>
        <w:pStyle w:val="ListParagraph"/>
        <w:numPr>
          <w:ilvl w:val="0"/>
          <w:numId w:val="6"/>
        </w:numPr>
        <w:tabs>
          <w:tab w:pos="426" w:val="left" w:leader="none"/>
        </w:tabs>
        <w:spacing w:line="240" w:lineRule="auto" w:before="102" w:after="0"/>
        <w:ind w:left="425" w:right="0" w:hanging="241"/>
        <w:jc w:val="left"/>
        <w:rPr>
          <w:sz w:val="12"/>
        </w:rPr>
      </w:pPr>
      <w:r>
        <w:rPr>
          <w:sz w:val="12"/>
        </w:rPr>
        <w:t>Data to January 2000.</w:t>
      </w:r>
    </w:p>
    <w:p>
      <w:pPr>
        <w:spacing w:line="208" w:lineRule="auto" w:before="15"/>
        <w:ind w:left="425" w:right="909" w:hanging="240"/>
        <w:jc w:val="left"/>
        <w:rPr>
          <w:sz w:val="16"/>
        </w:rPr>
      </w:pPr>
      <w:r>
        <w:rPr/>
        <w:br w:type="column"/>
      </w:r>
      <w:hyperlink r:id="rId19">
        <w:r>
          <w:rPr>
            <w:sz w:val="16"/>
          </w:rPr>
          <w:t>(1) For a discussion of the technique, see Clews, R, Panigirtzoglou, N and Proudman, J, ‘Recent developments in extracting information from options markets’, </w:t>
        </w:r>
        <w:r>
          <w:rPr>
            <w:i/>
            <w:sz w:val="16"/>
          </w:rPr>
          <w:t>Bank of England Quarterly Bulletin</w:t>
        </w:r>
        <w:r>
          <w:rPr>
            <w:sz w:val="16"/>
          </w:rPr>
          <w:t>, February 2000, pages 50–60.</w:t>
        </w:r>
      </w:hyperlink>
    </w:p>
    <w:p>
      <w:pPr>
        <w:spacing w:after="0" w:line="208" w:lineRule="auto"/>
        <w:jc w:val="left"/>
        <w:rPr>
          <w:sz w:val="16"/>
        </w:rPr>
        <w:sectPr>
          <w:type w:val="continuous"/>
          <w:pgSz w:w="11900" w:h="16840"/>
          <w:pgMar w:top="1220" w:bottom="280" w:left="620" w:right="640"/>
          <w:cols w:num="2" w:equalWidth="0">
            <w:col w:w="3696" w:space="1088"/>
            <w:col w:w="5856"/>
          </w:cols>
        </w:sectPr>
      </w:pPr>
    </w:p>
    <w:p>
      <w:pPr>
        <w:pStyle w:val="BodyText"/>
        <w:rPr>
          <w:sz w:val="20"/>
        </w:rPr>
      </w:pPr>
    </w:p>
    <w:p>
      <w:pPr>
        <w:pStyle w:val="BodyText"/>
        <w:spacing w:before="7"/>
        <w:rPr>
          <w:sz w:val="20"/>
        </w:rPr>
      </w:pPr>
    </w:p>
    <w:p>
      <w:pPr>
        <w:pStyle w:val="Heading3"/>
        <w:spacing w:before="89"/>
        <w:ind w:left="2167" w:right="2127"/>
        <w:jc w:val="center"/>
      </w:pPr>
      <w:bookmarkStart w:name="High technology shares" w:id="23"/>
      <w:bookmarkEnd w:id="23"/>
      <w:r>
        <w:rPr>
          <w:b w:val="0"/>
        </w:rPr>
      </w:r>
      <w:bookmarkStart w:name="_bookmark8" w:id="24"/>
      <w:bookmarkEnd w:id="24"/>
      <w:r>
        <w:rPr>
          <w:b w:val="0"/>
        </w:rPr>
      </w:r>
      <w:r>
        <w:rPr>
          <w:color w:val="009483"/>
        </w:rPr>
        <w:t>High technology shares</w:t>
      </w:r>
    </w:p>
    <w:p>
      <w:pPr>
        <w:pStyle w:val="BodyText"/>
        <w:spacing w:before="4"/>
        <w:rPr>
          <w:b/>
          <w:sz w:val="28"/>
        </w:rPr>
      </w:pPr>
    </w:p>
    <w:p>
      <w:pPr>
        <w:spacing w:after="0"/>
        <w:rPr>
          <w:sz w:val="28"/>
        </w:rPr>
        <w:sectPr>
          <w:pgSz w:w="11900" w:h="16840"/>
          <w:pgMar w:header="574" w:footer="597" w:top="760" w:bottom="780" w:left="620" w:right="640"/>
        </w:sectPr>
      </w:pPr>
    </w:p>
    <w:p>
      <w:pPr>
        <w:spacing w:line="249" w:lineRule="auto" w:before="92"/>
        <w:ind w:left="440" w:right="16" w:firstLine="0"/>
        <w:jc w:val="left"/>
        <w:rPr>
          <w:sz w:val="20"/>
        </w:rPr>
      </w:pPr>
      <w:r>
        <w:rPr/>
        <w:pict>
          <v:group style="position:absolute;margin-left:39pt;margin-top:42pt;width:518pt;height:740pt;mso-position-horizontal-relative:page;mso-position-vertical-relative:page;z-index:-22314496" coordorigin="780,840" coordsize="10360,14800">
            <v:shape style="position:absolute;left:780;top:840;width:10360;height:14800" type="#_x0000_t75" stroked="false">
              <v:imagedata r:id="rId52" o:title=""/>
            </v:shape>
            <v:shape style="position:absolute;left:1104;top:5678;width:4178;height:2185" type="#_x0000_t202" filled="false" stroked="false">
              <v:textbox inset="0,0,0,0">
                <w:txbxContent>
                  <w:p>
                    <w:pPr>
                      <w:spacing w:line="221" w:lineRule="exact" w:before="0"/>
                      <w:ind w:left="0" w:right="0" w:firstLine="0"/>
                      <w:jc w:val="left"/>
                      <w:rPr>
                        <w:b/>
                        <w:sz w:val="20"/>
                      </w:rPr>
                    </w:pPr>
                    <w:r>
                      <w:rPr>
                        <w:b/>
                        <w:color w:val="0093C1"/>
                        <w:sz w:val="20"/>
                      </w:rPr>
                      <w:t>Chart A</w:t>
                    </w:r>
                  </w:p>
                  <w:p>
                    <w:pPr>
                      <w:spacing w:before="10"/>
                      <w:ind w:left="0" w:right="104" w:firstLine="0"/>
                      <w:jc w:val="right"/>
                      <w:rPr>
                        <w:sz w:val="12"/>
                      </w:rPr>
                    </w:pPr>
                    <w:r>
                      <w:rPr>
                        <w:b/>
                        <w:color w:val="0093C1"/>
                        <w:sz w:val="20"/>
                      </w:rPr>
                      <w:t>Selected technology sector equity price indices</w:t>
                    </w:r>
                    <w:r>
                      <w:rPr>
                        <w:position w:val="4"/>
                        <w:sz w:val="12"/>
                      </w:rPr>
                      <w:t>(a)</w:t>
                    </w:r>
                  </w:p>
                  <w:p>
                    <w:pPr>
                      <w:spacing w:before="90"/>
                      <w:ind w:left="0" w:right="18" w:firstLine="0"/>
                      <w:jc w:val="right"/>
                      <w:rPr>
                        <w:sz w:val="12"/>
                      </w:rPr>
                    </w:pPr>
                    <w:r>
                      <w:rPr>
                        <w:sz w:val="12"/>
                      </w:rPr>
                      <w:t>1 Jan. 1997 = 10</w:t>
                    </w:r>
                    <w:r>
                      <w:rPr>
                        <w:sz w:val="12"/>
                        <w:u w:val="single"/>
                      </w:rPr>
                      <w:t>0</w:t>
                    </w:r>
                    <w:r>
                      <w:rPr>
                        <w:sz w:val="12"/>
                      </w:rPr>
                      <w:t> </w:t>
                    </w:r>
                    <w:r>
                      <w:rPr>
                        <w:spacing w:val="2"/>
                        <w:sz w:val="12"/>
                      </w:rPr>
                      <w:t> </w:t>
                    </w:r>
                    <w:r>
                      <w:rPr>
                        <w:position w:val="-6"/>
                        <w:sz w:val="12"/>
                      </w:rPr>
                      <w:t>800</w:t>
                    </w:r>
                  </w:p>
                  <w:p>
                    <w:pPr>
                      <w:spacing w:line="240" w:lineRule="auto" w:before="7"/>
                      <w:rPr>
                        <w:sz w:val="18"/>
                      </w:rPr>
                    </w:pPr>
                  </w:p>
                  <w:p>
                    <w:pPr>
                      <w:spacing w:before="1"/>
                      <w:ind w:left="0" w:right="18" w:firstLine="0"/>
                      <w:jc w:val="right"/>
                      <w:rPr>
                        <w:sz w:val="12"/>
                      </w:rPr>
                    </w:pPr>
                    <w:r>
                      <w:rPr>
                        <w:sz w:val="12"/>
                      </w:rPr>
                      <w:t>700</w:t>
                    </w:r>
                  </w:p>
                  <w:p>
                    <w:pPr>
                      <w:spacing w:line="132" w:lineRule="exact" w:before="103"/>
                      <w:ind w:left="2716" w:right="0" w:firstLine="0"/>
                      <w:jc w:val="left"/>
                      <w:rPr>
                        <w:sz w:val="12"/>
                      </w:rPr>
                    </w:pPr>
                    <w:r>
                      <w:rPr>
                        <w:color w:val="231F20"/>
                        <w:sz w:val="12"/>
                      </w:rPr>
                      <w:t>Nasdaq 100</w:t>
                    </w:r>
                  </w:p>
                  <w:p>
                    <w:pPr>
                      <w:spacing w:line="132" w:lineRule="exact" w:before="0"/>
                      <w:ind w:left="3977" w:right="0" w:firstLine="0"/>
                      <w:jc w:val="left"/>
                      <w:rPr>
                        <w:sz w:val="12"/>
                      </w:rPr>
                    </w:pPr>
                    <w:r>
                      <w:rPr>
                        <w:sz w:val="12"/>
                      </w:rPr>
                      <w:t>600</w:t>
                    </w:r>
                  </w:p>
                  <w:p>
                    <w:pPr>
                      <w:spacing w:line="240" w:lineRule="auto" w:before="0"/>
                      <w:rPr>
                        <w:sz w:val="12"/>
                      </w:rPr>
                    </w:pPr>
                  </w:p>
                  <w:p>
                    <w:pPr>
                      <w:spacing w:before="79"/>
                      <w:ind w:left="0" w:right="18" w:firstLine="0"/>
                      <w:jc w:val="right"/>
                      <w:rPr>
                        <w:sz w:val="12"/>
                      </w:rPr>
                    </w:pPr>
                    <w:r>
                      <w:rPr>
                        <w:sz w:val="12"/>
                      </w:rPr>
                      <w:t>500</w:t>
                    </w:r>
                  </w:p>
                  <w:p>
                    <w:pPr>
                      <w:spacing w:line="240" w:lineRule="auto" w:before="0"/>
                      <w:rPr>
                        <w:sz w:val="12"/>
                      </w:rPr>
                    </w:pPr>
                  </w:p>
                  <w:p>
                    <w:pPr>
                      <w:spacing w:before="74"/>
                      <w:ind w:left="0" w:right="18" w:firstLine="0"/>
                      <w:jc w:val="right"/>
                      <w:rPr>
                        <w:sz w:val="12"/>
                      </w:rPr>
                    </w:pPr>
                    <w:r>
                      <w:rPr>
                        <w:sz w:val="12"/>
                      </w:rPr>
                      <w:t>400</w:t>
                    </w:r>
                  </w:p>
                </w:txbxContent>
              </v:textbox>
              <w10:wrap type="none"/>
            </v:shape>
            <v:shape style="position:absolute;left:2391;top:8053;width:1213;height:133" type="#_x0000_t202" filled="false" stroked="false">
              <v:textbox inset="0,0,0,0">
                <w:txbxContent>
                  <w:p>
                    <w:pPr>
                      <w:spacing w:line="133" w:lineRule="exact" w:before="0"/>
                      <w:ind w:left="0" w:right="0" w:firstLine="0"/>
                      <w:jc w:val="left"/>
                      <w:rPr>
                        <w:sz w:val="12"/>
                      </w:rPr>
                    </w:pPr>
                    <w:r>
                      <w:rPr>
                        <w:color w:val="231F20"/>
                        <w:sz w:val="12"/>
                      </w:rPr>
                      <w:t>Euro-area Datastream IT</w:t>
                    </w:r>
                  </w:p>
                </w:txbxContent>
              </v:textbox>
              <w10:wrap type="none"/>
            </v:shape>
            <v:shape style="position:absolute;left:5081;top:8083;width:200;height:133" type="#_x0000_t202" filled="false" stroked="false">
              <v:textbox inset="0,0,0,0">
                <w:txbxContent>
                  <w:p>
                    <w:pPr>
                      <w:spacing w:line="133" w:lineRule="exact" w:before="0"/>
                      <w:ind w:left="0" w:right="0" w:firstLine="0"/>
                      <w:jc w:val="left"/>
                      <w:rPr>
                        <w:sz w:val="12"/>
                      </w:rPr>
                    </w:pPr>
                    <w:r>
                      <w:rPr>
                        <w:sz w:val="12"/>
                      </w:rPr>
                      <w:t>300</w:t>
                    </w:r>
                  </w:p>
                </w:txbxContent>
              </v:textbox>
              <w10:wrap type="none"/>
            </v:shape>
            <v:shape style="position:absolute;left:3974;top:8499;width:444;height:133" type="#_x0000_t202" filled="false" stroked="false">
              <v:textbox inset="0,0,0,0">
                <w:txbxContent>
                  <w:p>
                    <w:pPr>
                      <w:spacing w:line="133" w:lineRule="exact" w:before="0"/>
                      <w:ind w:left="0" w:right="0" w:firstLine="0"/>
                      <w:jc w:val="left"/>
                      <w:rPr>
                        <w:sz w:val="12"/>
                      </w:rPr>
                    </w:pPr>
                    <w:r>
                      <w:rPr>
                        <w:color w:val="231F20"/>
                        <w:sz w:val="12"/>
                      </w:rPr>
                      <w:t>FTSE IT</w:t>
                    </w:r>
                  </w:p>
                </w:txbxContent>
              </v:textbox>
              <w10:wrap type="none"/>
            </v:shape>
            <v:shape style="position:absolute;left:5081;top:8453;width:200;height:133" type="#_x0000_t202" filled="false" stroked="false">
              <v:textbox inset="0,0,0,0">
                <w:txbxContent>
                  <w:p>
                    <w:pPr>
                      <w:spacing w:line="133" w:lineRule="exact" w:before="0"/>
                      <w:ind w:left="0" w:right="0" w:firstLine="0"/>
                      <w:jc w:val="left"/>
                      <w:rPr>
                        <w:sz w:val="12"/>
                      </w:rPr>
                    </w:pPr>
                    <w:r>
                      <w:rPr>
                        <w:sz w:val="12"/>
                      </w:rPr>
                      <w:t>200</w:t>
                    </w:r>
                  </w:p>
                </w:txbxContent>
              </v:textbox>
              <w10:wrap type="none"/>
            </v:shape>
            <v:shape style="position:absolute;left:4002;top:8773;width:1280;height:165" type="#_x0000_t202" filled="false" stroked="false">
              <v:textbox inset="0,0,0,0">
                <w:txbxContent>
                  <w:p>
                    <w:pPr>
                      <w:tabs>
                        <w:tab w:pos="1259" w:val="right" w:leader="none"/>
                      </w:tabs>
                      <w:spacing w:line="228" w:lineRule="auto" w:before="0"/>
                      <w:ind w:left="0" w:right="0" w:firstLine="0"/>
                      <w:jc w:val="left"/>
                      <w:rPr>
                        <w:sz w:val="12"/>
                      </w:rPr>
                    </w:pPr>
                    <w:r>
                      <w:rPr>
                        <w:sz w:val="12"/>
                      </w:rPr>
                      <w:t>S&amp;P technology</w:t>
                      <w:tab/>
                    </w:r>
                    <w:r>
                      <w:rPr>
                        <w:position w:val="-2"/>
                        <w:sz w:val="12"/>
                      </w:rPr>
                      <w:t>100</w:t>
                    </w:r>
                  </w:p>
                </w:txbxContent>
              </v:textbox>
              <w10:wrap type="none"/>
            </v:shape>
            <v:shape style="position:absolute;left:1225;top:9230;width:2493;height:134" type="#_x0000_t202" filled="false" stroked="false">
              <v:textbox inset="0,0,0,0">
                <w:txbxContent>
                  <w:p>
                    <w:pPr>
                      <w:spacing w:line="133" w:lineRule="exact" w:before="0"/>
                      <w:ind w:left="0" w:right="0" w:firstLine="0"/>
                      <w:jc w:val="left"/>
                      <w:rPr>
                        <w:sz w:val="12"/>
                      </w:rPr>
                    </w:pPr>
                    <w:r>
                      <w:rPr>
                        <w:sz w:val="12"/>
                      </w:rPr>
                      <w:t>Jan. May Sept. Jan. May Sept. Jan.</w:t>
                    </w:r>
                  </w:p>
                </w:txbxContent>
              </v:textbox>
              <w10:wrap type="none"/>
            </v:shape>
            <v:shape style="position:absolute;left:3890;top:9230;width:988;height:134" type="#_x0000_t202" filled="false" stroked="false">
              <v:textbox inset="0,0,0,0">
                <w:txbxContent>
                  <w:p>
                    <w:pPr>
                      <w:spacing w:line="133" w:lineRule="exact" w:before="0"/>
                      <w:ind w:left="0" w:right="0" w:firstLine="0"/>
                      <w:jc w:val="left"/>
                      <w:rPr>
                        <w:sz w:val="12"/>
                      </w:rPr>
                    </w:pPr>
                    <w:r>
                      <w:rPr>
                        <w:sz w:val="12"/>
                      </w:rPr>
                      <w:t>May Sept. Jan.</w:t>
                    </w:r>
                  </w:p>
                </w:txbxContent>
              </v:textbox>
              <w10:wrap type="none"/>
            </v:shape>
            <v:shape style="position:absolute;left:5201;top:9158;width:80;height:133" type="#_x0000_t202" filled="false" stroked="false">
              <v:textbox inset="0,0,0,0">
                <w:txbxContent>
                  <w:p>
                    <w:pPr>
                      <w:spacing w:line="133" w:lineRule="exact" w:before="0"/>
                      <w:ind w:left="0" w:right="0" w:firstLine="0"/>
                      <w:jc w:val="left"/>
                      <w:rPr>
                        <w:sz w:val="12"/>
                      </w:rPr>
                    </w:pPr>
                    <w:r>
                      <w:rPr>
                        <w:sz w:val="12"/>
                      </w:rPr>
                      <w:t>0</w:t>
                    </w:r>
                  </w:p>
                </w:txbxContent>
              </v:textbox>
              <w10:wrap type="none"/>
            </v:shape>
            <v:shape style="position:absolute;left:1104;top:9410;width:1807;height:618" type="#_x0000_t202" filled="false" stroked="false">
              <v:textbox inset="0,0,0,0">
                <w:txbxContent>
                  <w:p>
                    <w:pPr>
                      <w:spacing w:line="133" w:lineRule="exact" w:before="0"/>
                      <w:ind w:left="616" w:right="910" w:firstLine="0"/>
                      <w:jc w:val="center"/>
                      <w:rPr>
                        <w:sz w:val="12"/>
                      </w:rPr>
                    </w:pPr>
                    <w:r>
                      <w:rPr>
                        <w:sz w:val="12"/>
                      </w:rPr>
                      <w:t>1997</w:t>
                    </w:r>
                  </w:p>
                  <w:p>
                    <w:pPr>
                      <w:spacing w:before="106"/>
                      <w:ind w:left="0" w:right="0" w:firstLine="0"/>
                      <w:jc w:val="left"/>
                      <w:rPr>
                        <w:sz w:val="12"/>
                      </w:rPr>
                    </w:pPr>
                    <w:r>
                      <w:rPr>
                        <w:sz w:val="12"/>
                      </w:rPr>
                      <w:t>Source: Datastream.</w:t>
                    </w:r>
                  </w:p>
                  <w:p>
                    <w:pPr>
                      <w:spacing w:before="102"/>
                      <w:ind w:left="0" w:right="0" w:firstLine="0"/>
                      <w:jc w:val="left"/>
                      <w:rPr>
                        <w:sz w:val="12"/>
                      </w:rPr>
                    </w:pPr>
                    <w:r>
                      <w:rPr>
                        <w:sz w:val="12"/>
                      </w:rPr>
                      <w:t>(a) Common currency (US dollars).</w:t>
                    </w:r>
                  </w:p>
                </w:txbxContent>
              </v:textbox>
              <w10:wrap type="none"/>
            </v:shape>
            <v:shape style="position:absolute;left:2973;top:9410;width:140;height:133" type="#_x0000_t202" filled="false" stroked="false">
              <v:textbox inset="0,0,0,0">
                <w:txbxContent>
                  <w:p>
                    <w:pPr>
                      <w:spacing w:line="133" w:lineRule="exact" w:before="0"/>
                      <w:ind w:left="0" w:right="0" w:firstLine="0"/>
                      <w:jc w:val="left"/>
                      <w:rPr>
                        <w:sz w:val="12"/>
                      </w:rPr>
                    </w:pPr>
                    <w:r>
                      <w:rPr>
                        <w:sz w:val="12"/>
                      </w:rPr>
                      <w:t>98</w:t>
                    </w:r>
                  </w:p>
                </w:txbxContent>
              </v:textbox>
              <w10:wrap type="none"/>
            </v:shape>
            <v:shape style="position:absolute;left:4032;top:9410;width:140;height:133" type="#_x0000_t202" filled="false" stroked="false">
              <v:textbox inset="0,0,0,0">
                <w:txbxContent>
                  <w:p>
                    <w:pPr>
                      <w:spacing w:line="133" w:lineRule="exact" w:before="0"/>
                      <w:ind w:left="0" w:right="0" w:firstLine="0"/>
                      <w:jc w:val="left"/>
                      <w:rPr>
                        <w:sz w:val="12"/>
                      </w:rPr>
                    </w:pPr>
                    <w:r>
                      <w:rPr>
                        <w:sz w:val="12"/>
                      </w:rPr>
                      <w:t>99</w:t>
                    </w:r>
                  </w:p>
                </w:txbxContent>
              </v:textbox>
              <w10:wrap type="none"/>
            </v:shape>
            <v:shape style="position:absolute;left:4654;top:9410;width:260;height:133" type="#_x0000_t202" filled="false" stroked="false">
              <v:textbox inset="0,0,0,0">
                <w:txbxContent>
                  <w:p>
                    <w:pPr>
                      <w:spacing w:line="133" w:lineRule="exact" w:before="0"/>
                      <w:ind w:left="0" w:right="0" w:firstLine="0"/>
                      <w:jc w:val="left"/>
                      <w:rPr>
                        <w:sz w:val="12"/>
                      </w:rPr>
                    </w:pPr>
                    <w:r>
                      <w:rPr>
                        <w:color w:val="231F20"/>
                        <w:sz w:val="12"/>
                      </w:rPr>
                      <w:t>2000</w:t>
                    </w:r>
                  </w:p>
                </w:txbxContent>
              </v:textbox>
              <w10:wrap type="none"/>
            </v:shape>
            <v:shape style="position:absolute;left:6190;top:10168;width:3915;height:1037" type="#_x0000_t202" filled="false" stroked="false">
              <v:textbox inset="0,0,0,0">
                <w:txbxContent>
                  <w:p>
                    <w:pPr>
                      <w:spacing w:line="221" w:lineRule="exact" w:before="0"/>
                      <w:ind w:left="0" w:right="0" w:firstLine="0"/>
                      <w:jc w:val="left"/>
                      <w:rPr>
                        <w:b/>
                        <w:sz w:val="20"/>
                      </w:rPr>
                    </w:pPr>
                    <w:r>
                      <w:rPr>
                        <w:b/>
                        <w:color w:val="0093C1"/>
                        <w:sz w:val="20"/>
                      </w:rPr>
                      <w:t>Chart B</w:t>
                    </w:r>
                  </w:p>
                  <w:p>
                    <w:pPr>
                      <w:spacing w:line="249" w:lineRule="auto" w:before="10"/>
                      <w:ind w:left="0" w:right="0" w:firstLine="0"/>
                      <w:jc w:val="left"/>
                      <w:rPr>
                        <w:sz w:val="12"/>
                      </w:rPr>
                    </w:pPr>
                    <w:r>
                      <w:rPr>
                        <w:b/>
                        <w:color w:val="0093C1"/>
                        <w:sz w:val="20"/>
                      </w:rPr>
                      <w:t>Contribution of technology sectors to changes in equity indices</w:t>
                    </w:r>
                    <w:r>
                      <w:rPr>
                        <w:position w:val="4"/>
                        <w:sz w:val="12"/>
                      </w:rPr>
                      <w:t>(a)(b)</w:t>
                    </w:r>
                  </w:p>
                  <w:p>
                    <w:pPr>
                      <w:spacing w:before="189"/>
                      <w:ind w:left="337" w:right="0" w:firstLine="0"/>
                      <w:jc w:val="left"/>
                      <w:rPr>
                        <w:sz w:val="12"/>
                      </w:rPr>
                    </w:pPr>
                    <w:r>
                      <w:rPr>
                        <w:color w:val="231F20"/>
                        <w:sz w:val="12"/>
                      </w:rPr>
                      <w:t>Percentage change in total index</w:t>
                    </w:r>
                  </w:p>
                </w:txbxContent>
              </v:textbox>
              <w10:wrap type="none"/>
            </v:shape>
            <v:shape style="position:absolute;left:6527;top:11302;width:2693;height:134" type="#_x0000_t202" filled="false" stroked="false">
              <v:textbox inset="0,0,0,0">
                <w:txbxContent>
                  <w:p>
                    <w:pPr>
                      <w:spacing w:line="133" w:lineRule="exact" w:before="0"/>
                      <w:ind w:left="0" w:right="0" w:firstLine="0"/>
                      <w:jc w:val="left"/>
                      <w:rPr>
                        <w:sz w:val="12"/>
                      </w:rPr>
                    </w:pPr>
                    <w:r>
                      <w:rPr>
                        <w:color w:val="231F20"/>
                        <w:sz w:val="12"/>
                      </w:rPr>
                      <w:t>Percentage point contribution of high technology sector</w:t>
                    </w:r>
                  </w:p>
                </w:txbxContent>
              </v:textbox>
              <w10:wrap type="none"/>
            </v:shape>
            <v:shape style="position:absolute;left:9820;top:11373;width:410;height:133" type="#_x0000_t202" filled="false" stroked="false">
              <v:textbox inset="0,0,0,0">
                <w:txbxContent>
                  <w:p>
                    <w:pPr>
                      <w:spacing w:line="133" w:lineRule="exact" w:before="0"/>
                      <w:ind w:left="0" w:right="0" w:firstLine="0"/>
                      <w:jc w:val="left"/>
                      <w:rPr>
                        <w:sz w:val="12"/>
                      </w:rPr>
                    </w:pPr>
                    <w:r>
                      <w:rPr>
                        <w:color w:val="231F20"/>
                        <w:sz w:val="12"/>
                      </w:rPr>
                      <w:t>Per cent</w:t>
                    </w:r>
                  </w:p>
                </w:txbxContent>
              </v:textbox>
              <w10:wrap type="none"/>
            </v:shape>
            <v:shape style="position:absolute;left:10222;top:11468;width:140;height:2931" type="#_x0000_t202" filled="false" stroked="false">
              <v:textbox inset="0,0,0,0">
                <w:txbxContent>
                  <w:p>
                    <w:pPr>
                      <w:spacing w:line="133" w:lineRule="exact" w:before="0"/>
                      <w:ind w:left="0" w:right="0" w:firstLine="0"/>
                      <w:jc w:val="left"/>
                      <w:rPr>
                        <w:sz w:val="12"/>
                      </w:rPr>
                    </w:pPr>
                    <w:r>
                      <w:rPr>
                        <w:color w:val="231F20"/>
                        <w:sz w:val="12"/>
                      </w:rPr>
                      <w:t>18</w:t>
                    </w:r>
                  </w:p>
                  <w:p>
                    <w:pPr>
                      <w:spacing w:line="240" w:lineRule="auto" w:before="11"/>
                      <w:rPr>
                        <w:sz w:val="14"/>
                      </w:rPr>
                    </w:pPr>
                  </w:p>
                  <w:p>
                    <w:pPr>
                      <w:spacing w:before="0"/>
                      <w:ind w:left="0" w:right="0" w:firstLine="0"/>
                      <w:jc w:val="left"/>
                      <w:rPr>
                        <w:sz w:val="12"/>
                      </w:rPr>
                    </w:pPr>
                    <w:r>
                      <w:rPr>
                        <w:color w:val="231F20"/>
                        <w:sz w:val="12"/>
                      </w:rPr>
                      <w:t>16</w:t>
                    </w:r>
                  </w:p>
                  <w:p>
                    <w:pPr>
                      <w:spacing w:line="240" w:lineRule="auto" w:before="2"/>
                      <w:rPr>
                        <w:sz w:val="15"/>
                      </w:rPr>
                    </w:pPr>
                  </w:p>
                  <w:p>
                    <w:pPr>
                      <w:spacing w:before="0"/>
                      <w:ind w:left="0" w:right="0" w:firstLine="0"/>
                      <w:jc w:val="left"/>
                      <w:rPr>
                        <w:sz w:val="12"/>
                      </w:rPr>
                    </w:pPr>
                    <w:r>
                      <w:rPr>
                        <w:color w:val="231F20"/>
                        <w:sz w:val="12"/>
                      </w:rPr>
                      <w:t>14</w:t>
                    </w:r>
                  </w:p>
                  <w:p>
                    <w:pPr>
                      <w:spacing w:line="240" w:lineRule="auto" w:before="11"/>
                      <w:rPr>
                        <w:sz w:val="14"/>
                      </w:rPr>
                    </w:pPr>
                  </w:p>
                  <w:p>
                    <w:pPr>
                      <w:spacing w:before="0"/>
                      <w:ind w:left="0" w:right="0" w:firstLine="0"/>
                      <w:jc w:val="left"/>
                      <w:rPr>
                        <w:sz w:val="12"/>
                      </w:rPr>
                    </w:pPr>
                    <w:r>
                      <w:rPr>
                        <w:color w:val="231F20"/>
                        <w:sz w:val="12"/>
                      </w:rPr>
                      <w:t>12</w:t>
                    </w:r>
                  </w:p>
                  <w:p>
                    <w:pPr>
                      <w:spacing w:line="240" w:lineRule="auto" w:before="11"/>
                      <w:rPr>
                        <w:sz w:val="14"/>
                      </w:rPr>
                    </w:pPr>
                  </w:p>
                  <w:p>
                    <w:pPr>
                      <w:spacing w:before="0"/>
                      <w:ind w:left="0" w:right="0" w:firstLine="0"/>
                      <w:jc w:val="left"/>
                      <w:rPr>
                        <w:sz w:val="12"/>
                      </w:rPr>
                    </w:pPr>
                    <w:r>
                      <w:rPr>
                        <w:color w:val="231F20"/>
                        <w:sz w:val="12"/>
                      </w:rPr>
                      <w:t>10</w:t>
                    </w:r>
                  </w:p>
                  <w:p>
                    <w:pPr>
                      <w:spacing w:line="240" w:lineRule="auto" w:before="2"/>
                      <w:rPr>
                        <w:sz w:val="15"/>
                      </w:rPr>
                    </w:pPr>
                  </w:p>
                  <w:p>
                    <w:pPr>
                      <w:spacing w:before="0"/>
                      <w:ind w:left="60" w:right="0" w:firstLine="0"/>
                      <w:jc w:val="left"/>
                      <w:rPr>
                        <w:sz w:val="12"/>
                      </w:rPr>
                    </w:pPr>
                    <w:r>
                      <w:rPr>
                        <w:color w:val="231F20"/>
                        <w:sz w:val="12"/>
                      </w:rPr>
                      <w:t>8</w:t>
                    </w:r>
                  </w:p>
                  <w:p>
                    <w:pPr>
                      <w:spacing w:line="240" w:lineRule="auto" w:before="11"/>
                      <w:rPr>
                        <w:sz w:val="14"/>
                      </w:rPr>
                    </w:pPr>
                  </w:p>
                  <w:p>
                    <w:pPr>
                      <w:spacing w:before="0"/>
                      <w:ind w:left="60" w:right="0" w:firstLine="0"/>
                      <w:jc w:val="left"/>
                      <w:rPr>
                        <w:sz w:val="12"/>
                      </w:rPr>
                    </w:pPr>
                    <w:r>
                      <w:rPr>
                        <w:color w:val="231F20"/>
                        <w:sz w:val="12"/>
                      </w:rPr>
                      <w:t>6</w:t>
                    </w:r>
                  </w:p>
                  <w:p>
                    <w:pPr>
                      <w:spacing w:line="240" w:lineRule="auto" w:before="2"/>
                      <w:rPr>
                        <w:sz w:val="15"/>
                      </w:rPr>
                    </w:pPr>
                  </w:p>
                  <w:p>
                    <w:pPr>
                      <w:spacing w:before="0"/>
                      <w:ind w:left="60" w:right="0" w:firstLine="0"/>
                      <w:jc w:val="left"/>
                      <w:rPr>
                        <w:sz w:val="12"/>
                      </w:rPr>
                    </w:pPr>
                    <w:r>
                      <w:rPr>
                        <w:color w:val="231F20"/>
                        <w:sz w:val="12"/>
                      </w:rPr>
                      <w:t>4</w:t>
                    </w:r>
                  </w:p>
                  <w:p>
                    <w:pPr>
                      <w:spacing w:line="240" w:lineRule="auto" w:before="11"/>
                      <w:rPr>
                        <w:sz w:val="14"/>
                      </w:rPr>
                    </w:pPr>
                  </w:p>
                  <w:p>
                    <w:pPr>
                      <w:spacing w:before="0"/>
                      <w:ind w:left="60" w:right="0" w:firstLine="0"/>
                      <w:jc w:val="left"/>
                      <w:rPr>
                        <w:sz w:val="12"/>
                      </w:rPr>
                    </w:pPr>
                    <w:r>
                      <w:rPr>
                        <w:color w:val="231F20"/>
                        <w:sz w:val="12"/>
                      </w:rPr>
                      <w:t>2</w:t>
                    </w:r>
                  </w:p>
                  <w:p>
                    <w:pPr>
                      <w:spacing w:line="240" w:lineRule="auto" w:before="11"/>
                      <w:rPr>
                        <w:sz w:val="14"/>
                      </w:rPr>
                    </w:pPr>
                  </w:p>
                  <w:p>
                    <w:pPr>
                      <w:spacing w:before="0"/>
                      <w:ind w:left="60" w:right="0" w:firstLine="0"/>
                      <w:jc w:val="left"/>
                      <w:rPr>
                        <w:sz w:val="12"/>
                      </w:rPr>
                    </w:pPr>
                    <w:r>
                      <w:rPr>
                        <w:color w:val="231F20"/>
                        <w:sz w:val="12"/>
                      </w:rPr>
                      <w:t>0</w:t>
                    </w:r>
                  </w:p>
                </w:txbxContent>
              </v:textbox>
              <w10:wrap type="none"/>
            </v:shape>
            <v:shape style="position:absolute;left:6195;top:14417;width:1360;height:361" type="#_x0000_t202" filled="false" stroked="false">
              <v:textbox inset="0,0,0,0">
                <w:txbxContent>
                  <w:p>
                    <w:pPr>
                      <w:spacing w:line="133" w:lineRule="exact" w:before="0"/>
                      <w:ind w:left="360" w:right="0" w:firstLine="0"/>
                      <w:jc w:val="left"/>
                      <w:rPr>
                        <w:sz w:val="12"/>
                      </w:rPr>
                    </w:pPr>
                    <w:r>
                      <w:rPr>
                        <w:color w:val="231F20"/>
                        <w:sz w:val="12"/>
                      </w:rPr>
                      <w:t>UK FTSE All-Share</w:t>
                    </w:r>
                  </w:p>
                  <w:p>
                    <w:pPr>
                      <w:spacing w:before="89"/>
                      <w:ind w:left="0" w:right="0" w:firstLine="0"/>
                      <w:jc w:val="left"/>
                      <w:rPr>
                        <w:sz w:val="12"/>
                      </w:rPr>
                    </w:pPr>
                    <w:r>
                      <w:rPr>
                        <w:sz w:val="12"/>
                      </w:rPr>
                      <w:t>Source: Datastream.</w:t>
                    </w:r>
                  </w:p>
                </w:txbxContent>
              </v:textbox>
              <w10:wrap type="none"/>
            </v:shape>
            <v:shape style="position:absolute;left:7930;top:14417;width:641;height:133" type="#_x0000_t202" filled="false" stroked="false">
              <v:textbox inset="0,0,0,0">
                <w:txbxContent>
                  <w:p>
                    <w:pPr>
                      <w:spacing w:line="133" w:lineRule="exact" w:before="0"/>
                      <w:ind w:left="0" w:right="0" w:firstLine="0"/>
                      <w:jc w:val="left"/>
                      <w:rPr>
                        <w:sz w:val="12"/>
                      </w:rPr>
                    </w:pPr>
                    <w:r>
                      <w:rPr>
                        <w:color w:val="231F20"/>
                        <w:sz w:val="12"/>
                      </w:rPr>
                      <w:t>US S&amp;P 500</w:t>
                    </w:r>
                  </w:p>
                </w:txbxContent>
              </v:textbox>
              <w10:wrap type="none"/>
            </v:shape>
            <v:shape style="position:absolute;left:8962;top:14417;width:973;height:134" type="#_x0000_t202" filled="false" stroked="false">
              <v:textbox inset="0,0,0,0">
                <w:txbxContent>
                  <w:p>
                    <w:pPr>
                      <w:spacing w:line="133" w:lineRule="exact" w:before="0"/>
                      <w:ind w:left="0" w:right="0" w:firstLine="0"/>
                      <w:jc w:val="left"/>
                      <w:rPr>
                        <w:sz w:val="12"/>
                      </w:rPr>
                    </w:pPr>
                    <w:r>
                      <w:rPr>
                        <w:color w:val="231F20"/>
                        <w:sz w:val="12"/>
                      </w:rPr>
                      <w:t>Euro-area DS index</w:t>
                    </w:r>
                  </w:p>
                </w:txbxContent>
              </v:textbox>
              <w10:wrap type="none"/>
            </v:shape>
            <v:shape style="position:absolute;left:6195;top:14885;width:4366;height:373" type="#_x0000_t202" filled="false" stroked="false">
              <v:textbox inset="0,0,0,0">
                <w:txbxContent>
                  <w:p>
                    <w:pPr>
                      <w:numPr>
                        <w:ilvl w:val="0"/>
                        <w:numId w:val="7"/>
                      </w:numPr>
                      <w:tabs>
                        <w:tab w:pos="240" w:val="left" w:leader="none"/>
                      </w:tabs>
                      <w:spacing w:line="124" w:lineRule="exact" w:before="0"/>
                      <w:ind w:left="239" w:right="0" w:hanging="240"/>
                      <w:jc w:val="left"/>
                      <w:rPr>
                        <w:sz w:val="12"/>
                      </w:rPr>
                    </w:pPr>
                    <w:r>
                      <w:rPr>
                        <w:sz w:val="12"/>
                      </w:rPr>
                      <w:t>Quoted currency terms. The DS euro-area index is quoted in US dollars.</w:t>
                    </w:r>
                  </w:p>
                  <w:p>
                    <w:pPr>
                      <w:numPr>
                        <w:ilvl w:val="0"/>
                        <w:numId w:val="7"/>
                      </w:numPr>
                      <w:tabs>
                        <w:tab w:pos="241" w:val="left" w:leader="none"/>
                      </w:tabs>
                      <w:spacing w:line="208" w:lineRule="auto" w:before="5"/>
                      <w:ind w:left="240" w:right="18" w:hanging="240"/>
                      <w:jc w:val="left"/>
                      <w:rPr>
                        <w:sz w:val="12"/>
                      </w:rPr>
                    </w:pPr>
                    <w:r>
                      <w:rPr>
                        <w:sz w:val="12"/>
                      </w:rPr>
                      <w:t>Contribution of technology sectors to changes in total indices from 3 November </w:t>
                    </w:r>
                    <w:r>
                      <w:rPr>
                        <w:spacing w:val="-5"/>
                        <w:sz w:val="12"/>
                      </w:rPr>
                      <w:t>1999 </w:t>
                    </w:r>
                    <w:r>
                      <w:rPr>
                        <w:sz w:val="12"/>
                      </w:rPr>
                      <w:t>to 9 February 2000 on a 15-day average basis.</w:t>
                    </w:r>
                  </w:p>
                </w:txbxContent>
              </v:textbox>
              <w10:wrap type="none"/>
            </v:shape>
            <w10:wrap type="none"/>
          </v:group>
        </w:pict>
      </w:r>
      <w:r>
        <w:rPr>
          <w:sz w:val="20"/>
        </w:rPr>
        <w:t>Share prices in the United Kingdom, the United States and the euro area have risen since the November </w:t>
      </w:r>
      <w:r>
        <w:rPr>
          <w:i/>
          <w:sz w:val="20"/>
        </w:rPr>
        <w:t>Report </w:t>
      </w:r>
      <w:r>
        <w:rPr>
          <w:sz w:val="20"/>
        </w:rPr>
        <w:t>(see Table 1.D opposite). Within the totals, there have been particularly sharp increases in the share prices of companies operating in high technology sectors (see Chart A). The valuation of the information technology (IT) sector of the FTSE All-Share index in the 15 days up to and including 9 February was double its level in the equivalent period three months ago. The IT sector of the Datastream (DS) euro-area index is about 80% higher on the same basis. Technology share prices in the United States rose by less than in Europe over this period, with the S&amp;P 500 technology sector about 35% higher and the Nasdaq 100 index up by around 50%.</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21"/>
        </w:rPr>
      </w:pPr>
    </w:p>
    <w:p>
      <w:pPr>
        <w:spacing w:line="249" w:lineRule="auto" w:before="0"/>
        <w:ind w:left="440" w:right="259" w:firstLine="0"/>
        <w:jc w:val="left"/>
        <w:rPr>
          <w:sz w:val="20"/>
        </w:rPr>
      </w:pPr>
      <w:r>
        <w:rPr>
          <w:sz w:val="20"/>
        </w:rPr>
        <w:t>Aggregate share price indices are typically constructed as weighted averages of individual share prices, where the weights are derived from the market values (or capitalisations) of each company.  So the impact on the headline index of price rises in any sector will depend on the share of the sector in total market capitalisation.</w:t>
      </w:r>
    </w:p>
    <w:p>
      <w:pPr>
        <w:pStyle w:val="BodyText"/>
        <w:spacing w:before="4"/>
        <w:rPr>
          <w:sz w:val="21"/>
        </w:rPr>
      </w:pPr>
    </w:p>
    <w:p>
      <w:pPr>
        <w:spacing w:line="249" w:lineRule="auto" w:before="1"/>
        <w:ind w:left="440" w:right="0" w:firstLine="0"/>
        <w:jc w:val="left"/>
        <w:rPr>
          <w:sz w:val="20"/>
        </w:rPr>
      </w:pPr>
      <w:r>
        <w:rPr>
          <w:sz w:val="20"/>
        </w:rPr>
        <w:t>The table shows that technology sectors vary substantially in size across aggregate indices. In the United States, the technology sector of the S&amp;P 500 index accounts for a considerably larger proportion of total market capitalisation than the IT sectors of the FTSE All-Share and DS euro-area indices. However, there are definitional difficulties in the allocation of companies to sectors, which make it hard to draw inferences from these data about structural variations across countries in the share of IT production in total output, or in IT</w:t>
      </w:r>
      <w:r>
        <w:rPr>
          <w:spacing w:val="-20"/>
          <w:sz w:val="20"/>
        </w:rPr>
        <w:t> </w:t>
      </w:r>
      <w:r>
        <w:rPr>
          <w:sz w:val="20"/>
        </w:rPr>
        <w:t>companies’ use of equity finance. Companies are classified to sectors on the basis of their primary activity. So there will</w:t>
      </w:r>
    </w:p>
    <w:p>
      <w:pPr>
        <w:spacing w:before="92"/>
        <w:ind w:left="440" w:right="0" w:firstLine="0"/>
        <w:jc w:val="left"/>
        <w:rPr>
          <w:b/>
          <w:sz w:val="20"/>
        </w:rPr>
      </w:pPr>
      <w:r>
        <w:rPr/>
        <w:br w:type="column"/>
      </w:r>
      <w:r>
        <w:rPr>
          <w:b/>
          <w:color w:val="0093C1"/>
          <w:sz w:val="20"/>
        </w:rPr>
        <w:t>Sizes of technology sectors in aggregate equity indices</w:t>
      </w:r>
    </w:p>
    <w:p>
      <w:pPr>
        <w:spacing w:before="106"/>
        <w:ind w:left="440" w:right="0" w:firstLine="0"/>
        <w:jc w:val="left"/>
        <w:rPr>
          <w:sz w:val="14"/>
        </w:rPr>
      </w:pPr>
      <w:r>
        <w:rPr>
          <w:sz w:val="14"/>
        </w:rPr>
        <w:t>Per cent of total market capitalisation</w:t>
      </w:r>
    </w:p>
    <w:p>
      <w:pPr>
        <w:tabs>
          <w:tab w:pos="3319" w:val="left" w:leader="none"/>
          <w:tab w:pos="4039" w:val="left" w:leader="none"/>
        </w:tabs>
        <w:spacing w:line="150" w:lineRule="exact" w:before="119"/>
        <w:ind w:left="2600" w:right="0" w:firstLine="0"/>
        <w:jc w:val="left"/>
        <w:rPr>
          <w:sz w:val="14"/>
        </w:rPr>
      </w:pPr>
      <w:r>
        <w:rPr>
          <w:sz w:val="14"/>
        </w:rPr>
        <w:t>1 Jan.</w:t>
        <w:tab/>
        <w:t>3 Nov.</w:t>
        <w:tab/>
        <w:t>9 Feb.</w:t>
      </w:r>
    </w:p>
    <w:p>
      <w:pPr>
        <w:tabs>
          <w:tab w:pos="3319" w:val="left" w:leader="none"/>
        </w:tabs>
        <w:spacing w:line="150" w:lineRule="exact" w:before="0"/>
        <w:ind w:left="2600" w:right="0" w:firstLine="0"/>
        <w:jc w:val="left"/>
        <w:rPr>
          <w:sz w:val="12"/>
        </w:rPr>
      </w:pPr>
      <w:r>
        <w:rPr>
          <w:sz w:val="14"/>
          <w:u w:val="single"/>
        </w:rPr>
        <w:t>1997</w:t>
      </w:r>
      <w:r>
        <w:rPr>
          <w:sz w:val="14"/>
        </w:rPr>
        <w:tab/>
      </w:r>
      <w:r>
        <w:rPr>
          <w:sz w:val="14"/>
          <w:u w:val="single"/>
        </w:rPr>
        <w:t>1999 </w:t>
      </w:r>
      <w:r>
        <w:rPr>
          <w:sz w:val="12"/>
          <w:u w:val="single"/>
        </w:rPr>
        <w:t>(a) </w:t>
      </w:r>
      <w:r>
        <w:rPr>
          <w:sz w:val="14"/>
          <w:u w:val="single"/>
        </w:rPr>
        <w:t>2000 </w:t>
      </w:r>
      <w:r>
        <w:rPr>
          <w:sz w:val="12"/>
          <w:u w:val="single"/>
        </w:rPr>
        <w:t>(a)</w:t>
      </w:r>
    </w:p>
    <w:p>
      <w:pPr>
        <w:tabs>
          <w:tab w:pos="2620" w:val="left" w:leader="none"/>
          <w:tab w:pos="3399" w:val="left" w:leader="none"/>
          <w:tab w:pos="4324" w:val="right" w:leader="none"/>
        </w:tabs>
        <w:spacing w:before="119"/>
        <w:ind w:left="440" w:right="0" w:firstLine="0"/>
        <w:jc w:val="left"/>
        <w:rPr>
          <w:sz w:val="14"/>
        </w:rPr>
      </w:pPr>
      <w:r>
        <w:rPr>
          <w:sz w:val="14"/>
        </w:rPr>
        <w:t>US S&amp;P 500 technology index</w:t>
        <w:tab/>
        <w:t>15.9</w:t>
      </w:r>
      <w:r>
        <w:rPr>
          <w:spacing w:val="-2"/>
          <w:sz w:val="14"/>
        </w:rPr>
        <w:t> </w:t>
      </w:r>
      <w:r>
        <w:rPr>
          <w:sz w:val="12"/>
        </w:rPr>
        <w:t>(b)</w:t>
        <w:tab/>
      </w:r>
      <w:r>
        <w:rPr>
          <w:sz w:val="14"/>
        </w:rPr>
        <w:t>23.5</w:t>
        <w:tab/>
        <w:t>30.1</w:t>
      </w:r>
    </w:p>
    <w:tbl>
      <w:tblPr>
        <w:tblW w:w="0" w:type="auto"/>
        <w:jc w:val="left"/>
        <w:tblInd w:w="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3"/>
        <w:gridCol w:w="555"/>
        <w:gridCol w:w="730"/>
        <w:gridCol w:w="478"/>
      </w:tblGrid>
      <w:tr>
        <w:trPr>
          <w:trHeight w:val="147" w:hRule="atLeast"/>
        </w:trPr>
        <w:tc>
          <w:tcPr>
            <w:tcW w:w="2233" w:type="dxa"/>
            <w:shd w:val="clear" w:color="auto" w:fill="FFFFFF"/>
          </w:tcPr>
          <w:p>
            <w:pPr>
              <w:pStyle w:val="TableParagraph"/>
              <w:spacing w:line="128" w:lineRule="exact"/>
              <w:ind w:left="59"/>
              <w:rPr>
                <w:sz w:val="12"/>
              </w:rPr>
            </w:pPr>
            <w:r>
              <w:rPr>
                <w:sz w:val="14"/>
              </w:rPr>
              <w:t>UK FTSE All-Share IT index </w:t>
            </w:r>
            <w:r>
              <w:rPr>
                <w:sz w:val="12"/>
              </w:rPr>
              <w:t>(c)</w:t>
            </w:r>
          </w:p>
        </w:tc>
        <w:tc>
          <w:tcPr>
            <w:tcW w:w="555" w:type="dxa"/>
            <w:shd w:val="clear" w:color="auto" w:fill="FFFFFF"/>
          </w:tcPr>
          <w:p>
            <w:pPr>
              <w:pStyle w:val="TableParagraph"/>
              <w:spacing w:line="128" w:lineRule="exact"/>
              <w:ind w:left="77"/>
              <w:rPr>
                <w:sz w:val="14"/>
              </w:rPr>
            </w:pPr>
            <w:r>
              <w:rPr>
                <w:sz w:val="14"/>
              </w:rPr>
              <w:t>0.7</w:t>
            </w:r>
          </w:p>
        </w:tc>
        <w:tc>
          <w:tcPr>
            <w:tcW w:w="730" w:type="dxa"/>
            <w:shd w:val="clear" w:color="auto" w:fill="FFFFFF"/>
          </w:tcPr>
          <w:p>
            <w:pPr>
              <w:pStyle w:val="TableParagraph"/>
              <w:spacing w:line="128" w:lineRule="exact"/>
              <w:ind w:left="281" w:right="233"/>
              <w:jc w:val="center"/>
              <w:rPr>
                <w:sz w:val="14"/>
              </w:rPr>
            </w:pPr>
            <w:r>
              <w:rPr>
                <w:sz w:val="14"/>
              </w:rPr>
              <w:t>2.0</w:t>
            </w:r>
          </w:p>
        </w:tc>
        <w:tc>
          <w:tcPr>
            <w:tcW w:w="478" w:type="dxa"/>
            <w:shd w:val="clear" w:color="auto" w:fill="FFFFFF"/>
          </w:tcPr>
          <w:p>
            <w:pPr>
              <w:pStyle w:val="TableParagraph"/>
              <w:spacing w:line="128" w:lineRule="exact"/>
              <w:ind w:right="49"/>
              <w:jc w:val="right"/>
              <w:rPr>
                <w:sz w:val="14"/>
              </w:rPr>
            </w:pPr>
            <w:r>
              <w:rPr>
                <w:sz w:val="14"/>
              </w:rPr>
              <w:t>4.4</w:t>
            </w:r>
          </w:p>
        </w:tc>
      </w:tr>
      <w:tr>
        <w:trPr>
          <w:trHeight w:val="599" w:hRule="atLeast"/>
        </w:trPr>
        <w:tc>
          <w:tcPr>
            <w:tcW w:w="2233" w:type="dxa"/>
            <w:shd w:val="clear" w:color="auto" w:fill="FFFFFF"/>
          </w:tcPr>
          <w:p>
            <w:pPr>
              <w:pStyle w:val="TableParagraph"/>
              <w:spacing w:line="133" w:lineRule="exact"/>
              <w:ind w:left="60"/>
              <w:rPr>
                <w:sz w:val="14"/>
              </w:rPr>
            </w:pPr>
            <w:r>
              <w:rPr>
                <w:sz w:val="14"/>
              </w:rPr>
              <w:t>Euro-area Datastream IT index</w:t>
            </w:r>
          </w:p>
          <w:p>
            <w:pPr>
              <w:pStyle w:val="TableParagraph"/>
              <w:spacing w:before="117"/>
              <w:ind w:left="60"/>
              <w:rPr>
                <w:sz w:val="12"/>
              </w:rPr>
            </w:pPr>
            <w:r>
              <w:rPr>
                <w:sz w:val="12"/>
              </w:rPr>
              <w:t>Sources: Datastream and Bank of England.</w:t>
            </w:r>
          </w:p>
          <w:p>
            <w:pPr>
              <w:pStyle w:val="TableParagraph"/>
              <w:spacing w:line="89" w:lineRule="exact" w:before="102"/>
              <w:ind w:left="60"/>
              <w:rPr>
                <w:sz w:val="12"/>
              </w:rPr>
            </w:pPr>
            <w:r>
              <w:rPr>
                <w:sz w:val="12"/>
              </w:rPr>
              <w:t>(a) 15-day average.</w:t>
            </w:r>
          </w:p>
        </w:tc>
        <w:tc>
          <w:tcPr>
            <w:tcW w:w="555" w:type="dxa"/>
            <w:shd w:val="clear" w:color="auto" w:fill="FFFFFF"/>
          </w:tcPr>
          <w:p>
            <w:pPr>
              <w:pStyle w:val="TableParagraph"/>
              <w:spacing w:line="133" w:lineRule="exact"/>
              <w:ind w:left="77"/>
              <w:rPr>
                <w:sz w:val="14"/>
              </w:rPr>
            </w:pPr>
            <w:r>
              <w:rPr>
                <w:sz w:val="14"/>
              </w:rPr>
              <w:t>3.5</w:t>
            </w:r>
          </w:p>
        </w:tc>
        <w:tc>
          <w:tcPr>
            <w:tcW w:w="730" w:type="dxa"/>
            <w:shd w:val="clear" w:color="auto" w:fill="FFFFFF"/>
          </w:tcPr>
          <w:p>
            <w:pPr>
              <w:pStyle w:val="TableParagraph"/>
              <w:spacing w:line="133" w:lineRule="exact"/>
              <w:ind w:left="281" w:right="232"/>
              <w:jc w:val="center"/>
              <w:rPr>
                <w:sz w:val="14"/>
              </w:rPr>
            </w:pPr>
            <w:r>
              <w:rPr>
                <w:sz w:val="14"/>
              </w:rPr>
              <w:t>6.7</w:t>
            </w:r>
          </w:p>
        </w:tc>
        <w:tc>
          <w:tcPr>
            <w:tcW w:w="478" w:type="dxa"/>
            <w:shd w:val="clear" w:color="auto" w:fill="FFFFFF"/>
          </w:tcPr>
          <w:p>
            <w:pPr>
              <w:pStyle w:val="TableParagraph"/>
              <w:spacing w:line="133" w:lineRule="exact"/>
              <w:ind w:right="48"/>
              <w:jc w:val="right"/>
              <w:rPr>
                <w:sz w:val="14"/>
              </w:rPr>
            </w:pPr>
            <w:r>
              <w:rPr>
                <w:sz w:val="14"/>
              </w:rPr>
              <w:t>9.7</w:t>
            </w:r>
          </w:p>
        </w:tc>
      </w:tr>
    </w:tbl>
    <w:p>
      <w:pPr>
        <w:pStyle w:val="ListParagraph"/>
        <w:numPr>
          <w:ilvl w:val="0"/>
          <w:numId w:val="6"/>
        </w:numPr>
        <w:tabs>
          <w:tab w:pos="681" w:val="left" w:leader="none"/>
        </w:tabs>
        <w:spacing w:line="129" w:lineRule="exact" w:before="11" w:after="0"/>
        <w:ind w:left="680" w:right="0" w:hanging="241"/>
        <w:jc w:val="left"/>
        <w:rPr>
          <w:sz w:val="12"/>
        </w:rPr>
      </w:pPr>
      <w:r>
        <w:rPr>
          <w:sz w:val="12"/>
        </w:rPr>
        <w:t>Bank estimate based on Datastream data.</w:t>
      </w:r>
    </w:p>
    <w:p>
      <w:pPr>
        <w:pStyle w:val="ListParagraph"/>
        <w:numPr>
          <w:ilvl w:val="0"/>
          <w:numId w:val="6"/>
        </w:numPr>
        <w:tabs>
          <w:tab w:pos="680" w:val="left" w:leader="none"/>
        </w:tabs>
        <w:spacing w:line="208" w:lineRule="auto" w:before="6" w:after="0"/>
        <w:ind w:left="680" w:right="1075" w:hanging="240"/>
        <w:jc w:val="left"/>
        <w:rPr>
          <w:sz w:val="12"/>
        </w:rPr>
      </w:pPr>
      <w:r>
        <w:rPr>
          <w:sz w:val="12"/>
        </w:rPr>
        <w:t>Excluding Marconi (formerly GEC) as it was reclassified to the IT sector </w:t>
      </w:r>
      <w:r>
        <w:rPr>
          <w:spacing w:val="-5"/>
          <w:sz w:val="12"/>
        </w:rPr>
        <w:t>only </w:t>
      </w:r>
      <w:r>
        <w:rPr>
          <w:sz w:val="12"/>
        </w:rPr>
        <w:t>at the end of November.</w:t>
      </w:r>
    </w:p>
    <w:p>
      <w:pPr>
        <w:pStyle w:val="BodyText"/>
        <w:rPr>
          <w:sz w:val="12"/>
        </w:rPr>
      </w:pPr>
    </w:p>
    <w:p>
      <w:pPr>
        <w:pStyle w:val="BodyText"/>
        <w:rPr>
          <w:sz w:val="12"/>
        </w:rPr>
      </w:pPr>
    </w:p>
    <w:p>
      <w:pPr>
        <w:spacing w:line="249" w:lineRule="auto" w:before="94"/>
        <w:ind w:left="440" w:right="474" w:firstLine="0"/>
        <w:jc w:val="left"/>
        <w:rPr>
          <w:sz w:val="20"/>
        </w:rPr>
      </w:pPr>
      <w:r>
        <w:rPr>
          <w:sz w:val="20"/>
        </w:rPr>
        <w:t>inevitably be some companies that are not placed in the IT sector, but which still operate in high-technology areas, such as communications or electronics. So the IT sectors of these indices can only provide partial coverage of economy-wide IT-based production.</w:t>
      </w:r>
    </w:p>
    <w:p>
      <w:pPr>
        <w:pStyle w:val="BodyText"/>
        <w:spacing w:before="9"/>
        <w:rPr>
          <w:sz w:val="17"/>
        </w:rPr>
      </w:pPr>
    </w:p>
    <w:p>
      <w:pPr>
        <w:spacing w:line="249" w:lineRule="auto" w:before="0"/>
        <w:ind w:left="440" w:right="541" w:firstLine="0"/>
        <w:jc w:val="left"/>
        <w:rPr>
          <w:sz w:val="20"/>
        </w:rPr>
      </w:pPr>
      <w:r>
        <w:rPr>
          <w:sz w:val="20"/>
        </w:rPr>
        <w:t>Notwithstanding these definitional issues, variations in the size of technology sectors across indices imply differing contributions of technology sector share price changes to total equity price movements. For example, the relatively high weight of the technology sector in the S&amp;P 500 index means that it is much more sensitive to technology sector share price changes than the FTSE All-Share and DS euro-area indices. As such, the sector has more than accounted for the 8% rise in the S&amp;P 500</w:t>
      </w:r>
    </w:p>
    <w:p>
      <w:pPr>
        <w:spacing w:line="249" w:lineRule="auto" w:before="7"/>
        <w:ind w:left="440" w:right="451" w:firstLine="0"/>
        <w:jc w:val="left"/>
        <w:rPr>
          <w:sz w:val="20"/>
        </w:rPr>
      </w:pPr>
      <w:r>
        <w:rPr>
          <w:sz w:val="20"/>
        </w:rPr>
        <w:t>since the previous </w:t>
      </w:r>
      <w:r>
        <w:rPr>
          <w:i/>
          <w:sz w:val="20"/>
        </w:rPr>
        <w:t>Report </w:t>
      </w:r>
      <w:r>
        <w:rPr>
          <w:sz w:val="20"/>
        </w:rPr>
        <w:t>(see Chart B), despite a smaller rise in technology share prices than in the European IT indices. In the United Kingdom, the IT sector has accounted for almost half of the 5.7% increase in the FTSE All-Share index. In the euro area, IT explains around a quarter of the 16% rise in the DS euro-area index.</w:t>
      </w:r>
    </w:p>
    <w:p>
      <w:pPr>
        <w:spacing w:after="0" w:line="249" w:lineRule="auto"/>
        <w:jc w:val="left"/>
        <w:rPr>
          <w:sz w:val="20"/>
        </w:rPr>
        <w:sectPr>
          <w:type w:val="continuous"/>
          <w:pgSz w:w="11900" w:h="16840"/>
          <w:pgMar w:top="1220" w:bottom="280" w:left="620" w:right="640"/>
          <w:cols w:num="2" w:equalWidth="0">
            <w:col w:w="5089" w:space="41"/>
            <w:col w:w="5510"/>
          </w:cols>
        </w:sectPr>
      </w:pPr>
    </w:p>
    <w:p>
      <w:pPr>
        <w:pStyle w:val="BodyText"/>
        <w:rPr>
          <w:sz w:val="20"/>
        </w:rPr>
      </w:pPr>
    </w:p>
    <w:p>
      <w:pPr>
        <w:spacing w:after="0"/>
        <w:rPr>
          <w:sz w:val="20"/>
        </w:rPr>
        <w:sectPr>
          <w:pgSz w:w="11900" w:h="16840"/>
          <w:pgMar w:header="584" w:footer="617" w:top="780" w:bottom="800" w:left="620" w:right="640"/>
        </w:sectPr>
      </w:pPr>
    </w:p>
    <w:p>
      <w:pPr>
        <w:pStyle w:val="BodyText"/>
        <w:spacing w:before="11"/>
        <w:rPr>
          <w:sz w:val="20"/>
        </w:rPr>
      </w:pPr>
    </w:p>
    <w:p>
      <w:pPr>
        <w:spacing w:before="0"/>
        <w:ind w:left="155" w:right="0" w:firstLine="0"/>
        <w:jc w:val="left"/>
        <w:rPr>
          <w:b/>
          <w:sz w:val="20"/>
        </w:rPr>
      </w:pPr>
      <w:bookmarkStart w:name="Property prices" w:id="25"/>
      <w:bookmarkEnd w:id="25"/>
      <w:r>
        <w:rPr/>
      </w:r>
      <w:bookmarkStart w:name="Exchange rates" w:id="26"/>
      <w:bookmarkEnd w:id="26"/>
      <w:r>
        <w:rPr/>
      </w:r>
      <w:bookmarkStart w:name="_bookmark9" w:id="27"/>
      <w:bookmarkEnd w:id="27"/>
      <w:r>
        <w:rPr/>
      </w:r>
      <w:r>
        <w:rPr>
          <w:b/>
          <w:color w:val="0093C1"/>
          <w:sz w:val="20"/>
        </w:rPr>
        <w:t>Chart 1.16</w:t>
      </w:r>
    </w:p>
    <w:p>
      <w:pPr>
        <w:spacing w:before="10"/>
        <w:ind w:left="155" w:right="0" w:firstLine="0"/>
        <w:jc w:val="left"/>
        <w:rPr>
          <w:b/>
          <w:sz w:val="20"/>
        </w:rPr>
      </w:pPr>
      <w:r>
        <w:rPr>
          <w:b/>
          <w:color w:val="0093C1"/>
          <w:sz w:val="20"/>
        </w:rPr>
        <w:t>Ten-year nominal spot interest rates</w:t>
      </w:r>
    </w:p>
    <w:p>
      <w:pPr>
        <w:pStyle w:val="BodyText"/>
        <w:spacing w:before="4"/>
        <w:rPr>
          <w:b/>
          <w:sz w:val="24"/>
        </w:rPr>
      </w:pPr>
    </w:p>
    <w:p>
      <w:pPr>
        <w:spacing w:before="0"/>
        <w:ind w:left="0" w:right="32" w:firstLine="0"/>
        <w:jc w:val="right"/>
        <w:rPr>
          <w:sz w:val="12"/>
        </w:rPr>
      </w:pPr>
      <w:r>
        <w:rPr/>
        <w:pict>
          <v:group style="position:absolute;margin-left:50.583pt;margin-top:16.335442pt;width:152.7pt;height:114.75pt;mso-position-horizontal-relative:page;mso-position-vertical-relative:paragraph;z-index:15834112" coordorigin="1012,327" coordsize="3054,2295">
            <v:shape style="position:absolute;left:1011;top:326;width:3054;height:2295" type="#_x0000_t75" stroked="false">
              <v:imagedata r:id="rId53" o:title=""/>
            </v:shape>
            <v:shape style="position:absolute;left:1360;top:435;width:810;height:130" type="#_x0000_t202" filled="false" stroked="false">
              <v:textbox inset="0,0,0,0">
                <w:txbxContent>
                  <w:p>
                    <w:pPr>
                      <w:spacing w:before="1"/>
                      <w:ind w:left="0" w:right="0" w:firstLine="0"/>
                      <w:jc w:val="left"/>
                      <w:rPr>
                        <w:sz w:val="11"/>
                      </w:rPr>
                    </w:pPr>
                    <w:r>
                      <w:rPr>
                        <w:w w:val="105"/>
                        <w:sz w:val="11"/>
                      </w:rPr>
                      <w:t>United Kingdom</w:t>
                    </w:r>
                  </w:p>
                </w:txbxContent>
              </v:textbox>
              <w10:wrap type="none"/>
            </v:shape>
            <v:shape style="position:absolute;left:3121;top:893;width:647;height:130" type="#_x0000_t202" filled="false" stroked="false">
              <v:textbox inset="0,0,0,0">
                <w:txbxContent>
                  <w:p>
                    <w:pPr>
                      <w:spacing w:before="1"/>
                      <w:ind w:left="0" w:right="0" w:firstLine="0"/>
                      <w:jc w:val="left"/>
                      <w:rPr>
                        <w:sz w:val="11"/>
                      </w:rPr>
                    </w:pPr>
                    <w:r>
                      <w:rPr>
                        <w:w w:val="105"/>
                        <w:sz w:val="11"/>
                      </w:rPr>
                      <w:t>United States</w:t>
                    </w:r>
                  </w:p>
                </w:txbxContent>
              </v:textbox>
              <w10:wrap type="none"/>
            </v:shape>
            <v:shape style="position:absolute;left:1809;top:2068;width:631;height:130" type="#_x0000_t202" filled="false" stroked="false">
              <v:textbox inset="0,0,0,0">
                <w:txbxContent>
                  <w:p>
                    <w:pPr>
                      <w:spacing w:before="1"/>
                      <w:ind w:left="0" w:right="0" w:firstLine="0"/>
                      <w:jc w:val="left"/>
                      <w:rPr>
                        <w:sz w:val="11"/>
                      </w:rPr>
                    </w:pPr>
                    <w:r>
                      <w:rPr>
                        <w:w w:val="105"/>
                        <w:sz w:val="11"/>
                      </w:rPr>
                      <w:t>Euro area (a)</w:t>
                    </w:r>
                  </w:p>
                </w:txbxContent>
              </v:textbox>
              <w10:wrap type="none"/>
            </v:shape>
            <w10:wrap type="none"/>
          </v:group>
        </w:pict>
      </w:r>
      <w:r>
        <w:rPr/>
        <w:drawing>
          <wp:anchor distT="0" distB="0" distL="0" distR="0" allowOverlap="1" layoutInCell="1" locked="0" behindDoc="0" simplePos="0" relativeHeight="15834624">
            <wp:simplePos x="0" y="0"/>
            <wp:positionH relativeFrom="page">
              <wp:posOffset>533666</wp:posOffset>
            </wp:positionH>
            <wp:positionV relativeFrom="paragraph">
              <wp:posOffset>281475</wp:posOffset>
            </wp:positionV>
            <wp:extent cx="55304" cy="6381"/>
            <wp:effectExtent l="0" t="0" r="0" b="0"/>
            <wp:wrapNone/>
            <wp:docPr id="11" name="image12.png"/>
            <wp:cNvGraphicFramePr>
              <a:graphicFrameLocks noChangeAspect="1"/>
            </wp:cNvGraphicFramePr>
            <a:graphic>
              <a:graphicData uri="http://schemas.openxmlformats.org/drawingml/2006/picture">
                <pic:pic>
                  <pic:nvPicPr>
                    <pic:cNvPr id="12" name="image12.png"/>
                    <pic:cNvPicPr/>
                  </pic:nvPicPr>
                  <pic:blipFill>
                    <a:blip r:embed="rId47"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35136">
            <wp:simplePos x="0" y="0"/>
            <wp:positionH relativeFrom="page">
              <wp:posOffset>533666</wp:posOffset>
            </wp:positionH>
            <wp:positionV relativeFrom="paragraph">
              <wp:posOffset>459313</wp:posOffset>
            </wp:positionV>
            <wp:extent cx="54478" cy="6286"/>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5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35648">
            <wp:simplePos x="0" y="0"/>
            <wp:positionH relativeFrom="page">
              <wp:posOffset>533666</wp:posOffset>
            </wp:positionH>
            <wp:positionV relativeFrom="paragraph">
              <wp:posOffset>837176</wp:posOffset>
            </wp:positionV>
            <wp:extent cx="55304" cy="6381"/>
            <wp:effectExtent l="0" t="0" r="0" b="0"/>
            <wp:wrapNone/>
            <wp:docPr id="15" name="image12.png"/>
            <wp:cNvGraphicFramePr>
              <a:graphicFrameLocks noChangeAspect="1"/>
            </wp:cNvGraphicFramePr>
            <a:graphic>
              <a:graphicData uri="http://schemas.openxmlformats.org/drawingml/2006/picture">
                <pic:pic>
                  <pic:nvPicPr>
                    <pic:cNvPr id="16" name="image12.png"/>
                    <pic:cNvPicPr/>
                  </pic:nvPicPr>
                  <pic:blipFill>
                    <a:blip r:embed="rId47"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36672">
            <wp:simplePos x="0" y="0"/>
            <wp:positionH relativeFrom="page">
              <wp:posOffset>533666</wp:posOffset>
            </wp:positionH>
            <wp:positionV relativeFrom="paragraph">
              <wp:posOffset>637139</wp:posOffset>
            </wp:positionV>
            <wp:extent cx="55304" cy="6381"/>
            <wp:effectExtent l="0" t="0" r="0" b="0"/>
            <wp:wrapNone/>
            <wp:docPr id="17" name="image12.png"/>
            <wp:cNvGraphicFramePr>
              <a:graphicFrameLocks noChangeAspect="1"/>
            </wp:cNvGraphicFramePr>
            <a:graphic>
              <a:graphicData uri="http://schemas.openxmlformats.org/drawingml/2006/picture">
                <pic:pic>
                  <pic:nvPicPr>
                    <pic:cNvPr id="18" name="image12.png"/>
                    <pic:cNvPicPr/>
                  </pic:nvPicPr>
                  <pic:blipFill>
                    <a:blip r:embed="rId47"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37184">
            <wp:simplePos x="0" y="0"/>
            <wp:positionH relativeFrom="page">
              <wp:posOffset>533666</wp:posOffset>
            </wp:positionH>
            <wp:positionV relativeFrom="paragraph">
              <wp:posOffset>1015002</wp:posOffset>
            </wp:positionV>
            <wp:extent cx="55304" cy="6381"/>
            <wp:effectExtent l="0" t="0" r="0" b="0"/>
            <wp:wrapNone/>
            <wp:docPr id="19" name="image12.png"/>
            <wp:cNvGraphicFramePr>
              <a:graphicFrameLocks noChangeAspect="1"/>
            </wp:cNvGraphicFramePr>
            <a:graphic>
              <a:graphicData uri="http://schemas.openxmlformats.org/drawingml/2006/picture">
                <pic:pic>
                  <pic:nvPicPr>
                    <pic:cNvPr id="20" name="image12.png"/>
                    <pic:cNvPicPr/>
                  </pic:nvPicPr>
                  <pic:blipFill>
                    <a:blip r:embed="rId47" cstate="print"/>
                    <a:stretch>
                      <a:fillRect/>
                    </a:stretch>
                  </pic:blipFill>
                  <pic:spPr>
                    <a:xfrm>
                      <a:off x="0" y="0"/>
                      <a:ext cx="55304" cy="6381"/>
                    </a:xfrm>
                    <a:prstGeom prst="rect">
                      <a:avLst/>
                    </a:prstGeom>
                  </pic:spPr>
                </pic:pic>
              </a:graphicData>
            </a:graphic>
          </wp:anchor>
        </w:drawing>
      </w:r>
      <w:r>
        <w:rPr>
          <w:sz w:val="12"/>
        </w:rPr>
        <w:t>Per cent</w:t>
      </w:r>
    </w:p>
    <w:p>
      <w:pPr>
        <w:tabs>
          <w:tab w:pos="3358" w:val="left" w:leader="none"/>
        </w:tabs>
        <w:spacing w:line="20" w:lineRule="exact"/>
        <w:ind w:left="220" w:right="-15" w:firstLine="0"/>
        <w:rPr>
          <w:sz w:val="2"/>
        </w:rPr>
      </w:pPr>
      <w:r>
        <w:rPr>
          <w:sz w:val="2"/>
        </w:rPr>
        <w:drawing>
          <wp:inline distT="0" distB="0" distL="0" distR="0">
            <wp:extent cx="55304" cy="6381"/>
            <wp:effectExtent l="0" t="0" r="0" b="0"/>
            <wp:docPr id="21" name="image12.png"/>
            <wp:cNvGraphicFramePr>
              <a:graphicFrameLocks noChangeAspect="1"/>
            </wp:cNvGraphicFramePr>
            <a:graphic>
              <a:graphicData uri="http://schemas.openxmlformats.org/drawingml/2006/picture">
                <pic:pic>
                  <pic:nvPicPr>
                    <pic:cNvPr id="22" name="image12.png"/>
                    <pic:cNvPicPr/>
                  </pic:nvPicPr>
                  <pic:blipFill>
                    <a:blip r:embed="rId47" cstate="print"/>
                    <a:stretch>
                      <a:fillRect/>
                    </a:stretch>
                  </pic:blipFill>
                  <pic:spPr>
                    <a:xfrm>
                      <a:off x="0" y="0"/>
                      <a:ext cx="55304" cy="6381"/>
                    </a:xfrm>
                    <a:prstGeom prst="rect">
                      <a:avLst/>
                    </a:prstGeom>
                  </pic:spPr>
                </pic:pic>
              </a:graphicData>
            </a:graphic>
          </wp:inline>
        </w:drawing>
      </w:r>
      <w:r>
        <w:rPr>
          <w:sz w:val="2"/>
        </w:rPr>
      </w:r>
      <w:r>
        <w:rPr>
          <w:sz w:val="2"/>
        </w:rPr>
        <w:tab/>
      </w:r>
      <w:r>
        <w:rPr>
          <w:sz w:val="2"/>
        </w:rPr>
        <w:drawing>
          <wp:inline distT="0" distB="0" distL="0" distR="0">
            <wp:extent cx="55304" cy="6381"/>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47" cstate="print"/>
                    <a:stretch>
                      <a:fillRect/>
                    </a:stretch>
                  </pic:blipFill>
                  <pic:spPr>
                    <a:xfrm>
                      <a:off x="0" y="0"/>
                      <a:ext cx="55304" cy="6381"/>
                    </a:xfrm>
                    <a:prstGeom prst="rect">
                      <a:avLst/>
                    </a:prstGeom>
                  </pic:spPr>
                </pic:pic>
              </a:graphicData>
            </a:graphic>
          </wp:inline>
        </w:drawing>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r>
        <w:rPr/>
        <w:drawing>
          <wp:anchor distT="0" distB="0" distL="0" distR="0" allowOverlap="1" layoutInCell="1" locked="0" behindDoc="0" simplePos="0" relativeHeight="200">
            <wp:simplePos x="0" y="0"/>
            <wp:positionH relativeFrom="page">
              <wp:posOffset>533666</wp:posOffset>
            </wp:positionH>
            <wp:positionV relativeFrom="paragraph">
              <wp:posOffset>194230</wp:posOffset>
            </wp:positionV>
            <wp:extent cx="55304" cy="6381"/>
            <wp:effectExtent l="0" t="0" r="0" b="0"/>
            <wp:wrapTopAndBottom/>
            <wp:docPr id="25" name="image12.png"/>
            <wp:cNvGraphicFramePr>
              <a:graphicFrameLocks noChangeAspect="1"/>
            </wp:cNvGraphicFramePr>
            <a:graphic>
              <a:graphicData uri="http://schemas.openxmlformats.org/drawingml/2006/picture">
                <pic:pic>
                  <pic:nvPicPr>
                    <pic:cNvPr id="26" name="image12.png"/>
                    <pic:cNvPicPr/>
                  </pic:nvPicPr>
                  <pic:blipFill>
                    <a:blip r:embed="rId47"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01">
            <wp:simplePos x="0" y="0"/>
            <wp:positionH relativeFrom="page">
              <wp:posOffset>2526245</wp:posOffset>
            </wp:positionH>
            <wp:positionV relativeFrom="paragraph">
              <wp:posOffset>191284</wp:posOffset>
            </wp:positionV>
            <wp:extent cx="55304" cy="6381"/>
            <wp:effectExtent l="0" t="0" r="0" b="0"/>
            <wp:wrapTopAndBottom/>
            <wp:docPr id="27" name="image12.png"/>
            <wp:cNvGraphicFramePr>
              <a:graphicFrameLocks noChangeAspect="1"/>
            </wp:cNvGraphicFramePr>
            <a:graphic>
              <a:graphicData uri="http://schemas.openxmlformats.org/drawingml/2006/picture">
                <pic:pic>
                  <pic:nvPicPr>
                    <pic:cNvPr id="28" name="image12.png"/>
                    <pic:cNvPicPr/>
                  </pic:nvPicPr>
                  <pic:blipFill>
                    <a:blip r:embed="rId47"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02">
            <wp:simplePos x="0" y="0"/>
            <wp:positionH relativeFrom="page">
              <wp:posOffset>528637</wp:posOffset>
            </wp:positionH>
            <wp:positionV relativeFrom="paragraph">
              <wp:posOffset>380755</wp:posOffset>
            </wp:positionV>
            <wp:extent cx="2060221" cy="77724"/>
            <wp:effectExtent l="0" t="0" r="0" b="0"/>
            <wp:wrapTopAndBottom/>
            <wp:docPr id="29" name="image20.png"/>
            <wp:cNvGraphicFramePr>
              <a:graphicFrameLocks noChangeAspect="1"/>
            </wp:cNvGraphicFramePr>
            <a:graphic>
              <a:graphicData uri="http://schemas.openxmlformats.org/drawingml/2006/picture">
                <pic:pic>
                  <pic:nvPicPr>
                    <pic:cNvPr id="30" name="image20.png"/>
                    <pic:cNvPicPr/>
                  </pic:nvPicPr>
                  <pic:blipFill>
                    <a:blip r:embed="rId55" cstate="print"/>
                    <a:stretch>
                      <a:fillRect/>
                    </a:stretch>
                  </pic:blipFill>
                  <pic:spPr>
                    <a:xfrm>
                      <a:off x="0" y="0"/>
                      <a:ext cx="2060221" cy="77724"/>
                    </a:xfrm>
                    <a:prstGeom prst="rect">
                      <a:avLst/>
                    </a:prstGeom>
                  </pic:spPr>
                </pic:pic>
              </a:graphicData>
            </a:graphic>
          </wp:anchor>
        </w:drawing>
      </w:r>
    </w:p>
    <w:p>
      <w:pPr>
        <w:pStyle w:val="BodyText"/>
        <w:spacing w:before="8"/>
      </w:pPr>
    </w:p>
    <w:p>
      <w:pPr>
        <w:tabs>
          <w:tab w:pos="1753" w:val="left" w:leader="none"/>
          <w:tab w:pos="2693" w:val="left" w:leader="none"/>
          <w:tab w:pos="3168" w:val="left" w:leader="none"/>
        </w:tabs>
        <w:spacing w:line="129" w:lineRule="exact" w:before="0"/>
        <w:ind w:left="751" w:right="0" w:firstLine="0"/>
        <w:jc w:val="left"/>
        <w:rPr>
          <w:sz w:val="12"/>
        </w:rPr>
      </w:pPr>
      <w:r>
        <w:rPr>
          <w:sz w:val="12"/>
        </w:rPr>
        <w:t>1997</w:t>
        <w:tab/>
        <w:t>98</w:t>
        <w:tab/>
        <w:t>99</w:t>
        <w:tab/>
        <w:t>2000</w:t>
      </w:r>
    </w:p>
    <w:p>
      <w:pPr>
        <w:spacing w:line="129" w:lineRule="exact" w:before="0"/>
        <w:ind w:left="155" w:right="0" w:firstLine="0"/>
        <w:jc w:val="left"/>
        <w:rPr>
          <w:sz w:val="12"/>
        </w:rPr>
      </w:pPr>
      <w:r>
        <w:rPr/>
        <w:drawing>
          <wp:anchor distT="0" distB="0" distL="0" distR="0" allowOverlap="1" layoutInCell="1" locked="0" behindDoc="0" simplePos="0" relativeHeight="15836160">
            <wp:simplePos x="0" y="0"/>
            <wp:positionH relativeFrom="page">
              <wp:posOffset>533666</wp:posOffset>
            </wp:positionH>
            <wp:positionV relativeFrom="paragraph">
              <wp:posOffset>-737205</wp:posOffset>
            </wp:positionV>
            <wp:extent cx="54478" cy="6286"/>
            <wp:effectExtent l="0" t="0" r="0" b="0"/>
            <wp:wrapNone/>
            <wp:docPr id="31" name="image19.png"/>
            <wp:cNvGraphicFramePr>
              <a:graphicFrameLocks noChangeAspect="1"/>
            </wp:cNvGraphicFramePr>
            <a:graphic>
              <a:graphicData uri="http://schemas.openxmlformats.org/drawingml/2006/picture">
                <pic:pic>
                  <pic:nvPicPr>
                    <pic:cNvPr id="32" name="image19.png"/>
                    <pic:cNvPicPr/>
                  </pic:nvPicPr>
                  <pic:blipFill>
                    <a:blip r:embed="rId5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37696">
            <wp:simplePos x="0" y="0"/>
            <wp:positionH relativeFrom="page">
              <wp:posOffset>533666</wp:posOffset>
            </wp:positionH>
            <wp:positionV relativeFrom="paragraph">
              <wp:posOffset>-546159</wp:posOffset>
            </wp:positionV>
            <wp:extent cx="55304" cy="6381"/>
            <wp:effectExtent l="0" t="0" r="0" b="0"/>
            <wp:wrapNone/>
            <wp:docPr id="33" name="image12.png"/>
            <wp:cNvGraphicFramePr>
              <a:graphicFrameLocks noChangeAspect="1"/>
            </wp:cNvGraphicFramePr>
            <a:graphic>
              <a:graphicData uri="http://schemas.openxmlformats.org/drawingml/2006/picture">
                <pic:pic>
                  <pic:nvPicPr>
                    <pic:cNvPr id="34" name="image12.png"/>
                    <pic:cNvPicPr/>
                  </pic:nvPicPr>
                  <pic:blipFill>
                    <a:blip r:embed="rId47"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38208">
            <wp:simplePos x="0" y="0"/>
            <wp:positionH relativeFrom="page">
              <wp:posOffset>533666</wp:posOffset>
            </wp:positionH>
            <wp:positionV relativeFrom="paragraph">
              <wp:posOffset>-919006</wp:posOffset>
            </wp:positionV>
            <wp:extent cx="54478" cy="6286"/>
            <wp:effectExtent l="0" t="0" r="0" b="0"/>
            <wp:wrapNone/>
            <wp:docPr id="35" name="image19.png"/>
            <wp:cNvGraphicFramePr>
              <a:graphicFrameLocks noChangeAspect="1"/>
            </wp:cNvGraphicFramePr>
            <a:graphic>
              <a:graphicData uri="http://schemas.openxmlformats.org/drawingml/2006/picture">
                <pic:pic>
                  <pic:nvPicPr>
                    <pic:cNvPr id="36" name="image19.png"/>
                    <pic:cNvPicPr/>
                  </pic:nvPicPr>
                  <pic:blipFill>
                    <a:blip r:embed="rId54" cstate="print"/>
                    <a:stretch>
                      <a:fillRect/>
                    </a:stretch>
                  </pic:blipFill>
                  <pic:spPr>
                    <a:xfrm>
                      <a:off x="0" y="0"/>
                      <a:ext cx="54478" cy="6286"/>
                    </a:xfrm>
                    <a:prstGeom prst="rect">
                      <a:avLst/>
                    </a:prstGeom>
                  </pic:spPr>
                </pic:pic>
              </a:graphicData>
            </a:graphic>
          </wp:anchor>
        </w:drawing>
      </w:r>
      <w:r>
        <w:rPr>
          <w:sz w:val="12"/>
        </w:rPr>
        <w:t>Source: Bank of England.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0"/>
        </w:rPr>
      </w:pPr>
    </w:p>
    <w:p>
      <w:pPr>
        <w:spacing w:before="0"/>
        <w:ind w:left="10" w:right="0" w:firstLine="0"/>
        <w:jc w:val="left"/>
        <w:rPr>
          <w:sz w:val="12"/>
        </w:rPr>
      </w:pPr>
      <w:r>
        <w:rPr>
          <w:sz w:val="12"/>
        </w:rPr>
        <w:t>8.0</w:t>
      </w:r>
    </w:p>
    <w:p>
      <w:pPr>
        <w:pStyle w:val="BodyText"/>
        <w:spacing w:before="3"/>
        <w:rPr>
          <w:sz w:val="12"/>
        </w:rPr>
      </w:pPr>
    </w:p>
    <w:p>
      <w:pPr>
        <w:spacing w:before="0"/>
        <w:ind w:left="10" w:right="0" w:firstLine="0"/>
        <w:jc w:val="left"/>
        <w:rPr>
          <w:sz w:val="12"/>
        </w:rPr>
      </w:pPr>
      <w:r>
        <w:rPr>
          <w:sz w:val="12"/>
        </w:rPr>
        <w:t>7.5</w:t>
      </w:r>
    </w:p>
    <w:p>
      <w:pPr>
        <w:pStyle w:val="BodyText"/>
        <w:rPr>
          <w:sz w:val="14"/>
        </w:rPr>
      </w:pPr>
    </w:p>
    <w:p>
      <w:pPr>
        <w:spacing w:before="0"/>
        <w:ind w:left="10" w:right="0" w:firstLine="0"/>
        <w:jc w:val="left"/>
        <w:rPr>
          <w:sz w:val="12"/>
        </w:rPr>
      </w:pPr>
      <w:r>
        <w:rPr>
          <w:sz w:val="12"/>
        </w:rPr>
        <w:t>7.0</w:t>
      </w:r>
    </w:p>
    <w:p>
      <w:pPr>
        <w:pStyle w:val="BodyText"/>
        <w:spacing w:before="1"/>
        <w:rPr>
          <w:sz w:val="11"/>
        </w:rPr>
      </w:pPr>
    </w:p>
    <w:p>
      <w:pPr>
        <w:spacing w:before="0"/>
        <w:ind w:left="10" w:right="0" w:firstLine="0"/>
        <w:jc w:val="left"/>
        <w:rPr>
          <w:sz w:val="12"/>
        </w:rPr>
      </w:pPr>
      <w:r>
        <w:rPr>
          <w:sz w:val="12"/>
        </w:rPr>
        <w:t>6.5</w:t>
      </w:r>
    </w:p>
    <w:p>
      <w:pPr>
        <w:pStyle w:val="BodyText"/>
        <w:rPr>
          <w:sz w:val="14"/>
        </w:rPr>
      </w:pPr>
    </w:p>
    <w:p>
      <w:pPr>
        <w:spacing w:before="1"/>
        <w:ind w:left="10" w:right="0" w:firstLine="0"/>
        <w:jc w:val="left"/>
        <w:rPr>
          <w:sz w:val="12"/>
        </w:rPr>
      </w:pPr>
      <w:r>
        <w:rPr>
          <w:sz w:val="12"/>
        </w:rPr>
        <w:t>6.0</w:t>
      </w:r>
    </w:p>
    <w:p>
      <w:pPr>
        <w:pStyle w:val="BodyText"/>
        <w:spacing w:before="6"/>
        <w:rPr>
          <w:sz w:val="14"/>
        </w:rPr>
      </w:pPr>
    </w:p>
    <w:p>
      <w:pPr>
        <w:spacing w:before="0"/>
        <w:ind w:left="10" w:right="0" w:firstLine="0"/>
        <w:jc w:val="left"/>
        <w:rPr>
          <w:sz w:val="12"/>
        </w:rPr>
      </w:pPr>
      <w:r>
        <w:rPr>
          <w:sz w:val="12"/>
        </w:rPr>
        <w:t>5.5</w:t>
      </w:r>
    </w:p>
    <w:p>
      <w:pPr>
        <w:pStyle w:val="BodyText"/>
        <w:spacing w:before="3"/>
        <w:rPr>
          <w:sz w:val="12"/>
        </w:rPr>
      </w:pPr>
    </w:p>
    <w:p>
      <w:pPr>
        <w:spacing w:before="1"/>
        <w:ind w:left="10" w:right="0" w:firstLine="0"/>
        <w:jc w:val="left"/>
        <w:rPr>
          <w:sz w:val="12"/>
        </w:rPr>
      </w:pPr>
      <w:r>
        <w:rPr>
          <w:sz w:val="12"/>
        </w:rPr>
        <w:t>5.0</w:t>
      </w:r>
    </w:p>
    <w:p>
      <w:pPr>
        <w:pStyle w:val="BodyText"/>
        <w:spacing w:before="4"/>
        <w:rPr>
          <w:sz w:val="13"/>
        </w:rPr>
      </w:pPr>
    </w:p>
    <w:p>
      <w:pPr>
        <w:spacing w:before="0"/>
        <w:ind w:left="10" w:right="0" w:firstLine="0"/>
        <w:jc w:val="left"/>
        <w:rPr>
          <w:sz w:val="12"/>
        </w:rPr>
      </w:pPr>
      <w:r>
        <w:rPr>
          <w:sz w:val="12"/>
        </w:rPr>
        <w:t>4.5</w:t>
      </w:r>
    </w:p>
    <w:p>
      <w:pPr>
        <w:pStyle w:val="BodyText"/>
        <w:spacing w:before="10"/>
        <w:rPr>
          <w:sz w:val="12"/>
        </w:rPr>
      </w:pPr>
    </w:p>
    <w:p>
      <w:pPr>
        <w:spacing w:before="0"/>
        <w:ind w:left="10" w:right="0" w:firstLine="0"/>
        <w:jc w:val="left"/>
        <w:rPr>
          <w:sz w:val="12"/>
        </w:rPr>
      </w:pPr>
      <w:r>
        <w:rPr>
          <w:sz w:val="12"/>
        </w:rPr>
        <w:t>4.0</w:t>
      </w:r>
    </w:p>
    <w:p>
      <w:pPr>
        <w:pStyle w:val="BodyText"/>
        <w:spacing w:before="9"/>
        <w:rPr>
          <w:sz w:val="15"/>
        </w:rPr>
      </w:pPr>
    </w:p>
    <w:p>
      <w:pPr>
        <w:spacing w:before="0"/>
        <w:ind w:left="10" w:right="0" w:firstLine="0"/>
        <w:jc w:val="left"/>
        <w:rPr>
          <w:sz w:val="12"/>
        </w:rPr>
      </w:pPr>
      <w:r>
        <w:rPr>
          <w:sz w:val="12"/>
        </w:rPr>
        <w:t>3.5</w:t>
      </w:r>
    </w:p>
    <w:p>
      <w:pPr>
        <w:pStyle w:val="BodyText"/>
        <w:spacing w:before="3"/>
        <w:rPr>
          <w:sz w:val="12"/>
        </w:rPr>
      </w:pPr>
    </w:p>
    <w:p>
      <w:pPr>
        <w:spacing w:line="127" w:lineRule="exact" w:before="0"/>
        <w:ind w:left="10" w:right="0" w:firstLine="0"/>
        <w:jc w:val="left"/>
        <w:rPr>
          <w:sz w:val="12"/>
        </w:rPr>
      </w:pPr>
      <w:r>
        <w:rPr>
          <w:sz w:val="12"/>
        </w:rPr>
        <w:t>3.0</w:t>
      </w:r>
    </w:p>
    <w:p>
      <w:pPr>
        <w:spacing w:line="127" w:lineRule="exact" w:before="0"/>
        <w:ind w:left="10" w:right="0" w:firstLine="0"/>
        <w:jc w:val="left"/>
        <w:rPr>
          <w:sz w:val="12"/>
        </w:rPr>
      </w:pPr>
      <w:r>
        <w:rPr>
          <w:sz w:val="12"/>
        </w:rPr>
        <w:t>0.0</w:t>
      </w:r>
    </w:p>
    <w:p>
      <w:pPr>
        <w:spacing w:line="242" w:lineRule="auto" w:before="206"/>
        <w:ind w:left="155" w:right="488" w:firstLine="0"/>
        <w:jc w:val="left"/>
        <w:rPr>
          <w:sz w:val="24"/>
        </w:rPr>
      </w:pPr>
      <w:r>
        <w:rPr/>
        <w:br w:type="column"/>
      </w:r>
      <w:r>
        <w:rPr>
          <w:sz w:val="24"/>
        </w:rPr>
        <w:t>United Kingdom, the FTSE All-Share index averaged 2996 in the 15 working days up to and including</w:t>
      </w:r>
    </w:p>
    <w:p>
      <w:pPr>
        <w:spacing w:line="242" w:lineRule="auto" w:before="2"/>
        <w:ind w:left="155" w:right="488" w:firstLine="0"/>
        <w:jc w:val="left"/>
        <w:rPr>
          <w:sz w:val="24"/>
        </w:rPr>
      </w:pPr>
      <w:r>
        <w:rPr>
          <w:sz w:val="24"/>
        </w:rPr>
        <w:t>9 February, 5.7% above the 15 working day average used as the starting-point for the projection in the November </w:t>
      </w:r>
      <w:r>
        <w:rPr>
          <w:i/>
          <w:sz w:val="24"/>
        </w:rPr>
        <w:t>Report</w:t>
      </w:r>
      <w:r>
        <w:rPr>
          <w:sz w:val="24"/>
        </w:rPr>
        <w:t>.</w:t>
      </w:r>
    </w:p>
    <w:p>
      <w:pPr>
        <w:pStyle w:val="BodyText"/>
        <w:spacing w:before="8"/>
        <w:rPr>
          <w:sz w:val="24"/>
        </w:rPr>
      </w:pPr>
    </w:p>
    <w:p>
      <w:pPr>
        <w:spacing w:before="0"/>
        <w:ind w:left="155" w:right="0" w:firstLine="0"/>
        <w:jc w:val="left"/>
        <w:rPr>
          <w:i/>
          <w:sz w:val="24"/>
        </w:rPr>
      </w:pPr>
      <w:r>
        <w:rPr>
          <w:i/>
          <w:color w:val="009483"/>
          <w:sz w:val="24"/>
        </w:rPr>
        <w:t>Property prices</w:t>
      </w:r>
    </w:p>
    <w:p>
      <w:pPr>
        <w:spacing w:line="242" w:lineRule="auto" w:before="124"/>
        <w:ind w:left="155" w:right="221" w:firstLine="0"/>
        <w:jc w:val="left"/>
        <w:rPr>
          <w:sz w:val="24"/>
        </w:rPr>
      </w:pPr>
      <w:r>
        <w:rPr>
          <w:sz w:val="24"/>
        </w:rPr>
        <w:t>Annual house price inflation has strengthened further in recent months. The Halifax index rose by 16.0% in the year to January 2000, its highest rate of increase since July 1989 (see Chart 1.17), and the Nationwide index rose by 13.1% over the same period. Sharp increases in house prices over the past year have led to substantial </w:t>
      </w:r>
      <w:hyperlink w:history="true" w:anchor="_bookmark11">
        <w:r>
          <w:rPr>
            <w:sz w:val="24"/>
          </w:rPr>
          <w:t>rises in household sector housing wealth (see Section 2).</w:t>
        </w:r>
      </w:hyperlink>
    </w:p>
    <w:p>
      <w:pPr>
        <w:spacing w:after="0" w:line="242" w:lineRule="auto"/>
        <w:jc w:val="left"/>
        <w:rPr>
          <w:sz w:val="24"/>
        </w:rPr>
        <w:sectPr>
          <w:type w:val="continuous"/>
          <w:pgSz w:w="11900" w:h="16840"/>
          <w:pgMar w:top="1220" w:bottom="280" w:left="620" w:right="640"/>
          <w:cols w:num="3" w:equalWidth="0">
            <w:col w:w="3483" w:space="40"/>
            <w:col w:w="201" w:space="1087"/>
            <w:col w:w="5829"/>
          </w:cols>
        </w:sectPr>
      </w:pPr>
    </w:p>
    <w:p>
      <w:pPr>
        <w:spacing w:before="102"/>
        <w:ind w:left="155" w:right="0" w:firstLine="0"/>
        <w:jc w:val="left"/>
        <w:rPr>
          <w:sz w:val="12"/>
        </w:rPr>
      </w:pPr>
      <w:r>
        <w:rPr>
          <w:sz w:val="12"/>
        </w:rPr>
        <w:t>(a) Calculated from the prices of French and German government bonds.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9"/>
        <w:spacing w:before="83"/>
        <w:ind w:left="175"/>
      </w:pPr>
      <w:r>
        <w:rPr>
          <w:color w:val="0093C1"/>
        </w:rPr>
        <w:t>Table 1.C</w:t>
      </w:r>
    </w:p>
    <w:p>
      <w:pPr>
        <w:spacing w:before="11"/>
        <w:ind w:left="175" w:right="0" w:firstLine="0"/>
        <w:jc w:val="left"/>
        <w:rPr>
          <w:b/>
          <w:sz w:val="20"/>
        </w:rPr>
      </w:pPr>
      <w:r>
        <w:rPr>
          <w:b/>
          <w:color w:val="0093C1"/>
          <w:sz w:val="20"/>
        </w:rPr>
        <w:t>Selected sterling nominal spot bond yields</w:t>
      </w:r>
    </w:p>
    <w:p>
      <w:pPr>
        <w:spacing w:before="106"/>
        <w:ind w:left="175" w:right="0" w:firstLine="0"/>
        <w:jc w:val="left"/>
        <w:rPr>
          <w:sz w:val="14"/>
        </w:rPr>
      </w:pPr>
      <w:r>
        <w:rPr>
          <w:sz w:val="14"/>
        </w:rPr>
        <w:t>Per cent</w:t>
      </w:r>
    </w:p>
    <w:p>
      <w:pPr>
        <w:spacing w:line="208" w:lineRule="auto" w:before="136"/>
        <w:ind w:left="3305" w:right="20" w:firstLine="0"/>
        <w:jc w:val="left"/>
        <w:rPr>
          <w:sz w:val="14"/>
        </w:rPr>
      </w:pPr>
      <w:r>
        <w:rPr>
          <w:sz w:val="14"/>
        </w:rPr>
        <w:t>Basis points change since</w:t>
      </w:r>
    </w:p>
    <w:p>
      <w:pPr>
        <w:tabs>
          <w:tab w:pos="3305" w:val="left" w:leader="none"/>
        </w:tabs>
        <w:spacing w:line="150" w:lineRule="exact" w:before="2"/>
        <w:ind w:left="2185" w:right="0" w:firstLine="0"/>
        <w:jc w:val="left"/>
        <w:rPr>
          <w:sz w:val="14"/>
        </w:rPr>
      </w:pPr>
      <w:r>
        <w:rPr>
          <w:sz w:val="14"/>
        </w:rPr>
        <w:t>3 Nov.   </w:t>
      </w:r>
      <w:r>
        <w:rPr>
          <w:spacing w:val="8"/>
          <w:sz w:val="14"/>
        </w:rPr>
        <w:t> </w:t>
      </w:r>
      <w:r>
        <w:rPr>
          <w:sz w:val="14"/>
        </w:rPr>
        <w:t>9 Feb.</w:t>
        <w:tab/>
        <w:t>3 Nov.</w:t>
      </w:r>
    </w:p>
    <w:p>
      <w:pPr>
        <w:tabs>
          <w:tab w:pos="4024" w:val="left" w:leader="none"/>
        </w:tabs>
        <w:spacing w:line="150" w:lineRule="exact" w:before="0"/>
        <w:ind w:left="2160" w:right="0" w:firstLine="0"/>
        <w:jc w:val="left"/>
        <w:rPr>
          <w:sz w:val="14"/>
        </w:rPr>
      </w:pPr>
      <w:r>
        <w:rPr>
          <w:spacing w:val="-10"/>
          <w:sz w:val="14"/>
          <w:u w:val="single"/>
        </w:rPr>
        <w:t> </w:t>
      </w:r>
      <w:r>
        <w:rPr>
          <w:sz w:val="14"/>
          <w:u w:val="single"/>
        </w:rPr>
        <w:t>1999  </w:t>
      </w:r>
      <w:r>
        <w:rPr>
          <w:sz w:val="14"/>
        </w:rPr>
        <w:t>    </w:t>
      </w:r>
      <w:r>
        <w:rPr>
          <w:sz w:val="14"/>
          <w:u w:val="single"/>
        </w:rPr>
        <w:t> 2000  </w:t>
      </w:r>
      <w:r>
        <w:rPr>
          <w:sz w:val="14"/>
        </w:rPr>
        <w:t>     </w:t>
      </w:r>
      <w:r>
        <w:rPr>
          <w:spacing w:val="33"/>
          <w:sz w:val="14"/>
          <w:u w:val="single"/>
        </w:rPr>
        <w:t> </w:t>
      </w:r>
      <w:r>
        <w:rPr>
          <w:sz w:val="14"/>
          <w:u w:val="single"/>
        </w:rPr>
        <w:t>1999</w:t>
        <w:tab/>
      </w:r>
    </w:p>
    <w:p>
      <w:pPr>
        <w:spacing w:line="208" w:lineRule="auto" w:before="136"/>
        <w:ind w:left="210" w:right="2403" w:hanging="35"/>
        <w:jc w:val="left"/>
        <w:rPr>
          <w:b/>
          <w:sz w:val="14"/>
        </w:rPr>
      </w:pPr>
      <w:r>
        <w:rPr>
          <w:b/>
          <w:sz w:val="14"/>
        </w:rPr>
        <w:t>Spot nominal government bond yields</w:t>
      </w:r>
    </w:p>
    <w:p>
      <w:pPr>
        <w:tabs>
          <w:tab w:pos="2230" w:val="left" w:leader="none"/>
          <w:tab w:pos="2770" w:val="left" w:leader="none"/>
          <w:tab w:pos="3775" w:val="right" w:leader="none"/>
        </w:tabs>
        <w:spacing w:line="133" w:lineRule="exact" w:before="0"/>
        <w:ind w:left="245" w:right="0" w:firstLine="0"/>
        <w:jc w:val="left"/>
        <w:rPr>
          <w:sz w:val="14"/>
        </w:rPr>
      </w:pPr>
      <w:r>
        <w:rPr>
          <w:sz w:val="14"/>
        </w:rPr>
        <w:t>3 year</w:t>
        <w:tab/>
        <w:t>6.08</w:t>
        <w:tab/>
        <w:t>6.42</w:t>
        <w:tab/>
        <w:t>34</w:t>
      </w:r>
    </w:p>
    <w:p>
      <w:pPr>
        <w:tabs>
          <w:tab w:pos="2230" w:val="left" w:leader="none"/>
          <w:tab w:pos="2770" w:val="left" w:leader="none"/>
          <w:tab w:pos="3775" w:val="right" w:leader="none"/>
        </w:tabs>
        <w:spacing w:line="140" w:lineRule="exact" w:before="0"/>
        <w:ind w:left="245" w:right="0" w:firstLine="0"/>
        <w:jc w:val="left"/>
        <w:rPr>
          <w:sz w:val="14"/>
        </w:rPr>
      </w:pPr>
      <w:r>
        <w:rPr>
          <w:sz w:val="14"/>
        </w:rPr>
        <w:t>5 year</w:t>
        <w:tab/>
        <w:t>5.92</w:t>
        <w:tab/>
        <w:t>6.24</w:t>
        <w:tab/>
        <w:t>32</w:t>
      </w:r>
    </w:p>
    <w:p>
      <w:pPr>
        <w:tabs>
          <w:tab w:pos="2230" w:val="left" w:leader="none"/>
          <w:tab w:pos="2770" w:val="left" w:leader="none"/>
          <w:tab w:pos="3775" w:val="right" w:leader="none"/>
        </w:tabs>
        <w:spacing w:line="140" w:lineRule="exact" w:before="0"/>
        <w:ind w:left="175" w:right="0" w:firstLine="0"/>
        <w:jc w:val="left"/>
        <w:rPr>
          <w:sz w:val="14"/>
        </w:rPr>
      </w:pPr>
      <w:r>
        <w:rPr>
          <w:sz w:val="14"/>
        </w:rPr>
        <w:t>10 year</w:t>
        <w:tab/>
        <w:t>5.22</w:t>
        <w:tab/>
        <w:t>5.52</w:t>
        <w:tab/>
        <w:t>30</w:t>
      </w:r>
    </w:p>
    <w:p>
      <w:pPr>
        <w:tabs>
          <w:tab w:pos="2230" w:val="left" w:leader="none"/>
          <w:tab w:pos="2770" w:val="left" w:leader="none"/>
          <w:tab w:pos="3775" w:val="right" w:leader="none"/>
        </w:tabs>
        <w:spacing w:line="150" w:lineRule="exact" w:before="0"/>
        <w:ind w:left="175" w:right="0" w:firstLine="0"/>
        <w:jc w:val="left"/>
        <w:rPr>
          <w:sz w:val="14"/>
        </w:rPr>
      </w:pPr>
      <w:r>
        <w:rPr>
          <w:sz w:val="14"/>
        </w:rPr>
        <w:t>25 year</w:t>
        <w:tab/>
        <w:t>3.94</w:t>
        <w:tab/>
        <w:t>4.24</w:t>
        <w:tab/>
        <w:t>30</w:t>
      </w:r>
    </w:p>
    <w:p>
      <w:pPr>
        <w:spacing w:line="208" w:lineRule="auto" w:before="136"/>
        <w:ind w:left="210" w:right="2454" w:hanging="35"/>
        <w:jc w:val="left"/>
        <w:rPr>
          <w:b/>
          <w:sz w:val="14"/>
        </w:rPr>
      </w:pPr>
      <w:r>
        <w:rPr>
          <w:b/>
          <w:sz w:val="14"/>
        </w:rPr>
        <w:t>Spot nominal corporate bond yields (A-rated)</w:t>
      </w:r>
    </w:p>
    <w:p>
      <w:pPr>
        <w:tabs>
          <w:tab w:pos="2230" w:val="left" w:leader="none"/>
          <w:tab w:pos="2770" w:val="left" w:leader="none"/>
          <w:tab w:pos="3775" w:val="right" w:leader="none"/>
        </w:tabs>
        <w:spacing w:line="133" w:lineRule="exact" w:before="0"/>
        <w:ind w:left="245" w:right="0" w:firstLine="0"/>
        <w:jc w:val="left"/>
        <w:rPr>
          <w:sz w:val="14"/>
        </w:rPr>
      </w:pPr>
      <w:r>
        <w:rPr>
          <w:sz w:val="14"/>
        </w:rPr>
        <w:t>5 year</w:t>
        <w:tab/>
        <w:t>7.08</w:t>
        <w:tab/>
        <w:t>7.43</w:t>
        <w:tab/>
        <w:t>35</w:t>
      </w:r>
    </w:p>
    <w:p>
      <w:pPr>
        <w:tabs>
          <w:tab w:pos="2230" w:val="left" w:leader="none"/>
          <w:tab w:pos="2770" w:val="left" w:leader="none"/>
          <w:tab w:pos="3775" w:val="right" w:leader="none"/>
        </w:tabs>
        <w:spacing w:line="140" w:lineRule="exact" w:before="0"/>
        <w:ind w:left="175" w:right="0" w:firstLine="0"/>
        <w:jc w:val="left"/>
        <w:rPr>
          <w:sz w:val="14"/>
        </w:rPr>
      </w:pPr>
      <w:r>
        <w:rPr>
          <w:sz w:val="14"/>
        </w:rPr>
        <w:t>10 year</w:t>
        <w:tab/>
        <w:t>6.66</w:t>
        <w:tab/>
        <w:t>7.13</w:t>
        <w:tab/>
        <w:t>47</w:t>
      </w:r>
    </w:p>
    <w:p>
      <w:pPr>
        <w:tabs>
          <w:tab w:pos="2230" w:val="left" w:leader="none"/>
          <w:tab w:pos="2770" w:val="left" w:leader="none"/>
          <w:tab w:pos="3775" w:val="right" w:leader="none"/>
        </w:tabs>
        <w:spacing w:line="150" w:lineRule="exact" w:before="0"/>
        <w:ind w:left="175" w:right="0" w:firstLine="0"/>
        <w:jc w:val="left"/>
        <w:rPr>
          <w:sz w:val="14"/>
        </w:rPr>
      </w:pPr>
      <w:r>
        <w:rPr>
          <w:sz w:val="14"/>
        </w:rPr>
        <w:t>25 year</w:t>
        <w:tab/>
        <w:t>6.06</w:t>
        <w:tab/>
        <w:t>6.55</w:t>
        <w:tab/>
        <w:t>49</w:t>
      </w:r>
    </w:p>
    <w:p>
      <w:pPr>
        <w:spacing w:before="138"/>
        <w:ind w:left="175" w:right="0" w:firstLine="0"/>
        <w:jc w:val="left"/>
        <w:rPr>
          <w:sz w:val="12"/>
        </w:rPr>
      </w:pPr>
      <w:r>
        <w:rPr>
          <w:sz w:val="12"/>
        </w:rPr>
        <w:t>Sources: Bloomberg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4"/>
        </w:rPr>
      </w:pPr>
    </w:p>
    <w:p>
      <w:pPr>
        <w:pStyle w:val="Heading9"/>
        <w:spacing w:before="1"/>
        <w:ind w:left="185"/>
      </w:pPr>
      <w:r>
        <w:rPr>
          <w:color w:val="0093C1"/>
        </w:rPr>
        <w:t>Table 1.D</w:t>
      </w:r>
    </w:p>
    <w:p>
      <w:pPr>
        <w:spacing w:line="249" w:lineRule="auto" w:before="10"/>
        <w:ind w:left="185" w:right="421" w:firstLine="0"/>
        <w:jc w:val="left"/>
        <w:rPr>
          <w:sz w:val="12"/>
        </w:rPr>
      </w:pPr>
      <w:r>
        <w:rPr>
          <w:b/>
          <w:color w:val="0093C1"/>
          <w:sz w:val="20"/>
        </w:rPr>
        <w:t>Changes in selected world equity indices to 9 February</w:t>
      </w:r>
      <w:r>
        <w:rPr>
          <w:position w:val="4"/>
          <w:sz w:val="12"/>
        </w:rPr>
        <w:t>(a)(b)</w:t>
      </w:r>
    </w:p>
    <w:p>
      <w:pPr>
        <w:spacing w:before="97"/>
        <w:ind w:left="185" w:right="0" w:firstLine="0"/>
        <w:jc w:val="left"/>
        <w:rPr>
          <w:sz w:val="14"/>
        </w:rPr>
      </w:pPr>
      <w:r>
        <w:rPr>
          <w:sz w:val="14"/>
        </w:rPr>
        <w:t>Percentage changes from specified dates</w:t>
      </w:r>
    </w:p>
    <w:p>
      <w:pPr>
        <w:tabs>
          <w:tab w:pos="3039" w:val="left" w:leader="none"/>
        </w:tabs>
        <w:spacing w:before="119"/>
        <w:ind w:left="1865" w:right="0" w:firstLine="0"/>
        <w:jc w:val="left"/>
        <w:rPr>
          <w:sz w:val="14"/>
        </w:rPr>
      </w:pPr>
      <w:r>
        <w:rPr>
          <w:sz w:val="14"/>
          <w:u w:val="single"/>
        </w:rPr>
        <w:t>1999</w:t>
        <w:tab/>
      </w:r>
    </w:p>
    <w:tbl>
      <w:tblPr>
        <w:tblW w:w="0" w:type="auto"/>
        <w:jc w:val="left"/>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3"/>
        <w:gridCol w:w="910"/>
        <w:gridCol w:w="701"/>
      </w:tblGrid>
      <w:tr>
        <w:trPr>
          <w:trHeight w:val="217" w:hRule="atLeast"/>
        </w:trPr>
        <w:tc>
          <w:tcPr>
            <w:tcW w:w="1343" w:type="dxa"/>
          </w:tcPr>
          <w:p>
            <w:pPr>
              <w:pStyle w:val="TableParagraph"/>
              <w:rPr>
                <w:sz w:val="14"/>
              </w:rPr>
            </w:pPr>
          </w:p>
        </w:tc>
        <w:tc>
          <w:tcPr>
            <w:tcW w:w="910" w:type="dxa"/>
          </w:tcPr>
          <w:p>
            <w:pPr>
              <w:pStyle w:val="TableParagraph"/>
              <w:spacing w:line="155" w:lineRule="exact"/>
              <w:ind w:left="386"/>
              <w:rPr>
                <w:sz w:val="14"/>
              </w:rPr>
            </w:pPr>
            <w:r>
              <w:rPr>
                <w:sz w:val="14"/>
                <w:u w:val="single"/>
              </w:rPr>
              <w:t>1 Jan.</w:t>
            </w:r>
          </w:p>
        </w:tc>
        <w:tc>
          <w:tcPr>
            <w:tcW w:w="701" w:type="dxa"/>
          </w:tcPr>
          <w:p>
            <w:pPr>
              <w:pStyle w:val="TableParagraph"/>
              <w:spacing w:line="155" w:lineRule="exact"/>
              <w:ind w:left="213" w:right="66"/>
              <w:jc w:val="center"/>
              <w:rPr>
                <w:sz w:val="14"/>
              </w:rPr>
            </w:pPr>
            <w:r>
              <w:rPr>
                <w:sz w:val="14"/>
                <w:u w:val="single"/>
              </w:rPr>
              <w:t>3 Nov. </w:t>
            </w:r>
          </w:p>
        </w:tc>
      </w:tr>
      <w:tr>
        <w:trPr>
          <w:trHeight w:val="210" w:hRule="atLeast"/>
        </w:trPr>
        <w:tc>
          <w:tcPr>
            <w:tcW w:w="1343" w:type="dxa"/>
          </w:tcPr>
          <w:p>
            <w:pPr>
              <w:pStyle w:val="TableParagraph"/>
              <w:spacing w:line="133" w:lineRule="exact" w:before="56"/>
              <w:ind w:left="50"/>
              <w:rPr>
                <w:sz w:val="14"/>
              </w:rPr>
            </w:pPr>
            <w:r>
              <w:rPr>
                <w:sz w:val="14"/>
              </w:rPr>
              <w:t>FTSE 100</w:t>
            </w:r>
          </w:p>
        </w:tc>
        <w:tc>
          <w:tcPr>
            <w:tcW w:w="910" w:type="dxa"/>
          </w:tcPr>
          <w:p>
            <w:pPr>
              <w:pStyle w:val="TableParagraph"/>
              <w:spacing w:line="133" w:lineRule="exact" w:before="56"/>
              <w:ind w:left="387"/>
              <w:rPr>
                <w:sz w:val="14"/>
              </w:rPr>
            </w:pPr>
            <w:r>
              <w:rPr>
                <w:sz w:val="14"/>
              </w:rPr>
              <w:t>10.1</w:t>
            </w:r>
          </w:p>
        </w:tc>
        <w:tc>
          <w:tcPr>
            <w:tcW w:w="701" w:type="dxa"/>
          </w:tcPr>
          <w:p>
            <w:pPr>
              <w:pStyle w:val="TableParagraph"/>
              <w:spacing w:line="133" w:lineRule="exact" w:before="56"/>
              <w:ind w:left="154" w:right="66"/>
              <w:jc w:val="center"/>
              <w:rPr>
                <w:sz w:val="14"/>
              </w:rPr>
            </w:pPr>
            <w:r>
              <w:rPr>
                <w:sz w:val="14"/>
              </w:rPr>
              <w:t>3.8</w:t>
            </w:r>
          </w:p>
        </w:tc>
      </w:tr>
      <w:tr>
        <w:trPr>
          <w:trHeight w:val="140" w:hRule="atLeast"/>
        </w:trPr>
        <w:tc>
          <w:tcPr>
            <w:tcW w:w="1343" w:type="dxa"/>
          </w:tcPr>
          <w:p>
            <w:pPr>
              <w:pStyle w:val="TableParagraph"/>
              <w:spacing w:line="120" w:lineRule="exact"/>
              <w:ind w:left="50"/>
              <w:rPr>
                <w:sz w:val="14"/>
              </w:rPr>
            </w:pPr>
            <w:r>
              <w:rPr>
                <w:sz w:val="14"/>
              </w:rPr>
              <w:t>FTSE All-Share</w:t>
            </w:r>
          </w:p>
        </w:tc>
        <w:tc>
          <w:tcPr>
            <w:tcW w:w="910" w:type="dxa"/>
          </w:tcPr>
          <w:p>
            <w:pPr>
              <w:pStyle w:val="TableParagraph"/>
              <w:spacing w:line="120" w:lineRule="exact"/>
              <w:ind w:left="387"/>
              <w:rPr>
                <w:sz w:val="14"/>
              </w:rPr>
            </w:pPr>
            <w:r>
              <w:rPr>
                <w:sz w:val="14"/>
              </w:rPr>
              <w:t>14.9</w:t>
            </w:r>
          </w:p>
        </w:tc>
        <w:tc>
          <w:tcPr>
            <w:tcW w:w="701" w:type="dxa"/>
          </w:tcPr>
          <w:p>
            <w:pPr>
              <w:pStyle w:val="TableParagraph"/>
              <w:spacing w:line="120" w:lineRule="exact"/>
              <w:ind w:left="154" w:right="66"/>
              <w:jc w:val="center"/>
              <w:rPr>
                <w:sz w:val="14"/>
              </w:rPr>
            </w:pPr>
            <w:r>
              <w:rPr>
                <w:sz w:val="14"/>
              </w:rPr>
              <w:t>5.7</w:t>
            </w:r>
          </w:p>
        </w:tc>
      </w:tr>
      <w:tr>
        <w:trPr>
          <w:trHeight w:val="140" w:hRule="atLeast"/>
        </w:trPr>
        <w:tc>
          <w:tcPr>
            <w:tcW w:w="1343" w:type="dxa"/>
          </w:tcPr>
          <w:p>
            <w:pPr>
              <w:pStyle w:val="TableParagraph"/>
              <w:spacing w:line="120" w:lineRule="exact"/>
              <w:ind w:left="50"/>
              <w:rPr>
                <w:sz w:val="14"/>
              </w:rPr>
            </w:pPr>
            <w:r>
              <w:rPr>
                <w:sz w:val="14"/>
              </w:rPr>
              <w:t>S&amp;P 500</w:t>
            </w:r>
          </w:p>
        </w:tc>
        <w:tc>
          <w:tcPr>
            <w:tcW w:w="910" w:type="dxa"/>
          </w:tcPr>
          <w:p>
            <w:pPr>
              <w:pStyle w:val="TableParagraph"/>
              <w:spacing w:line="120" w:lineRule="exact"/>
              <w:ind w:left="387"/>
              <w:rPr>
                <w:sz w:val="14"/>
              </w:rPr>
            </w:pPr>
            <w:r>
              <w:rPr>
                <w:sz w:val="14"/>
              </w:rPr>
              <w:t>17.7</w:t>
            </w:r>
          </w:p>
        </w:tc>
        <w:tc>
          <w:tcPr>
            <w:tcW w:w="701" w:type="dxa"/>
          </w:tcPr>
          <w:p>
            <w:pPr>
              <w:pStyle w:val="TableParagraph"/>
              <w:spacing w:line="120" w:lineRule="exact"/>
              <w:ind w:left="154" w:right="66"/>
              <w:jc w:val="center"/>
              <w:rPr>
                <w:sz w:val="14"/>
              </w:rPr>
            </w:pPr>
            <w:r>
              <w:rPr>
                <w:sz w:val="14"/>
              </w:rPr>
              <w:t>8.0</w:t>
            </w:r>
          </w:p>
        </w:tc>
      </w:tr>
      <w:tr>
        <w:trPr>
          <w:trHeight w:val="140" w:hRule="atLeast"/>
        </w:trPr>
        <w:tc>
          <w:tcPr>
            <w:tcW w:w="1343" w:type="dxa"/>
          </w:tcPr>
          <w:p>
            <w:pPr>
              <w:pStyle w:val="TableParagraph"/>
              <w:spacing w:line="120" w:lineRule="exact"/>
              <w:ind w:left="50"/>
              <w:rPr>
                <w:sz w:val="14"/>
              </w:rPr>
            </w:pPr>
            <w:r>
              <w:rPr>
                <w:sz w:val="14"/>
              </w:rPr>
              <w:t>Nikkei 225</w:t>
            </w:r>
          </w:p>
        </w:tc>
        <w:tc>
          <w:tcPr>
            <w:tcW w:w="910" w:type="dxa"/>
          </w:tcPr>
          <w:p>
            <w:pPr>
              <w:pStyle w:val="TableParagraph"/>
              <w:spacing w:line="120" w:lineRule="exact"/>
              <w:ind w:left="387"/>
              <w:rPr>
                <w:sz w:val="14"/>
              </w:rPr>
            </w:pPr>
            <w:r>
              <w:rPr>
                <w:sz w:val="14"/>
              </w:rPr>
              <w:t>37.4</w:t>
            </w:r>
          </w:p>
        </w:tc>
        <w:tc>
          <w:tcPr>
            <w:tcW w:w="701" w:type="dxa"/>
          </w:tcPr>
          <w:p>
            <w:pPr>
              <w:pStyle w:val="TableParagraph"/>
              <w:spacing w:line="120" w:lineRule="exact"/>
              <w:ind w:left="84" w:right="66"/>
              <w:jc w:val="center"/>
              <w:rPr>
                <w:sz w:val="14"/>
              </w:rPr>
            </w:pPr>
            <w:r>
              <w:rPr>
                <w:sz w:val="14"/>
              </w:rPr>
              <w:t>10.3</w:t>
            </w:r>
          </w:p>
        </w:tc>
      </w:tr>
      <w:tr>
        <w:trPr>
          <w:trHeight w:val="147" w:hRule="atLeast"/>
        </w:trPr>
        <w:tc>
          <w:tcPr>
            <w:tcW w:w="1343" w:type="dxa"/>
          </w:tcPr>
          <w:p>
            <w:pPr>
              <w:pStyle w:val="TableParagraph"/>
              <w:spacing w:line="128" w:lineRule="exact"/>
              <w:ind w:left="50"/>
              <w:rPr>
                <w:sz w:val="14"/>
              </w:rPr>
            </w:pPr>
            <w:r>
              <w:rPr>
                <w:sz w:val="14"/>
              </w:rPr>
              <w:t>Euro Stoxx</w:t>
            </w:r>
          </w:p>
        </w:tc>
        <w:tc>
          <w:tcPr>
            <w:tcW w:w="910" w:type="dxa"/>
          </w:tcPr>
          <w:p>
            <w:pPr>
              <w:pStyle w:val="TableParagraph"/>
              <w:spacing w:line="128" w:lineRule="exact"/>
              <w:ind w:left="387"/>
              <w:rPr>
                <w:sz w:val="14"/>
              </w:rPr>
            </w:pPr>
            <w:r>
              <w:rPr>
                <w:sz w:val="14"/>
              </w:rPr>
              <w:t>45.8</w:t>
            </w:r>
          </w:p>
        </w:tc>
        <w:tc>
          <w:tcPr>
            <w:tcW w:w="701" w:type="dxa"/>
          </w:tcPr>
          <w:p>
            <w:pPr>
              <w:pStyle w:val="TableParagraph"/>
              <w:spacing w:line="128" w:lineRule="exact"/>
              <w:ind w:left="84" w:right="66"/>
              <w:jc w:val="center"/>
              <w:rPr>
                <w:sz w:val="14"/>
              </w:rPr>
            </w:pPr>
            <w:r>
              <w:rPr>
                <w:sz w:val="14"/>
              </w:rPr>
              <w:t>28.1</w:t>
            </w:r>
          </w:p>
        </w:tc>
      </w:tr>
    </w:tbl>
    <w:p>
      <w:pPr>
        <w:spacing w:before="123"/>
        <w:ind w:left="185" w:right="0" w:firstLine="0"/>
        <w:jc w:val="left"/>
        <w:rPr>
          <w:sz w:val="12"/>
        </w:rPr>
      </w:pPr>
      <w:r>
        <w:rPr>
          <w:sz w:val="12"/>
        </w:rPr>
        <w:t>Sources: Bloomberg and Datastream.</w:t>
      </w:r>
    </w:p>
    <w:p>
      <w:pPr>
        <w:pStyle w:val="ListParagraph"/>
        <w:numPr>
          <w:ilvl w:val="0"/>
          <w:numId w:val="8"/>
        </w:numPr>
        <w:tabs>
          <w:tab w:pos="426" w:val="left" w:leader="none"/>
        </w:tabs>
        <w:spacing w:line="129" w:lineRule="exact" w:before="102" w:after="0"/>
        <w:ind w:left="425" w:right="0" w:hanging="241"/>
        <w:jc w:val="left"/>
        <w:rPr>
          <w:sz w:val="12"/>
        </w:rPr>
      </w:pPr>
      <w:r>
        <w:rPr>
          <w:sz w:val="12"/>
        </w:rPr>
        <w:t>15-working day average basis</w:t>
      </w:r>
    </w:p>
    <w:p>
      <w:pPr>
        <w:pStyle w:val="ListParagraph"/>
        <w:numPr>
          <w:ilvl w:val="0"/>
          <w:numId w:val="8"/>
        </w:numPr>
        <w:tabs>
          <w:tab w:pos="426" w:val="left" w:leader="none"/>
        </w:tabs>
        <w:spacing w:line="129" w:lineRule="exact" w:before="0" w:after="0"/>
        <w:ind w:left="425" w:right="0" w:hanging="241"/>
        <w:jc w:val="left"/>
        <w:rPr>
          <w:sz w:val="12"/>
        </w:rPr>
      </w:pPr>
      <w:r>
        <w:rPr>
          <w:sz w:val="12"/>
        </w:rPr>
        <w:t>In domestic currency terms.</w:t>
      </w:r>
    </w:p>
    <w:p>
      <w:pPr>
        <w:pStyle w:val="Heading6"/>
        <w:spacing w:line="242" w:lineRule="auto" w:before="48"/>
        <w:ind w:left="155" w:right="286"/>
      </w:pPr>
      <w:r>
        <w:rPr/>
        <w:br w:type="column"/>
      </w:r>
      <w:r>
        <w:rPr/>
        <w:t>Evidence points to strengthening activity in the commercial property market. Higher property rents </w:t>
      </w:r>
      <w:r>
        <w:rPr>
          <w:spacing w:val="-6"/>
        </w:rPr>
        <w:t>and </w:t>
      </w:r>
      <w:r>
        <w:rPr/>
        <w:t>capital values have raised annual growth in total commercial property returns, as measured by the Investment Property Databank Ltd Index, to 14.2% in December 1999.</w:t>
      </w:r>
    </w:p>
    <w:p>
      <w:pPr>
        <w:pStyle w:val="BodyText"/>
        <w:spacing w:before="2"/>
        <w:rPr>
          <w:sz w:val="23"/>
        </w:rPr>
      </w:pPr>
    </w:p>
    <w:p>
      <w:pPr>
        <w:spacing w:before="1"/>
        <w:ind w:left="155" w:right="0" w:firstLine="0"/>
        <w:jc w:val="left"/>
        <w:rPr>
          <w:i/>
          <w:sz w:val="24"/>
        </w:rPr>
      </w:pPr>
      <w:r>
        <w:rPr>
          <w:i/>
          <w:color w:val="009483"/>
          <w:sz w:val="24"/>
        </w:rPr>
        <w:t>Exchange rates</w:t>
      </w:r>
    </w:p>
    <w:p>
      <w:pPr>
        <w:spacing w:line="242" w:lineRule="auto" w:before="124"/>
        <w:ind w:left="155" w:right="242" w:firstLine="0"/>
        <w:jc w:val="left"/>
        <w:rPr>
          <w:sz w:val="24"/>
        </w:rPr>
      </w:pPr>
      <w:r>
        <w:rPr>
          <w:sz w:val="24"/>
        </w:rPr>
        <w:t>The sterling effective exchange rate index (ERI) appreciated through most of 1999 and has risen by 2.4% on a trade-weighted basis between 3 November and</w:t>
      </w:r>
    </w:p>
    <w:p>
      <w:pPr>
        <w:spacing w:line="242" w:lineRule="auto" w:before="4"/>
        <w:ind w:left="155" w:right="243" w:firstLine="0"/>
        <w:jc w:val="left"/>
        <w:rPr>
          <w:sz w:val="24"/>
        </w:rPr>
      </w:pPr>
      <w:r>
        <w:rPr>
          <w:sz w:val="24"/>
        </w:rPr>
        <w:t>9 February (see Chart 1.18). The 15 working day average of the ERI up to and including 9 February, used as the starting-point for the current projection, is 109.4, 3.6% higher than in the equivalent period three months ago and about 4.1% above the central projection for February implied in the November </w:t>
      </w:r>
      <w:r>
        <w:rPr>
          <w:i/>
          <w:sz w:val="24"/>
        </w:rPr>
        <w:t>Report</w:t>
      </w:r>
      <w:r>
        <w:rPr>
          <w:sz w:val="24"/>
        </w:rPr>
        <w:t>.</w:t>
      </w:r>
    </w:p>
    <w:p>
      <w:pPr>
        <w:pStyle w:val="BodyText"/>
        <w:spacing w:before="2"/>
        <w:rPr>
          <w:sz w:val="23"/>
        </w:rPr>
      </w:pPr>
    </w:p>
    <w:p>
      <w:pPr>
        <w:spacing w:line="242" w:lineRule="auto" w:before="1"/>
        <w:ind w:left="155" w:right="166" w:firstLine="0"/>
        <w:jc w:val="left"/>
        <w:rPr>
          <w:sz w:val="24"/>
        </w:rPr>
      </w:pPr>
      <w:r>
        <w:rPr>
          <w:sz w:val="24"/>
        </w:rPr>
        <w:t>Most of the rise in the ERI has reflected continued appreciation of sterling against the euro (see Chart 1.18). On a 15 day average basis, sterling has risen by 5.5% against the euro since the November </w:t>
      </w:r>
      <w:r>
        <w:rPr>
          <w:i/>
          <w:sz w:val="24"/>
        </w:rPr>
        <w:t>Report</w:t>
      </w:r>
      <w:r>
        <w:rPr>
          <w:sz w:val="24"/>
        </w:rPr>
        <w:t>, and by nearly 16% since the start of 1999. These movements do not appear to be explained by changes in expected relative interest rate differentials between the United Kingdom and euro area, as reflected in yield curves.</w:t>
      </w:r>
    </w:p>
    <w:p>
      <w:pPr>
        <w:spacing w:line="242" w:lineRule="auto" w:before="10"/>
        <w:ind w:left="155" w:right="286" w:firstLine="0"/>
        <w:jc w:val="left"/>
        <w:rPr>
          <w:sz w:val="24"/>
        </w:rPr>
      </w:pPr>
      <w:r>
        <w:rPr>
          <w:sz w:val="24"/>
        </w:rPr>
        <w:t>Against the US dollar, sterling has depreciated by 2.0% since the November </w:t>
      </w:r>
      <w:r>
        <w:rPr>
          <w:i/>
          <w:sz w:val="24"/>
        </w:rPr>
        <w:t>Report </w:t>
      </w:r>
      <w:r>
        <w:rPr>
          <w:sz w:val="24"/>
        </w:rPr>
        <w:t>on the same basis.</w:t>
      </w:r>
    </w:p>
    <w:p>
      <w:pPr>
        <w:pStyle w:val="BodyText"/>
        <w:spacing w:before="9"/>
        <w:rPr>
          <w:sz w:val="22"/>
        </w:rPr>
      </w:pPr>
    </w:p>
    <w:p>
      <w:pPr>
        <w:spacing w:line="242" w:lineRule="auto" w:before="0"/>
        <w:ind w:left="155" w:right="203" w:firstLine="0"/>
        <w:jc w:val="left"/>
        <w:rPr>
          <w:sz w:val="24"/>
        </w:rPr>
      </w:pPr>
      <w:r>
        <w:rPr>
          <w:sz w:val="24"/>
        </w:rPr>
        <w:t>UK trade flows partly depend on the level of the real exchange rate. By combining consumer price inflation and nominal exchange rate expectations from Consensus Economics surveys, it is possible to construct a proxy expected real ERI for the United Kingdom. Chart 1.19 shows that in November 1997, following the real appreciation of sterling in 1996, respondents expected</w:t>
      </w:r>
    </w:p>
    <w:p>
      <w:pPr>
        <w:spacing w:after="0" w:line="242" w:lineRule="auto"/>
        <w:jc w:val="left"/>
        <w:rPr>
          <w:sz w:val="24"/>
        </w:rPr>
        <w:sectPr>
          <w:type w:val="continuous"/>
          <w:pgSz w:w="11900" w:h="16840"/>
          <w:pgMar w:top="1220" w:bottom="280" w:left="620" w:right="640"/>
          <w:cols w:num="2" w:equalWidth="0">
            <w:col w:w="4065" w:space="745"/>
            <w:col w:w="5830"/>
          </w:cols>
        </w:sectPr>
      </w:pPr>
    </w:p>
    <w:p>
      <w:pPr>
        <w:pStyle w:val="BodyText"/>
        <w:rPr>
          <w:sz w:val="20"/>
        </w:rPr>
      </w:pPr>
    </w:p>
    <w:p>
      <w:pPr>
        <w:spacing w:after="0"/>
        <w:rPr>
          <w:sz w:val="20"/>
        </w:rPr>
        <w:sectPr>
          <w:headerReference w:type="even" r:id="rId56"/>
          <w:footerReference w:type="even" r:id="rId57"/>
          <w:footerReference w:type="default" r:id="rId58"/>
          <w:pgSz w:w="11900" w:h="16840"/>
          <w:pgMar w:header="584" w:footer="597" w:top="780" w:bottom="780" w:left="620" w:right="640"/>
          <w:pgNumType w:start="12"/>
        </w:sectPr>
      </w:pPr>
    </w:p>
    <w:p>
      <w:pPr>
        <w:pStyle w:val="BodyText"/>
        <w:spacing w:before="6"/>
        <w:rPr>
          <w:sz w:val="20"/>
        </w:rPr>
      </w:pPr>
    </w:p>
    <w:p>
      <w:pPr>
        <w:pStyle w:val="Heading9"/>
        <w:spacing w:before="0"/>
        <w:ind w:left="195"/>
      </w:pPr>
      <w:bookmarkStart w:name="Summary" w:id="28"/>
      <w:bookmarkEnd w:id="28"/>
      <w:r>
        <w:rPr>
          <w:b w:val="0"/>
        </w:rPr>
      </w:r>
      <w:bookmarkStart w:name="_bookmark10" w:id="29"/>
      <w:bookmarkEnd w:id="29"/>
      <w:r>
        <w:rPr>
          <w:b w:val="0"/>
        </w:rPr>
      </w:r>
      <w:r>
        <w:rPr>
          <w:color w:val="0093C1"/>
        </w:rPr>
        <w:t>Chart 1.17</w:t>
      </w:r>
    </w:p>
    <w:p>
      <w:pPr>
        <w:spacing w:before="10"/>
        <w:ind w:left="195" w:right="0" w:firstLine="0"/>
        <w:jc w:val="left"/>
        <w:rPr>
          <w:b/>
          <w:sz w:val="20"/>
        </w:rPr>
      </w:pPr>
      <w:r>
        <w:rPr>
          <w:b/>
          <w:color w:val="0093C1"/>
          <w:sz w:val="20"/>
        </w:rPr>
        <w:t>House price inflation</w:t>
      </w:r>
    </w:p>
    <w:p>
      <w:pPr>
        <w:pStyle w:val="BodyText"/>
        <w:spacing w:before="5"/>
        <w:rPr>
          <w:b/>
        </w:rPr>
      </w:pPr>
    </w:p>
    <w:p>
      <w:pPr>
        <w:spacing w:line="119" w:lineRule="exact" w:before="0"/>
        <w:ind w:left="1740" w:right="0" w:firstLine="0"/>
        <w:jc w:val="left"/>
        <w:rPr>
          <w:sz w:val="12"/>
        </w:rPr>
      </w:pPr>
      <w:r>
        <w:rPr>
          <w:sz w:val="12"/>
        </w:rPr>
        <w:t>Percentage changes on a year earlier</w:t>
      </w:r>
    </w:p>
    <w:p>
      <w:pPr>
        <w:spacing w:line="119" w:lineRule="exact" w:before="0"/>
        <w:ind w:left="3557" w:right="0" w:firstLine="0"/>
        <w:jc w:val="left"/>
        <w:rPr>
          <w:sz w:val="12"/>
        </w:rPr>
      </w:pPr>
      <w:r>
        <w:rPr/>
        <w:pict>
          <v:group style="position:absolute;margin-left:53.375pt;margin-top:2.621157pt;width:152.75pt;height:132.85pt;mso-position-horizontal-relative:page;mso-position-vertical-relative:paragraph;z-index:15868416" coordorigin="1068,52" coordsize="3055,2657">
            <v:line style="position:absolute" from="1072,2073" to="3972,2073" stroked="true" strokeweight=".5pt" strokecolor="#231f20">
              <v:stroke dashstyle="solid"/>
            </v:line>
            <v:shape style="position:absolute;left:1077;top:688;width:768;height:1005" coordorigin="1078,688" coordsize="768,1005" path="m1078,1646l1123,1693m1123,1693l1168,1631m1168,1631l1213,1556m1213,1556l1258,1571m1258,1571l1303,1601m1303,1601l1393,1541m1393,1541l1438,1571m1438,1571l1483,1326m1483,1326l1528,1343m1528,1343l1575,1311m1575,1311l1620,1206m1620,1206l1665,1266m1665,1266l1755,1176m1755,1176l1800,1038m1800,1038l1845,688e" filled="false" stroked="true" strokeweight="1pt" strokecolor="#ac6e90">
              <v:path arrowok="t"/>
              <v:stroke dashstyle="solid"/>
            </v:shape>
            <v:line style="position:absolute" from="1868,113" to="1868,698" stroked="true" strokeweight="3.25pt" strokecolor="#ac6e90">
              <v:stroke dashstyle="solid"/>
            </v:line>
            <v:shape style="position:absolute;left:1890;top:93;width:103;height:183" coordorigin="1890,93" coordsize="103,183" path="m1890,123l1948,93m1948,93l1993,276e" filled="false" stroked="true" strokeweight="1pt" strokecolor="#ac6e90">
              <v:path arrowok="t"/>
              <v:stroke dashstyle="solid"/>
            </v:shape>
            <v:line style="position:absolute" from="2015,266" to="2015,758" stroked="true" strokeweight="3.25pt" strokecolor="#ac6e90">
              <v:stroke dashstyle="solid"/>
            </v:line>
            <v:shape style="position:absolute;left:2037;top:748;width:315;height:1418" coordorigin="2038,748" coordsize="315,1418" path="m2038,748l2083,1526m2083,1526l2128,1921m2128,1921l2173,2073m2173,2073l2218,2166m2218,2166l2263,2103m2263,2103l2308,2043m2308,2043l2353,2088e" filled="false" stroked="true" strokeweight="1pt" strokecolor="#ac6e90">
              <v:path arrowok="t"/>
              <v:stroke dashstyle="solid"/>
            </v:shape>
            <v:line style="position:absolute" from="2343,2090" to="2408,2090" stroked="true" strokeweight="1.125pt" strokecolor="#ac6e90">
              <v:stroke dashstyle="solid"/>
            </v:line>
            <v:shape style="position:absolute;left:2397;top:2088;width:305;height:445" coordorigin="2398,2088" coordsize="305,445" path="m2398,2088l2443,2226m2443,2226l2488,2271m2488,2271l2535,2363m2535,2363l2580,2408m2580,2408l2625,2516m2625,2516l2670,2531m2670,2531l2680,2533m2680,2531l2703,2486e" filled="false" stroked="true" strokeweight="1pt" strokecolor="#ac6e90">
              <v:path arrowok="t"/>
              <v:stroke dashstyle="solid"/>
            </v:shape>
            <v:line style="position:absolute" from="2709,2368" to="2709,2496" stroked="true" strokeweight="1.625pt" strokecolor="#ac6e90">
              <v:stroke dashstyle="solid"/>
            </v:line>
            <v:line style="position:absolute" from="2720,2201" to="2720,2388" stroked="true" strokeweight="1.5pt" strokecolor="#ac6e90">
              <v:stroke dashstyle="solid"/>
            </v:line>
            <v:shape style="position:absolute;left:2725;top:2210;width:68;height:123" coordorigin="2725,2211" coordsize="68,123" path="m2725,2211l2748,2271m2748,2271l2760,2333m2760,2333l2770,2271m2770,2271l2793,2211e" filled="false" stroked="true" strokeweight="1pt" strokecolor="#ac6e90">
              <v:path arrowok="t"/>
              <v:stroke dashstyle="solid"/>
            </v:shape>
            <v:line style="position:absolute" from="2799,2018" to="2799,2221" stroked="true" strokeweight="1.625pt" strokecolor="#ac6e90">
              <v:stroke dashstyle="solid"/>
            </v:line>
            <v:shape style="position:absolute;left:2805;top:1860;width:90;height:168" coordorigin="2805,1861" coordsize="90,168" path="m2805,2028l2818,1983m2818,1983l2840,1998m2840,1998l2850,2013m2850,2013l2863,2016m2863,2013l2885,1861m2885,1861l2895,1921e" filled="false" stroked="true" strokeweight="1pt" strokecolor="#ac6e90">
              <v:path arrowok="t"/>
              <v:stroke dashstyle="solid"/>
            </v:shape>
            <v:line style="position:absolute" from="2901,1911" to="2901,2083" stroked="true" strokeweight="1.625pt" strokecolor="#ac6e90">
              <v:stroke dashstyle="solid"/>
            </v:line>
            <v:shape style="position:absolute;left:2907;top:1998;width:328;height:258" coordorigin="2908,1998" coordsize="328,258" path="m2908,2073l2930,2076m2930,2073l2940,1998m2940,1998l2953,2028m2953,2028l2975,2103m2975,2103l2985,2118m2985,2118l2998,2133m2998,2133l3020,2136m3020,2133l3030,2088m3030,2088l3043,2058m3043,2058l3065,2133m3065,2133l3075,2166m3075,2166l3098,2168m3098,2166l3110,2168m3110,2166l3120,2196m3120,2196l3145,2256m3145,2256l3155,2211m3155,2211l3168,2196m3168,2196l3190,2181m3190,2181l3200,2151m3200,2151l3213,2166m3213,2166l3235,2151e" filled="false" stroked="true" strokeweight="1pt" strokecolor="#ac6e90">
              <v:path arrowok="t"/>
              <v:stroke dashstyle="solid"/>
            </v:shape>
            <v:line style="position:absolute" from="3240,2048" to="3240,2161" stroked="true" strokeweight="1.5pt" strokecolor="#ac6e90">
              <v:stroke dashstyle="solid"/>
            </v:line>
            <v:shape style="position:absolute;left:3245;top:1920;width:35;height:138" coordorigin="3245,1921" coordsize="35,138" path="m3245,2058l3258,1983m3258,1983l3280,1921e" filled="false" stroked="true" strokeweight="1pt" strokecolor="#ac6e90">
              <v:path arrowok="t"/>
              <v:stroke dashstyle="solid"/>
            </v:shape>
            <v:line style="position:absolute" from="3285,1803" to="3285,1931" stroked="true" strokeweight="1.5pt" strokecolor="#ac6e90">
              <v:stroke dashstyle="solid"/>
            </v:line>
            <v:shape style="position:absolute;left:3290;top:1585;width:273;height:260" coordorigin="3290,1586" coordsize="273,260" path="m3290,1813l3303,1846m3303,1846l3325,1768m3325,1768l3335,1753m3335,1753l3348,1783m3348,1783l3370,1663m3370,1663l3380,1666m3380,1663l3393,1586m3393,1586l3415,1678m3415,1678l3425,1681m3425,1678l3438,1663m3438,1663l3460,1693m3460,1693l3473,1696m3473,1693l3483,1663m3483,1663l3505,1708m3505,1708l3518,1711m3518,1708l3528,1678m3528,1678l3550,1768m3550,1768l3563,1723e" filled="false" stroked="true" strokeweight="1pt" strokecolor="#ac6e90">
              <v:path arrowok="t"/>
              <v:stroke dashstyle="solid"/>
            </v:shape>
            <v:line style="position:absolute" from="3568,1713" to="3568,1841" stroked="true" strokeweight="1.5pt" strokecolor="#ac6e90">
              <v:stroke dashstyle="solid"/>
            </v:line>
            <v:shape style="position:absolute;left:3572;top:1693;width:158;height:138" coordorigin="3573,1693" coordsize="158,138" path="m3573,1831l3595,1753m3595,1753l3608,1783m3608,1783l3618,1798m3618,1798l3640,1753m3640,1753l3653,1783m3653,1783l3675,1753m3675,1753l3685,1738m3685,1738l3698,1768m3698,1768l3720,1771m3720,1768l3730,1693e" filled="false" stroked="true" strokeweight="1pt" strokecolor="#ac6e90">
              <v:path arrowok="t"/>
              <v:stroke dashstyle="solid"/>
            </v:shape>
            <v:line style="position:absolute" from="3736,1683" to="3736,1808" stroked="true" strokeweight="1.625pt" strokecolor="#ac6e90">
              <v:stroke dashstyle="solid"/>
            </v:line>
            <v:shape style="position:absolute;left:3742;top:1798;width:80;height:78" coordorigin="3743,1798" coordsize="80,78" path="m3743,1798l3765,1813m3765,1813l3778,1816m3778,1813l3788,1876m3788,1876l3810,1831m3810,1831l3823,1861e" filled="false" stroked="true" strokeweight="1pt" strokecolor="#ac6e90">
              <v:path arrowok="t"/>
              <v:stroke dashstyle="solid"/>
            </v:shape>
            <v:line style="position:absolute" from="3828,1743" to="3828,1871" stroked="true" strokeweight="1.5pt" strokecolor="#ac6e90">
              <v:stroke dashstyle="solid"/>
            </v:line>
            <v:shape style="position:absolute;left:3832;top:1540;width:68;height:213" coordorigin="3833,1541" coordsize="68,213" path="m3833,1753l3855,1693m3855,1693l3868,1601m3868,1601l3878,1541m3878,1541l3900,1571e" filled="false" stroked="true" strokeweight="1pt" strokecolor="#ac6e90">
              <v:path arrowok="t"/>
              <v:stroke dashstyle="solid"/>
            </v:shape>
            <v:line style="position:absolute" from="3906,1453" to="3906,1581" stroked="true" strokeweight="1.625pt" strokecolor="#ac6e90">
              <v:stroke dashstyle="solid"/>
            </v:line>
            <v:shape style="position:absolute;left:3912;top:1295;width:33;height:170" coordorigin="3913,1296" coordsize="33,170" path="m3913,1463l3923,1466m3923,1463l3945,1296e" filled="false" stroked="true" strokeweight="1pt" strokecolor="#ac6e90">
              <v:path arrowok="t"/>
              <v:stroke dashstyle="solid"/>
            </v:shape>
            <v:line style="position:absolute" from="3951,1148" to="3951,1306" stroked="true" strokeweight="1.625pt" strokecolor="#ac6e90">
              <v:stroke dashstyle="solid"/>
            </v:line>
            <v:shape style="position:absolute;left:1067;top:1133;width:788;height:523" type="#_x0000_t75" stroked="false">
              <v:imagedata r:id="rId59" o:title=""/>
            </v:shape>
            <v:line style="position:absolute" from="1868,783" to="1868,1291" stroked="true" strokeweight="3.25pt" strokecolor="#008256">
              <v:stroke dashstyle="solid"/>
            </v:line>
            <v:shape style="position:absolute;left:1890;top:230;width:193;height:960" coordorigin="1890,231" coordsize="193,960" path="m1890,793l1948,413m1948,413l1993,231m1993,231l2038,503m2038,503l2083,1191e" filled="false" stroked="true" strokeweight="1pt" strokecolor="#008256">
              <v:path arrowok="t"/>
              <v:stroke dashstyle="solid"/>
            </v:shape>
            <v:line style="position:absolute" from="2105,1181" to="2105,1656" stroked="true" strokeweight="3.25pt" strokecolor="#008256">
              <v:stroke dashstyle="solid"/>
            </v:line>
            <v:shape style="position:absolute;left:2127;top:1645;width:543;height:1053" coordorigin="2128,1646" coordsize="543,1053" path="m2128,1646l2173,2073m2173,2073l2218,2378m2218,2378l2263,2591m2263,2591l2308,2698m2308,2698l2398,2423m2398,2423l2443,2318m2443,2318l2488,2211m2488,2211l2535,2333m2535,2333l2580,2348m2580,2348l2625,2486m2625,2486l2670,2501e" filled="false" stroked="true" strokeweight="1pt" strokecolor="#008256">
              <v:path arrowok="t"/>
              <v:stroke dashstyle="solid"/>
            </v:shape>
            <v:line style="position:absolute" from="2720,2093" to="2720,2311" stroked="true" strokeweight="1.5pt" strokecolor="#008256">
              <v:stroke dashstyle="solid"/>
            </v:line>
            <v:line style="position:absolute" from="2725,2103" to="2748,2286" stroked="true" strokeweight="1pt" strokecolor="#008256">
              <v:stroke dashstyle="solid"/>
            </v:line>
            <v:line style="position:absolute" from="2754,2078" to="2754,2296" stroked="true" strokeweight="1.625pt" strokecolor="#008256">
              <v:stroke dashstyle="solid"/>
            </v:line>
            <v:shape style="position:absolute;left:2760;top:1965;width:80;height:185" coordorigin="2760,1966" coordsize="80,185" path="m2760,2088l2770,2133m2770,2133l2793,2151m2793,2151l2805,2073m2805,2073l2818,2013m2818,2013l2840,1966e" filled="false" stroked="true" strokeweight="1pt" strokecolor="#008256">
              <v:path arrowok="t"/>
              <v:stroke dashstyle="solid"/>
            </v:shape>
            <v:line style="position:absolute" from="2845,1866" to="2845,1976" stroked="true" strokeweight="1.5pt" strokecolor="#008256">
              <v:stroke dashstyle="solid"/>
            </v:line>
            <v:shape style="position:absolute;left:2850;top:1875;width:35;height:75" coordorigin="2850,1876" coordsize="35,75" path="m2850,1876l2863,1906m2863,1906l2885,1951e" filled="false" stroked="true" strokeweight="1pt" strokecolor="#008256">
              <v:path arrowok="t"/>
              <v:stroke dashstyle="solid"/>
            </v:shape>
            <v:line style="position:absolute" from="2890,1851" to="2890,1961" stroked="true" strokeweight="1.5pt" strokecolor="#008256">
              <v:stroke dashstyle="solid"/>
            </v:line>
            <v:line style="position:absolute" from="2901,1851" to="2901,2113" stroked="true" strokeweight="1.625pt" strokecolor="#008256">
              <v:stroke dashstyle="solid"/>
            </v:line>
            <v:line style="position:absolute" from="2908,2103" to="2930,1983" stroked="true" strokeweight="1pt" strokecolor="#008256">
              <v:stroke dashstyle="solid"/>
            </v:line>
            <v:line style="position:absolute" from="2935,1973" to="2935,2221" stroked="true" strokeweight="1.5pt" strokecolor="#008256">
              <v:stroke dashstyle="solid"/>
            </v:line>
            <v:line style="position:absolute" from="2946,2078" to="2946,2221" stroked="true" strokeweight="1.625pt" strokecolor="#008256">
              <v:stroke dashstyle="solid"/>
            </v:line>
            <v:shape style="position:absolute;left:2952;top:2028;width:33;height:60" coordorigin="2953,2028" coordsize="33,60" path="m2953,2088l2975,2073m2975,2073l2985,2028e" filled="false" stroked="true" strokeweight="1pt" strokecolor="#008256">
              <v:path arrowok="t"/>
              <v:stroke dashstyle="solid"/>
            </v:shape>
            <v:rect style="position:absolute;left:2975;top:1880;width:33;height:158" filled="true" fillcolor="#008256" stroked="false">
              <v:fill type="solid"/>
            </v:rect>
            <v:line style="position:absolute" from="2998,1891" to="3020,1906" stroked="true" strokeweight="1pt" strokecolor="#008256">
              <v:stroke dashstyle="solid"/>
            </v:line>
            <v:rect style="position:absolute;left:3010;top:1895;width:30;height:128" filled="true" fillcolor="#008256" stroked="false">
              <v:fill type="solid"/>
            </v:rect>
            <v:line style="position:absolute" from="3036,2003" to="3036,2176" stroked="true" strokeweight="1.625pt" strokecolor="#008256">
              <v:stroke dashstyle="solid"/>
            </v:line>
            <v:shape style="position:absolute;left:3042;top:2013;width:148;height:288" coordorigin="3043,2013" coordsize="148,288" path="m3043,2166l3065,2168m3065,2166l3075,2133m3075,2133l3098,2013m3098,2013l3110,2028m3110,2028l3120,2103m3120,2103l3145,2133m3145,2133l3155,2136m3155,2133l3168,2151m3168,2151l3190,2301e" filled="false" stroked="true" strokeweight="1pt" strokecolor="#008256">
              <v:path arrowok="t"/>
              <v:stroke dashstyle="solid"/>
            </v:shape>
            <v:line style="position:absolute" from="3195,2201" to="3195,2311" stroked="true" strokeweight="1.5pt" strokecolor="#008256">
              <v:stroke dashstyle="solid"/>
            </v:line>
            <v:shape style="position:absolute;left:3200;top:2118;width:35;height:108" coordorigin="3200,2118" coordsize="35,108" path="m3200,2211l3213,2226m3213,2226l3235,2118e" filled="false" stroked="true" strokeweight="1pt" strokecolor="#008256">
              <v:path arrowok="t"/>
              <v:stroke dashstyle="solid"/>
            </v:shape>
            <v:line style="position:absolute" from="3240,2018" to="3240,2128" stroked="true" strokeweight="1.5pt" strokecolor="#008256">
              <v:stroke dashstyle="solid"/>
            </v:line>
            <v:shape style="position:absolute;left:3245;top:1998;width:45;height:90" coordorigin="3245,1998" coordsize="45,90" path="m3245,2028l3258,2088m3258,2088l3280,2013m3280,2013l3290,1998e" filled="false" stroked="true" strokeweight="1pt" strokecolor="#008256">
              <v:path arrowok="t"/>
              <v:stroke dashstyle="solid"/>
            </v:shape>
            <v:line style="position:absolute" from="3296,1851" to="3296,2008" stroked="true" strokeweight="1.625pt" strokecolor="#008256">
              <v:stroke dashstyle="solid"/>
            </v:line>
            <v:line style="position:absolute" from="3303,1861" to="3325,1863" stroked="true" strokeweight="1pt" strokecolor="#008256">
              <v:stroke dashstyle="solid"/>
            </v:line>
            <v:line style="position:absolute" from="3330,1758" to="3330,1871" stroked="true" strokeweight="1.5pt" strokecolor="#008256">
              <v:stroke dashstyle="solid"/>
            </v:line>
            <v:shape style="position:absolute;left:3335;top:1325;width:350;height:443" coordorigin="3335,1326" coordsize="350,443" path="m3335,1768l3348,1693m3348,1693l3370,1616m3370,1616l3380,1571m3380,1571l3393,1586m3393,1586l3415,1616m3415,1616l3425,1586m3425,1586l3438,1526m3438,1526l3460,1556m3460,1556l3473,1511m3473,1511l3483,1448m3483,1448l3505,1373m3505,1373l3518,1376m3518,1373l3528,1326m3528,1326l3550,1373m3550,1373l3563,1418m3563,1418l3573,1343m3573,1343l3595,1326m3595,1326l3608,1343m3608,1343l3618,1358m3618,1358l3640,1388m3640,1388l3653,1391m3653,1388l3675,1433m3675,1433l3685,1448e" filled="false" stroked="true" strokeweight="1pt" strokecolor="#008256">
              <v:path arrowok="t"/>
              <v:stroke dashstyle="solid"/>
            </v:shape>
            <v:line style="position:absolute" from="3691,1438" to="3691,1566" stroked="true" strokeweight="1.625pt" strokecolor="#008256">
              <v:stroke dashstyle="solid"/>
            </v:line>
            <v:shape style="position:absolute;left:3697;top:1555;width:170;height:138" coordorigin="3698,1556" coordsize="170,138" path="m3698,1556l3720,1646m3720,1646l3730,1648m3730,1646l3743,1678m3743,1678l3765,1681m3765,1678l3778,1646m3778,1646l3788,1693m3788,1693l3810,1646m3810,1646l3823,1663m3823,1663l3833,1646m3833,1646l3855,1648m3855,1646l3868,1678e" filled="false" stroked="true" strokeweight="1pt" strokecolor="#008256">
              <v:path arrowok="t"/>
              <v:stroke dashstyle="solid"/>
            </v:shape>
            <v:line style="position:absolute" from="3873,1501" to="3873,1688" stroked="true" strokeweight="1.5pt" strokecolor="#008256">
              <v:stroke dashstyle="solid"/>
            </v:line>
            <v:shape style="position:absolute;left:3877;top:1403;width:35;height:108" coordorigin="3878,1403" coordsize="35,108" path="m3878,1511l3900,1448m3900,1448l3913,1403e" filled="false" stroked="true" strokeweight="1pt" strokecolor="#008256">
              <v:path arrowok="t"/>
              <v:stroke dashstyle="solid"/>
            </v:shape>
            <v:line style="position:absolute" from="3918,1301" to="3918,1413" stroked="true" strokeweight="1.5pt" strokecolor="#008256">
              <v:stroke dashstyle="solid"/>
            </v:line>
            <v:shape style="position:absolute;left:3922;top:1310;width:35;height:15" coordorigin="3923,1311" coordsize="35,15" path="m3923,1311l3945,1313m3945,1311l3958,1326e" filled="false" stroked="true" strokeweight="1pt" strokecolor="#008256">
              <v:path arrowok="t"/>
              <v:stroke dashstyle="solid"/>
            </v:shape>
            <v:shape style="position:absolute;left:4035;top:57;width:87;height:2595" coordorigin="4035,57" coordsize="87,2595" path="m4122,1491l4035,1491m4122,1784l4035,1784m4122,2071l4035,2071m4122,2359l4035,2359m4122,2652l4035,2652m4122,57l4035,57m4122,350l4035,350m4122,637l4035,637m4122,925l4035,925m4122,1218l4035,1218e" filled="false" stroked="true" strokeweight=".5pt" strokecolor="#000000">
              <v:path arrowok="t"/>
              <v:stroke dashstyle="solid"/>
            </v:shape>
            <v:shape style="position:absolute;left:3230;top:1178;width:580;height:133" type="#_x0000_t202" filled="false" stroked="false">
              <v:textbox inset="0,0,0,0">
                <w:txbxContent>
                  <w:p>
                    <w:pPr>
                      <w:spacing w:line="133" w:lineRule="exact" w:before="0"/>
                      <w:ind w:left="0" w:right="0" w:firstLine="0"/>
                      <w:jc w:val="left"/>
                      <w:rPr>
                        <w:sz w:val="12"/>
                      </w:rPr>
                    </w:pPr>
                    <w:r>
                      <w:rPr>
                        <w:sz w:val="12"/>
                      </w:rPr>
                      <w:t>Nationwide</w:t>
                    </w:r>
                  </w:p>
                </w:txbxContent>
              </v:textbox>
              <w10:wrap type="none"/>
            </v:shape>
            <v:shape style="position:absolute;left:3460;top:1881;width:380;height:133" type="#_x0000_t202" filled="false" stroked="false">
              <v:textbox inset="0,0,0,0">
                <w:txbxContent>
                  <w:p>
                    <w:pPr>
                      <w:spacing w:line="133" w:lineRule="exact" w:before="0"/>
                      <w:ind w:left="0" w:right="0" w:firstLine="0"/>
                      <w:jc w:val="left"/>
                      <w:rPr>
                        <w:sz w:val="12"/>
                      </w:rPr>
                    </w:pPr>
                    <w:r>
                      <w:rPr>
                        <w:sz w:val="12"/>
                      </w:rPr>
                      <w:t>Halifax</w:t>
                    </w:r>
                  </w:p>
                </w:txbxContent>
              </v:textbox>
              <w10:wrap type="none"/>
            </v:shape>
            <w10:wrap type="none"/>
          </v:group>
        </w:pict>
      </w:r>
      <w:r>
        <w:rPr/>
        <w:pict>
          <v:line style="position:absolute;mso-position-horizontal-relative:page;mso-position-vertical-relative:paragraph;z-index:15869440" from="48.417pt,2.923157pt" to="44.083pt,2.923157pt" stroked="true" strokeweight=".5pt" strokecolor="#000000">
            <v:stroke dashstyle="solid"/>
            <w10:wrap type="none"/>
          </v:line>
        </w:pict>
      </w:r>
      <w:r>
        <w:rPr>
          <w:sz w:val="12"/>
        </w:rPr>
        <w:t>35</w:t>
      </w:r>
    </w:p>
    <w:p>
      <w:pPr>
        <w:pStyle w:val="BodyText"/>
        <w:spacing w:before="2"/>
        <w:rPr>
          <w:sz w:val="13"/>
        </w:rPr>
      </w:pPr>
    </w:p>
    <w:p>
      <w:pPr>
        <w:spacing w:before="0"/>
        <w:ind w:left="3557" w:right="0" w:firstLine="0"/>
        <w:jc w:val="left"/>
        <w:rPr>
          <w:sz w:val="12"/>
        </w:rPr>
      </w:pPr>
      <w:r>
        <w:rPr/>
        <w:pict>
          <v:line style="position:absolute;mso-position-horizontal-relative:page;mso-position-vertical-relative:paragraph;z-index:15869952" from="48.417pt,3.99799pt" to="44.083pt,3.99799pt" stroked="true" strokeweight=".5pt" strokecolor="#000000">
            <v:stroke dashstyle="solid"/>
            <w10:wrap type="none"/>
          </v:line>
        </w:pict>
      </w:r>
      <w:r>
        <w:rPr>
          <w:sz w:val="12"/>
        </w:rPr>
        <w:t>30</w:t>
      </w:r>
    </w:p>
    <w:p>
      <w:pPr>
        <w:pStyle w:val="Heading6"/>
        <w:spacing w:line="242" w:lineRule="auto" w:before="226"/>
        <w:ind w:left="195" w:right="148"/>
      </w:pPr>
      <w:r>
        <w:rPr/>
        <w:br w:type="column"/>
      </w:r>
      <w:r>
        <w:rPr/>
        <w:t>much of the appreciation to be unwound. More recent surveys suggest that agents came to expect less depreciation in the real sterling exchange rate than at that time.</w:t>
      </w:r>
    </w:p>
    <w:p>
      <w:pPr>
        <w:spacing w:after="0" w:line="242" w:lineRule="auto"/>
        <w:sectPr>
          <w:type w:val="continuous"/>
          <w:pgSz w:w="11900" w:h="16840"/>
          <w:pgMar w:top="1220" w:bottom="280" w:left="620" w:right="640"/>
          <w:cols w:num="2" w:equalWidth="0">
            <w:col w:w="3718" w:space="1061"/>
            <w:col w:w="5861"/>
          </w:cols>
        </w:sectPr>
      </w:pPr>
    </w:p>
    <w:p>
      <w:pPr>
        <w:pStyle w:val="BodyText"/>
        <w:spacing w:before="5" w:after="1"/>
        <w:rPr>
          <w:sz w:val="19"/>
        </w:rPr>
      </w:pPr>
    </w:p>
    <w:p>
      <w:pPr>
        <w:pStyle w:val="BodyText"/>
        <w:spacing w:line="20" w:lineRule="exact"/>
        <w:ind w:left="256"/>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10"/>
        <w:rPr>
          <w:sz w:val="19"/>
        </w:rPr>
      </w:pPr>
      <w:r>
        <w:rPr/>
        <w:pict>
          <v:shape style="position:absolute;margin-left:44.083pt;margin-top:13.646pt;width:4.350pt;height:.1pt;mso-position-horizontal-relative:page;mso-position-vertical-relative:paragraph;z-index:-15618048;mso-wrap-distance-left:0;mso-wrap-distance-right:0" coordorigin="882,273" coordsize="87,0" path="m968,273l882,273e" filled="false" stroked="true" strokeweight=".5pt" strokecolor="#000000">
            <v:path arrowok="t"/>
            <v:stroke dashstyle="solid"/>
            <w10:wrap type="topAndBottom"/>
          </v:shape>
        </w:pict>
      </w:r>
      <w:r>
        <w:rPr/>
        <w:pict>
          <v:shape style="position:absolute;margin-left:44.083pt;margin-top:28.313pt;width:4.350pt;height:.1pt;mso-position-horizontal-relative:page;mso-position-vertical-relative:paragraph;z-index:-15617536;mso-wrap-distance-left:0;mso-wrap-distance-right:0" coordorigin="882,566" coordsize="87,0" path="m968,566l882,566e" filled="false" stroked="true" strokeweight=".5pt" strokecolor="#000000">
            <v:path arrowok="t"/>
            <v:stroke dashstyle="solid"/>
            <w10:wrap type="topAndBottom"/>
          </v:shape>
        </w:pict>
      </w:r>
      <w:r>
        <w:rPr/>
        <w:pict>
          <v:shape style="position:absolute;margin-left:44.083pt;margin-top:41.958pt;width:4.350pt;height:.1pt;mso-position-horizontal-relative:page;mso-position-vertical-relative:paragraph;z-index:-15617024;mso-wrap-distance-left:0;mso-wrap-distance-right:0" coordorigin="882,839" coordsize="87,0" path="m968,839l882,839e" filled="false" stroked="true" strokeweight=".5pt" strokecolor="#000000">
            <v:path arrowok="t"/>
            <v:stroke dashstyle="solid"/>
            <w10:wrap type="topAndBottom"/>
          </v:shape>
        </w:pict>
      </w:r>
      <w:r>
        <w:rPr/>
        <w:pict>
          <v:shape style="position:absolute;margin-left:44.083pt;margin-top:56.604pt;width:4.350pt;height:.1pt;mso-position-horizontal-relative:page;mso-position-vertical-relative:paragraph;z-index:-15616512;mso-wrap-distance-left:0;mso-wrap-distance-right:0" coordorigin="882,1132" coordsize="87,0" path="m968,1132l882,1132e" filled="false" stroked="true" strokeweight=".5pt" strokecolor="#000000">
            <v:path arrowok="t"/>
            <v:stroke dashstyle="solid"/>
            <w10:wrap type="topAndBottom"/>
          </v:shape>
        </w:pict>
      </w:r>
      <w:r>
        <w:rPr/>
        <w:pict>
          <v:shape style="position:absolute;margin-left:44.083pt;margin-top:70.938004pt;width:4.350pt;height:.1pt;mso-position-horizontal-relative:page;mso-position-vertical-relative:paragraph;z-index:-15616000;mso-wrap-distance-left:0;mso-wrap-distance-right:0" coordorigin="882,1419" coordsize="87,0" path="m968,1419l882,1419e" filled="false" stroked="true" strokeweight=".5pt" strokecolor="#000000">
            <v:path arrowok="t"/>
            <v:stroke dashstyle="solid"/>
            <w10:wrap type="topAndBottom"/>
          </v:shape>
        </w:pict>
      </w:r>
      <w:r>
        <w:rPr/>
        <w:pict>
          <v:shape style="position:absolute;margin-left:44.083pt;margin-top:85.333pt;width:4.350pt;height:.1pt;mso-position-horizontal-relative:page;mso-position-vertical-relative:paragraph;z-index:-15615488;mso-wrap-distance-left:0;mso-wrap-distance-right:0" coordorigin="882,1707" coordsize="87,0" path="m968,1707l882,1707e" filled="false" stroked="true" strokeweight=".5pt" strokecolor="#000000">
            <v:path arrowok="t"/>
            <v:stroke dashstyle="solid"/>
            <w10:wrap type="topAndBottom"/>
          </v:shape>
        </w:pict>
      </w:r>
      <w:r>
        <w:rPr/>
        <w:pict>
          <v:shape style="position:absolute;margin-left:44.083pt;margin-top:100pt;width:4.350pt;height:.1pt;mso-position-horizontal-relative:page;mso-position-vertical-relative:paragraph;z-index:-15614976;mso-wrap-distance-left:0;mso-wrap-distance-right:0" coordorigin="882,2000" coordsize="87,0" path="m968,2000l882,2000e" filled="false" stroked="true" strokeweight=".5pt" strokecolor="#000000">
            <v:path arrowok="t"/>
            <v:stroke dashstyle="solid"/>
            <w10:wrap type="topAndBottom"/>
          </v:shape>
        </w:pict>
      </w:r>
      <w:r>
        <w:rPr/>
        <w:pict>
          <v:shape style="position:absolute;margin-left:44.083pt;margin-top:114.333pt;width:4.350pt;height:.1pt;mso-position-horizontal-relative:page;mso-position-vertical-relative:paragraph;z-index:-15614464;mso-wrap-distance-left:0;mso-wrap-distance-right:0" coordorigin="882,2287" coordsize="87,0" path="m968,2287l882,2287e" filled="false" stroked="true" strokeweight=".5pt" strokecolor="#000000">
            <v:path arrowok="t"/>
            <v:stroke dashstyle="solid"/>
            <w10:wrap type="topAndBottom"/>
          </v:shape>
        </w:pict>
      </w:r>
    </w:p>
    <w:p>
      <w:pPr>
        <w:pStyle w:val="BodyText"/>
        <w:spacing w:before="8"/>
      </w:pPr>
    </w:p>
    <w:p>
      <w:pPr>
        <w:pStyle w:val="BodyText"/>
        <w:spacing w:before="10"/>
        <w:rPr>
          <w:sz w:val="16"/>
        </w:rPr>
      </w:pPr>
    </w:p>
    <w:p>
      <w:pPr>
        <w:pStyle w:val="BodyText"/>
        <w:spacing w:before="7"/>
      </w:pPr>
    </w:p>
    <w:p>
      <w:pPr>
        <w:pStyle w:val="BodyText"/>
        <w:spacing w:before="1"/>
      </w:pPr>
    </w:p>
    <w:p>
      <w:pPr>
        <w:pStyle w:val="BodyText"/>
        <w:spacing w:before="2"/>
      </w:pPr>
    </w:p>
    <w:p>
      <w:pPr>
        <w:pStyle w:val="BodyText"/>
        <w:spacing w:before="8"/>
      </w:pPr>
    </w:p>
    <w:p>
      <w:pPr>
        <w:pStyle w:val="BodyText"/>
        <w:spacing w:before="1"/>
      </w:pPr>
    </w:p>
    <w:p>
      <w:pPr>
        <w:tabs>
          <w:tab w:pos="1119" w:val="left" w:leader="none"/>
        </w:tabs>
        <w:spacing w:before="0"/>
        <w:ind w:left="336" w:right="0" w:firstLine="0"/>
        <w:jc w:val="left"/>
        <w:rPr>
          <w:sz w:val="12"/>
        </w:rPr>
      </w:pPr>
      <w:r>
        <w:rPr>
          <w:sz w:val="12"/>
        </w:rPr>
        <w:t>1984      86</w:t>
        <w:tab/>
      </w:r>
      <w:r>
        <w:rPr>
          <w:spacing w:val="-10"/>
          <w:sz w:val="12"/>
        </w:rPr>
        <w:t>88</w:t>
      </w:r>
    </w:p>
    <w:p>
      <w:pPr>
        <w:pStyle w:val="BodyText"/>
        <w:spacing w:before="3"/>
        <w:rPr>
          <w:sz w:val="13"/>
        </w:rPr>
      </w:pPr>
      <w:r>
        <w:rPr/>
        <w:br w:type="column"/>
      </w:r>
      <w:r>
        <w:rPr>
          <w:sz w:val="13"/>
        </w:rPr>
      </w:r>
    </w:p>
    <w:p>
      <w:pPr>
        <w:spacing w:before="0"/>
        <w:ind w:left="0" w:right="38" w:firstLine="0"/>
        <w:jc w:val="right"/>
        <w:rPr>
          <w:sz w:val="12"/>
        </w:rPr>
      </w:pPr>
      <w:r>
        <w:rPr>
          <w:sz w:val="12"/>
        </w:rPr>
        <w:t>25</w:t>
      </w:r>
    </w:p>
    <w:p>
      <w:pPr>
        <w:pStyle w:val="BodyText"/>
        <w:rPr>
          <w:sz w:val="13"/>
        </w:rPr>
      </w:pPr>
    </w:p>
    <w:p>
      <w:pPr>
        <w:spacing w:before="0"/>
        <w:ind w:left="0" w:right="38" w:firstLine="0"/>
        <w:jc w:val="right"/>
        <w:rPr>
          <w:sz w:val="12"/>
        </w:rPr>
      </w:pPr>
      <w:r>
        <w:rPr>
          <w:sz w:val="12"/>
        </w:rPr>
        <w:t>20</w:t>
      </w:r>
    </w:p>
    <w:p>
      <w:pPr>
        <w:pStyle w:val="BodyText"/>
        <w:spacing w:before="2"/>
        <w:rPr>
          <w:sz w:val="13"/>
        </w:rPr>
      </w:pPr>
    </w:p>
    <w:p>
      <w:pPr>
        <w:spacing w:before="1"/>
        <w:ind w:left="0" w:right="38" w:firstLine="0"/>
        <w:jc w:val="right"/>
        <w:rPr>
          <w:sz w:val="12"/>
        </w:rPr>
      </w:pPr>
      <w:r>
        <w:rPr>
          <w:sz w:val="12"/>
        </w:rPr>
        <w:t>15</w:t>
      </w:r>
    </w:p>
    <w:p>
      <w:pPr>
        <w:pStyle w:val="BodyText"/>
        <w:spacing w:before="10"/>
        <w:rPr>
          <w:sz w:val="11"/>
        </w:rPr>
      </w:pPr>
    </w:p>
    <w:p>
      <w:pPr>
        <w:spacing w:before="0"/>
        <w:ind w:left="0" w:right="38" w:firstLine="0"/>
        <w:jc w:val="right"/>
        <w:rPr>
          <w:sz w:val="12"/>
        </w:rPr>
      </w:pPr>
      <w:r>
        <w:rPr>
          <w:sz w:val="12"/>
        </w:rPr>
        <w:t>10</w:t>
      </w:r>
    </w:p>
    <w:p>
      <w:pPr>
        <w:pStyle w:val="BodyText"/>
        <w:spacing w:before="2"/>
        <w:rPr>
          <w:sz w:val="13"/>
        </w:rPr>
      </w:pPr>
    </w:p>
    <w:p>
      <w:pPr>
        <w:spacing w:line="107" w:lineRule="exact" w:before="1"/>
        <w:ind w:left="2338" w:right="0" w:firstLine="0"/>
        <w:jc w:val="left"/>
        <w:rPr>
          <w:sz w:val="12"/>
        </w:rPr>
      </w:pPr>
      <w:r>
        <w:rPr>
          <w:sz w:val="12"/>
        </w:rPr>
        <w:t>5</w:t>
      </w:r>
    </w:p>
    <w:p>
      <w:pPr>
        <w:spacing w:line="153" w:lineRule="exact" w:before="0"/>
        <w:ind w:left="2220" w:right="0" w:firstLine="0"/>
        <w:jc w:val="left"/>
        <w:rPr>
          <w:sz w:val="16"/>
        </w:rPr>
      </w:pPr>
      <w:r>
        <w:rPr>
          <w:sz w:val="16"/>
        </w:rPr>
        <w:t>+</w:t>
      </w:r>
    </w:p>
    <w:p>
      <w:pPr>
        <w:spacing w:before="28"/>
        <w:ind w:left="2220" w:right="0" w:firstLine="0"/>
        <w:jc w:val="left"/>
        <w:rPr>
          <w:sz w:val="12"/>
        </w:rPr>
      </w:pPr>
      <w:r>
        <w:rPr>
          <w:position w:val="-9"/>
          <w:sz w:val="16"/>
        </w:rPr>
        <w:t>_</w:t>
      </w:r>
      <w:r>
        <w:rPr>
          <w:spacing w:val="-3"/>
          <w:position w:val="-9"/>
          <w:sz w:val="16"/>
        </w:rPr>
        <w:t> </w:t>
      </w:r>
      <w:r>
        <w:rPr>
          <w:sz w:val="12"/>
        </w:rPr>
        <w:t>0</w:t>
      </w:r>
    </w:p>
    <w:p>
      <w:pPr>
        <w:spacing w:before="43"/>
        <w:ind w:left="0" w:right="38" w:firstLine="0"/>
        <w:jc w:val="right"/>
        <w:rPr>
          <w:sz w:val="12"/>
        </w:rPr>
      </w:pPr>
      <w:r>
        <w:rPr>
          <w:sz w:val="12"/>
        </w:rPr>
        <w:t>5</w:t>
      </w:r>
    </w:p>
    <w:p>
      <w:pPr>
        <w:pStyle w:val="BodyText"/>
        <w:spacing w:before="3"/>
        <w:rPr>
          <w:sz w:val="13"/>
        </w:rPr>
      </w:pPr>
    </w:p>
    <w:p>
      <w:pPr>
        <w:spacing w:before="0"/>
        <w:ind w:left="0" w:right="38" w:firstLine="0"/>
        <w:jc w:val="right"/>
        <w:rPr>
          <w:sz w:val="12"/>
        </w:rPr>
      </w:pPr>
      <w:r>
        <w:rPr>
          <w:sz w:val="12"/>
        </w:rPr>
        <w:t>10</w:t>
      </w:r>
    </w:p>
    <w:p>
      <w:pPr>
        <w:pStyle w:val="BodyText"/>
        <w:spacing w:before="2"/>
        <w:rPr>
          <w:sz w:val="13"/>
        </w:rPr>
      </w:pPr>
    </w:p>
    <w:p>
      <w:pPr>
        <w:spacing w:line="118" w:lineRule="exact" w:before="0"/>
        <w:ind w:left="2278" w:right="0" w:firstLine="0"/>
        <w:jc w:val="left"/>
        <w:rPr>
          <w:sz w:val="12"/>
        </w:rPr>
      </w:pPr>
      <w:r>
        <w:rPr/>
        <w:pict>
          <v:group style="position:absolute;margin-left:53.167pt;margin-top:1.184562pt;width:152.950pt;height:2.95pt;mso-position-horizontal-relative:page;mso-position-vertical-relative:paragraph;z-index:15868928" coordorigin="1063,24" coordsize="3059,59">
            <v:line style="position:absolute" from="1068,77" to="3968,77" stroked="true" strokeweight=".5pt" strokecolor="#231f20">
              <v:stroke dashstyle="solid"/>
            </v:line>
            <v:shape style="position:absolute;left:1068;top:23;width:3054;height:54" coordorigin="1068,24" coordsize="3054,54" path="m1068,24l1068,77m1251,24l1251,77m1433,24l1433,77m1615,24l1615,77m4122,77l4035,77m1797,24l1797,77m1979,24l1979,77m2162,24l2162,77m2344,24l2344,77m2526,24l2526,77m2708,24l2708,77m2891,24l2891,77m3073,24l3073,77m3255,24l3255,77m3437,24l3437,77m3619,24l3619,77m3802,24l3802,77e" filled="false" stroked="true" strokeweight=".5pt" strokecolor="#000000">
              <v:path arrowok="t"/>
              <v:stroke dashstyle="solid"/>
            </v:shape>
            <w10:wrap type="none"/>
          </v:group>
        </w:pict>
      </w:r>
      <w:r>
        <w:rPr>
          <w:sz w:val="12"/>
        </w:rPr>
        <w:t>15</w:t>
      </w:r>
    </w:p>
    <w:p>
      <w:pPr>
        <w:tabs>
          <w:tab w:pos="572" w:val="left" w:leader="none"/>
          <w:tab w:pos="934" w:val="left" w:leader="none"/>
          <w:tab w:pos="1297" w:val="left" w:leader="none"/>
          <w:tab w:pos="1657" w:val="left" w:leader="none"/>
        </w:tabs>
        <w:spacing w:line="118" w:lineRule="exact" w:before="0"/>
        <w:ind w:left="212" w:right="0" w:firstLine="0"/>
        <w:jc w:val="left"/>
        <w:rPr>
          <w:sz w:val="12"/>
        </w:rPr>
      </w:pPr>
      <w:r>
        <w:rPr>
          <w:sz w:val="12"/>
        </w:rPr>
        <w:t>90</w:t>
        <w:tab/>
        <w:t>92</w:t>
        <w:tab/>
        <w:t>94</w:t>
        <w:tab/>
        <w:t>96</w:t>
        <w:tab/>
        <w:t>98</w:t>
      </w:r>
    </w:p>
    <w:p>
      <w:pPr>
        <w:pStyle w:val="Heading3"/>
        <w:tabs>
          <w:tab w:pos="4434" w:val="left" w:leader="none"/>
          <w:tab w:pos="5862" w:val="left" w:leader="none"/>
        </w:tabs>
        <w:spacing w:before="202"/>
        <w:ind w:left="336"/>
      </w:pPr>
      <w:r>
        <w:rPr>
          <w:b w:val="0"/>
        </w:rPr>
        <w:br w:type="column"/>
      </w:r>
      <w:r>
        <w:rPr>
          <w:color w:val="009483"/>
          <w:u w:val="thick" w:color="0093C1"/>
        </w:rPr>
        <w:t>1.3</w:t>
        <w:tab/>
        <w:t>Summary</w:t>
        <w:tab/>
      </w:r>
    </w:p>
    <w:p>
      <w:pPr>
        <w:pStyle w:val="Heading6"/>
        <w:spacing w:line="242" w:lineRule="auto" w:before="260"/>
        <w:ind w:left="336" w:right="211"/>
      </w:pPr>
      <w:r>
        <w:rPr/>
        <w:t>Narrow money has continued to grow strongly in recent months. Exceptionally high growth over the year-end appears largely to reflect a temporary surge associated with the turn of the millennium, rather than any discernible change in trend. Annual broad money growth has risen slightly but remains subdued, reflecting a continued rundown in deposits held by non-bank</w:t>
      </w:r>
    </w:p>
    <w:p>
      <w:pPr>
        <w:spacing w:after="0" w:line="242" w:lineRule="auto"/>
        <w:sectPr>
          <w:type w:val="continuous"/>
          <w:pgSz w:w="11900" w:h="16840"/>
          <w:pgMar w:top="1220" w:bottom="280" w:left="620" w:right="640"/>
          <w:cols w:num="3" w:equalWidth="0">
            <w:col w:w="1240" w:space="40"/>
            <w:col w:w="2439" w:space="919"/>
            <w:col w:w="6002"/>
          </w:cols>
        </w:sectPr>
      </w:pPr>
    </w:p>
    <w:p>
      <w:pPr>
        <w:spacing w:before="94"/>
        <w:ind w:left="195" w:right="0" w:firstLine="0"/>
        <w:jc w:val="left"/>
        <w:rPr>
          <w:sz w:val="12"/>
        </w:rPr>
      </w:pPr>
      <w:r>
        <w:rPr>
          <w:sz w:val="12"/>
        </w:rPr>
        <w:t>Sources: Nationwide Building Society and Halifax plc.</w:t>
      </w:r>
    </w:p>
    <w:p>
      <w:pPr>
        <w:pStyle w:val="BodyText"/>
        <w:rPr>
          <w:sz w:val="12"/>
        </w:rPr>
      </w:pPr>
    </w:p>
    <w:p>
      <w:pPr>
        <w:pStyle w:val="BodyText"/>
        <w:rPr>
          <w:sz w:val="12"/>
        </w:rPr>
      </w:pPr>
    </w:p>
    <w:p>
      <w:pPr>
        <w:pStyle w:val="BodyText"/>
        <w:rPr>
          <w:sz w:val="12"/>
        </w:rPr>
      </w:pPr>
    </w:p>
    <w:p>
      <w:pPr>
        <w:pStyle w:val="Heading9"/>
        <w:spacing w:before="78"/>
      </w:pPr>
      <w:r>
        <w:rPr>
          <w:color w:val="0093C1"/>
        </w:rPr>
        <w:t>Chart 1.18</w:t>
      </w:r>
    </w:p>
    <w:p>
      <w:pPr>
        <w:spacing w:before="11"/>
        <w:ind w:left="190" w:right="0" w:firstLine="0"/>
        <w:jc w:val="left"/>
        <w:rPr>
          <w:b/>
          <w:sz w:val="20"/>
        </w:rPr>
      </w:pPr>
      <w:r>
        <w:rPr>
          <w:b/>
          <w:color w:val="0093C1"/>
          <w:sz w:val="20"/>
        </w:rPr>
        <w:t>Selected sterling exchange rates</w:t>
      </w:r>
    </w:p>
    <w:p>
      <w:pPr>
        <w:spacing w:line="403" w:lineRule="auto" w:before="150"/>
        <w:ind w:left="224" w:right="1358" w:firstLine="0"/>
        <w:jc w:val="left"/>
        <w:rPr>
          <w:sz w:val="12"/>
        </w:rPr>
      </w:pPr>
      <w:r>
        <w:rPr/>
        <w:pict>
          <v:group style="position:absolute;margin-left:62.287998pt;margin-top:22.328552pt;width:145.35pt;height:142.65pt;mso-position-horizontal-relative:page;mso-position-vertical-relative:paragraph;z-index:-22299136" coordorigin="1246,447" coordsize="2907,2853">
            <v:shape style="position:absolute;left:1247;top:446;width:2905;height:2703" type="#_x0000_t75" stroked="false">
              <v:imagedata r:id="rId60" o:title=""/>
            </v:shape>
            <v:shape style="position:absolute;left:1250;top:3185;width:2881;height:108" coordorigin="1251,3186" coordsize="2881,108" path="m1253,3294l4131,3294m1251,3186l1251,3293m1692,3240l1692,3293m2354,3240l2354,3293m2795,3240l2795,3293m1471,3240l1471,3293m1912,3240l1912,3293m3015,3240l3015,3293m3236,3240l3236,3293m2133,3240l2133,3293m3456,3240l3456,3293m2574,3240l2574,3293m3677,3240l3677,3293m3897,3186l3897,3293m4118,3240l4118,3293e" filled="false" stroked="true" strokeweight=".5pt" strokecolor="#000000">
              <v:path arrowok="t"/>
              <v:stroke dashstyle="solid"/>
            </v:shape>
            <v:shape style="position:absolute;left:3226;top:588;width:764;height:267" type="#_x0000_t202" filled="false" stroked="false">
              <v:textbox inset="0,0,0,0">
                <w:txbxContent>
                  <w:p>
                    <w:pPr>
                      <w:spacing w:line="259" w:lineRule="auto" w:before="1"/>
                      <w:ind w:left="29" w:right="10" w:hanging="30"/>
                      <w:jc w:val="left"/>
                      <w:rPr>
                        <w:sz w:val="11"/>
                      </w:rPr>
                    </w:pPr>
                    <w:r>
                      <w:rPr>
                        <w:color w:val="231F20"/>
                        <w:w w:val="105"/>
                        <w:sz w:val="11"/>
                      </w:rPr>
                      <w:t>ERI (right-hand scale)</w:t>
                    </w:r>
                  </w:p>
                </w:txbxContent>
              </v:textbox>
              <w10:wrap type="none"/>
            </v:shape>
            <v:shape style="position:absolute;left:1286;top:979;width:1017;height:267" type="#_x0000_t202" filled="false" stroked="false">
              <v:textbox inset="0,0,0,0">
                <w:txbxContent>
                  <w:p>
                    <w:pPr>
                      <w:spacing w:line="259" w:lineRule="auto" w:before="1"/>
                      <w:ind w:left="29" w:right="18" w:hanging="30"/>
                      <w:jc w:val="left"/>
                      <w:rPr>
                        <w:sz w:val="11"/>
                      </w:rPr>
                    </w:pPr>
                    <w:r>
                      <w:rPr>
                        <w:color w:val="231F20"/>
                        <w:w w:val="105"/>
                        <w:sz w:val="11"/>
                      </w:rPr>
                      <w:t>US dollars per pound (left-hand scale)</w:t>
                    </w:r>
                  </w:p>
                </w:txbxContent>
              </v:textbox>
              <w10:wrap type="none"/>
            </v:shape>
            <v:shape style="position:absolute;left:2489;top:2464;width:812;height:267" type="#_x0000_t202" filled="false" stroked="false">
              <v:textbox inset="0,0,0,0">
                <w:txbxContent>
                  <w:p>
                    <w:pPr>
                      <w:spacing w:line="259" w:lineRule="auto" w:before="1"/>
                      <w:ind w:left="29" w:right="18" w:hanging="30"/>
                      <w:jc w:val="left"/>
                      <w:rPr>
                        <w:sz w:val="11"/>
                      </w:rPr>
                    </w:pPr>
                    <w:r>
                      <w:rPr>
                        <w:color w:val="231F20"/>
                        <w:w w:val="105"/>
                        <w:sz w:val="11"/>
                      </w:rPr>
                      <w:t>Euro per pound (left-hand scale)</w:t>
                    </w:r>
                  </w:p>
                </w:txbxContent>
              </v:textbox>
              <w10:wrap type="none"/>
            </v:shape>
            <w10:wrap type="none"/>
          </v:group>
        </w:pict>
      </w:r>
      <w:r>
        <w:rPr/>
        <w:pict>
          <v:line style="position:absolute;mso-position-horizontal-relative:page;mso-position-vertical-relative:paragraph;z-index:-22298624" from="58.441002pt,25.996552pt" to="54.108002pt,25.996552pt" stroked="true" strokeweight=".5pt" strokecolor="#000000">
            <v:stroke dashstyle="solid"/>
            <w10:wrap type="none"/>
          </v:line>
        </w:pict>
      </w:r>
      <w:r>
        <w:rPr>
          <w:color w:val="231F20"/>
          <w:position w:val="-3"/>
          <w:sz w:val="12"/>
        </w:rPr>
        <w:t>1.79</w:t>
      </w:r>
      <w:r>
        <w:rPr>
          <w:color w:val="231F20"/>
          <w:sz w:val="12"/>
        </w:rPr>
        <w:t> </w:t>
      </w:r>
      <w:r>
        <w:rPr>
          <w:color w:val="231F20"/>
          <w:sz w:val="12"/>
          <w:u w:val="single" w:color="000000"/>
        </w:rPr>
        <w:t>E</w:t>
      </w:r>
      <w:r>
        <w:rPr>
          <w:color w:val="231F20"/>
          <w:sz w:val="12"/>
        </w:rPr>
        <w:t>uro or US </w:t>
      </w:r>
      <w:r>
        <w:rPr>
          <w:color w:val="231F20"/>
          <w:spacing w:val="-3"/>
          <w:sz w:val="12"/>
        </w:rPr>
        <w:t>dollars </w:t>
      </w:r>
      <w:r>
        <w:rPr>
          <w:color w:val="231F20"/>
          <w:sz w:val="12"/>
        </w:rPr>
        <w:t>1.76</w:t>
      </w:r>
    </w:p>
    <w:p>
      <w:pPr>
        <w:spacing w:line="133" w:lineRule="exact" w:before="0"/>
        <w:ind w:left="224" w:right="0" w:firstLine="0"/>
        <w:jc w:val="left"/>
        <w:rPr>
          <w:sz w:val="12"/>
        </w:rPr>
      </w:pPr>
      <w:r>
        <w:rPr/>
        <w:pict>
          <v:line style="position:absolute;mso-position-horizontal-relative:page;mso-position-vertical-relative:paragraph;z-index:15846912" from="58.441002pt,4.806521pt" to="54.108002pt,4.806521pt" stroked="true" strokeweight=".5pt" strokecolor="#000000">
            <v:stroke dashstyle="solid"/>
            <w10:wrap type="none"/>
          </v:line>
        </w:pict>
      </w:r>
      <w:r>
        <w:rPr>
          <w:color w:val="231F20"/>
          <w:sz w:val="12"/>
        </w:rPr>
        <w:t>1.73</w:t>
      </w:r>
    </w:p>
    <w:p>
      <w:pPr>
        <w:spacing w:before="75"/>
        <w:ind w:left="224" w:right="0" w:firstLine="0"/>
        <w:jc w:val="left"/>
        <w:rPr>
          <w:sz w:val="12"/>
        </w:rPr>
      </w:pPr>
      <w:r>
        <w:rPr/>
        <w:pict>
          <v:line style="position:absolute;mso-position-horizontal-relative:page;mso-position-vertical-relative:paragraph;z-index:15850496" from="58.441002pt,8.669548pt" to="54.108002pt,8.669548pt" stroked="true" strokeweight=".5pt" strokecolor="#000000">
            <v:stroke dashstyle="solid"/>
            <w10:wrap type="none"/>
          </v:line>
        </w:pict>
      </w:r>
      <w:r>
        <w:rPr>
          <w:color w:val="231F20"/>
          <w:sz w:val="12"/>
        </w:rPr>
        <w:t>1.70</w:t>
      </w:r>
    </w:p>
    <w:p>
      <w:pPr>
        <w:spacing w:before="89"/>
        <w:ind w:left="224" w:right="0" w:firstLine="0"/>
        <w:jc w:val="left"/>
        <w:rPr>
          <w:sz w:val="12"/>
        </w:rPr>
      </w:pPr>
      <w:r>
        <w:rPr/>
        <w:pict>
          <v:line style="position:absolute;mso-position-horizontal-relative:page;mso-position-vertical-relative:paragraph;z-index:15848960" from="58.441002pt,8.160959pt" to="54.108002pt,8.160959pt" stroked="true" strokeweight=".5pt" strokecolor="#000000">
            <v:stroke dashstyle="solid"/>
            <w10:wrap type="none"/>
          </v:line>
        </w:pict>
      </w:r>
      <w:r>
        <w:rPr>
          <w:color w:val="231F20"/>
          <w:sz w:val="12"/>
        </w:rPr>
        <w:t>1.67</w:t>
      </w:r>
    </w:p>
    <w:p>
      <w:pPr>
        <w:spacing w:before="89"/>
        <w:ind w:left="224" w:right="0" w:firstLine="0"/>
        <w:jc w:val="left"/>
        <w:rPr>
          <w:sz w:val="12"/>
        </w:rPr>
      </w:pPr>
      <w:r>
        <w:rPr/>
        <w:pict>
          <v:line style="position:absolute;mso-position-horizontal-relative:page;mso-position-vertical-relative:paragraph;z-index:15852032" from="58.441002pt,7.993371pt" to="54.108002pt,7.993371pt" stroked="true" strokeweight=".5pt" strokecolor="#000000">
            <v:stroke dashstyle="solid"/>
            <w10:wrap type="none"/>
          </v:line>
        </w:pict>
      </w:r>
      <w:r>
        <w:rPr>
          <w:color w:val="231F20"/>
          <w:sz w:val="12"/>
        </w:rPr>
        <w:t>1.64</w:t>
      </w:r>
    </w:p>
    <w:p>
      <w:pPr>
        <w:spacing w:before="89"/>
        <w:ind w:left="224" w:right="0" w:firstLine="0"/>
        <w:jc w:val="left"/>
        <w:rPr>
          <w:sz w:val="12"/>
        </w:rPr>
      </w:pPr>
      <w:r>
        <w:rPr/>
        <w:pict>
          <v:line style="position:absolute;mso-position-horizontal-relative:page;mso-position-vertical-relative:paragraph;z-index:15847424" from="58.441002pt,7.826753pt" to="54.108002pt,7.826753pt" stroked="true" strokeweight=".5pt" strokecolor="#000000">
            <v:stroke dashstyle="solid"/>
            <w10:wrap type="none"/>
          </v:line>
        </w:pict>
      </w:r>
      <w:r>
        <w:rPr>
          <w:color w:val="231F20"/>
          <w:sz w:val="12"/>
        </w:rPr>
        <w:t>1.61</w:t>
      </w:r>
    </w:p>
    <w:p>
      <w:pPr>
        <w:spacing w:before="73"/>
        <w:ind w:left="224" w:right="0" w:firstLine="0"/>
        <w:jc w:val="left"/>
        <w:rPr>
          <w:sz w:val="12"/>
        </w:rPr>
      </w:pPr>
      <w:r>
        <w:rPr/>
        <w:pict>
          <v:line style="position:absolute;mso-position-horizontal-relative:page;mso-position-vertical-relative:paragraph;z-index:15851008" from="58.441002pt,7.678165pt" to="54.108002pt,7.678165pt" stroked="true" strokeweight=".5pt" strokecolor="#000000">
            <v:stroke dashstyle="solid"/>
            <w10:wrap type="none"/>
          </v:line>
        </w:pict>
      </w:r>
      <w:r>
        <w:rPr>
          <w:color w:val="231F20"/>
          <w:sz w:val="12"/>
        </w:rPr>
        <w:t>1.58</w:t>
      </w:r>
    </w:p>
    <w:p>
      <w:pPr>
        <w:spacing w:before="89"/>
        <w:ind w:left="224" w:right="0" w:firstLine="0"/>
        <w:jc w:val="left"/>
        <w:rPr>
          <w:sz w:val="12"/>
        </w:rPr>
      </w:pPr>
      <w:r>
        <w:rPr/>
        <w:pict>
          <v:line style="position:absolute;mso-position-horizontal-relative:page;mso-position-vertical-relative:paragraph;z-index:15849472" from="58.441002pt,8.311577pt" to="54.108002pt,8.311577pt" stroked="true" strokeweight=".5pt" strokecolor="#000000">
            <v:stroke dashstyle="solid"/>
            <w10:wrap type="none"/>
          </v:line>
        </w:pict>
      </w:r>
      <w:r>
        <w:rPr>
          <w:color w:val="231F20"/>
          <w:sz w:val="12"/>
        </w:rPr>
        <w:t>1.55</w:t>
      </w:r>
    </w:p>
    <w:p>
      <w:pPr>
        <w:spacing w:before="89"/>
        <w:ind w:left="224" w:right="0" w:firstLine="0"/>
        <w:jc w:val="left"/>
        <w:rPr>
          <w:sz w:val="12"/>
        </w:rPr>
      </w:pPr>
      <w:r>
        <w:rPr/>
        <w:pict>
          <v:line style="position:absolute;mso-position-horizontal-relative:page;mso-position-vertical-relative:paragraph;z-index:15852544" from="58.441002pt,8.143958pt" to="54.108002pt,8.143958pt" stroked="true" strokeweight=".5pt" strokecolor="#000000">
            <v:stroke dashstyle="solid"/>
            <w10:wrap type="none"/>
          </v:line>
        </w:pict>
      </w:r>
      <w:r>
        <w:rPr>
          <w:color w:val="231F20"/>
          <w:sz w:val="12"/>
        </w:rPr>
        <w:t>1.52</w:t>
      </w:r>
    </w:p>
    <w:p>
      <w:pPr>
        <w:spacing w:before="89"/>
        <w:ind w:left="224" w:right="0" w:firstLine="0"/>
        <w:jc w:val="left"/>
        <w:rPr>
          <w:sz w:val="12"/>
        </w:rPr>
      </w:pPr>
      <w:r>
        <w:rPr/>
        <w:pict>
          <v:line style="position:absolute;mso-position-horizontal-relative:page;mso-position-vertical-relative:paragraph;z-index:15847936" from="58.441002pt,7.97737pt" to="54.108002pt,7.97737pt" stroked="true" strokeweight=".5pt" strokecolor="#000000">
            <v:stroke dashstyle="solid"/>
            <w10:wrap type="none"/>
          </v:line>
        </w:pict>
      </w:r>
      <w:r>
        <w:rPr>
          <w:color w:val="231F20"/>
          <w:sz w:val="12"/>
        </w:rPr>
        <w:t>1.49</w:t>
      </w:r>
    </w:p>
    <w:p>
      <w:pPr>
        <w:spacing w:before="74"/>
        <w:ind w:left="224" w:right="0" w:firstLine="0"/>
        <w:jc w:val="left"/>
        <w:rPr>
          <w:sz w:val="12"/>
        </w:rPr>
      </w:pPr>
      <w:r>
        <w:rPr/>
        <w:pict>
          <v:line style="position:absolute;mso-position-horizontal-relative:page;mso-position-vertical-relative:paragraph;z-index:15851520" from="58.441002pt,7.761777pt" to="54.108002pt,7.761777pt" stroked="true" strokeweight=".5pt" strokecolor="#000000">
            <v:stroke dashstyle="solid"/>
            <w10:wrap type="none"/>
          </v:line>
        </w:pict>
      </w:r>
      <w:r>
        <w:rPr>
          <w:color w:val="231F20"/>
          <w:sz w:val="12"/>
        </w:rPr>
        <w:t>1.46</w:t>
      </w:r>
    </w:p>
    <w:p>
      <w:pPr>
        <w:spacing w:before="89"/>
        <w:ind w:left="224" w:right="0" w:firstLine="0"/>
        <w:jc w:val="left"/>
        <w:rPr>
          <w:sz w:val="12"/>
        </w:rPr>
      </w:pPr>
      <w:r>
        <w:rPr/>
        <w:pict>
          <v:line style="position:absolute;mso-position-horizontal-relative:page;mso-position-vertical-relative:paragraph;z-index:15849984" from="58.441002pt,8.344159pt" to="54.108002pt,8.344159pt" stroked="true" strokeweight=".5pt" strokecolor="#000000">
            <v:stroke dashstyle="solid"/>
            <w10:wrap type="none"/>
          </v:line>
        </w:pict>
      </w:r>
      <w:r>
        <w:rPr>
          <w:color w:val="231F20"/>
          <w:sz w:val="12"/>
        </w:rPr>
        <w:t>1.43</w:t>
      </w:r>
    </w:p>
    <w:p>
      <w:pPr>
        <w:spacing w:before="89"/>
        <w:ind w:left="224" w:right="0" w:firstLine="0"/>
        <w:jc w:val="left"/>
        <w:rPr>
          <w:sz w:val="12"/>
        </w:rPr>
      </w:pPr>
      <w:r>
        <w:rPr/>
        <w:pict>
          <v:line style="position:absolute;mso-position-horizontal-relative:page;mso-position-vertical-relative:paragraph;z-index:15848448" from="58.441002pt,8.177570pt" to="54.108002pt,8.177570pt" stroked="true" strokeweight=".5pt" strokecolor="#000000">
            <v:stroke dashstyle="solid"/>
            <w10:wrap type="none"/>
          </v:line>
        </w:pict>
      </w:r>
      <w:r>
        <w:rPr>
          <w:color w:val="231F20"/>
          <w:sz w:val="12"/>
        </w:rPr>
        <w:t>1.40</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9"/>
        </w:rPr>
      </w:pPr>
    </w:p>
    <w:p>
      <w:pPr>
        <w:spacing w:before="0"/>
        <w:ind w:left="190" w:right="0" w:firstLine="0"/>
        <w:jc w:val="left"/>
        <w:rPr>
          <w:sz w:val="12"/>
        </w:rPr>
      </w:pPr>
      <w:r>
        <w:rPr>
          <w:color w:val="231F20"/>
          <w:sz w:val="12"/>
        </w:rPr>
        <w:t>1990 = 1</w:t>
      </w:r>
      <w:r>
        <w:rPr>
          <w:color w:val="231F20"/>
          <w:sz w:val="12"/>
          <w:u w:val="single" w:color="000000"/>
        </w:rPr>
        <w:t>00</w:t>
      </w:r>
      <w:r>
        <w:rPr>
          <w:color w:val="231F20"/>
          <w:spacing w:val="13"/>
          <w:sz w:val="12"/>
        </w:rPr>
        <w:t> </w:t>
      </w:r>
      <w:r>
        <w:rPr>
          <w:color w:val="231F20"/>
          <w:position w:val="-7"/>
          <w:sz w:val="12"/>
        </w:rPr>
        <w:t>111</w:t>
      </w:r>
    </w:p>
    <w:p>
      <w:pPr>
        <w:spacing w:before="74"/>
        <w:ind w:left="781" w:right="0" w:firstLine="0"/>
        <w:jc w:val="left"/>
        <w:rPr>
          <w:sz w:val="12"/>
        </w:rPr>
      </w:pPr>
      <w:r>
        <w:rPr/>
        <w:pict>
          <v:line style="position:absolute;mso-position-horizontal-relative:page;mso-position-vertical-relative:paragraph;z-index:15853056" from="215.520996pt,6.820996pt" to="211.186996pt,6.820996pt" stroked="true" strokeweight=".5pt" strokecolor="#000000">
            <v:stroke dashstyle="solid"/>
            <w10:wrap type="none"/>
          </v:line>
        </w:pict>
      </w:r>
      <w:r>
        <w:rPr>
          <w:color w:val="231F20"/>
          <w:sz w:val="12"/>
        </w:rPr>
        <w:t>110</w:t>
      </w:r>
    </w:p>
    <w:p>
      <w:pPr>
        <w:spacing w:before="57"/>
        <w:ind w:left="781" w:right="0" w:firstLine="0"/>
        <w:jc w:val="left"/>
        <w:rPr>
          <w:sz w:val="12"/>
        </w:rPr>
      </w:pPr>
      <w:r>
        <w:rPr/>
        <w:pict>
          <v:line style="position:absolute;mso-position-horizontal-relative:page;mso-position-vertical-relative:paragraph;z-index:15853568" from="215.520996pt,6.523608pt" to="211.186996pt,6.523608pt" stroked="true" strokeweight=".5pt" strokecolor="#000000">
            <v:stroke dashstyle="solid"/>
            <w10:wrap type="none"/>
          </v:line>
        </w:pict>
      </w:r>
      <w:r>
        <w:rPr>
          <w:color w:val="231F20"/>
          <w:sz w:val="12"/>
        </w:rPr>
        <w:t>109</w:t>
      </w:r>
    </w:p>
    <w:p>
      <w:pPr>
        <w:spacing w:before="69"/>
        <w:ind w:left="781" w:right="0" w:firstLine="0"/>
        <w:jc w:val="left"/>
        <w:rPr>
          <w:sz w:val="12"/>
        </w:rPr>
      </w:pPr>
      <w:r>
        <w:rPr/>
        <w:pict>
          <v:line style="position:absolute;mso-position-horizontal-relative:page;mso-position-vertical-relative:paragraph;z-index:15857152" from="215.520996pt,7.009014pt" to="211.186996pt,7.009014pt" stroked="true" strokeweight=".5pt" strokecolor="#000000">
            <v:stroke dashstyle="solid"/>
            <w10:wrap type="none"/>
          </v:line>
        </w:pict>
      </w:r>
      <w:r>
        <w:rPr>
          <w:color w:val="231F20"/>
          <w:sz w:val="12"/>
        </w:rPr>
        <w:t>108</w:t>
      </w:r>
    </w:p>
    <w:p>
      <w:pPr>
        <w:spacing w:before="50"/>
        <w:ind w:left="781" w:right="0" w:firstLine="0"/>
        <w:jc w:val="left"/>
        <w:rPr>
          <w:sz w:val="12"/>
        </w:rPr>
      </w:pPr>
      <w:r>
        <w:rPr/>
        <w:pict>
          <v:line style="position:absolute;mso-position-horizontal-relative:page;mso-position-vertical-relative:paragraph;z-index:15855616" from="215.520996pt,6.945603pt" to="211.186996pt,6.945603pt" stroked="true" strokeweight=".5pt" strokecolor="#000000">
            <v:stroke dashstyle="solid"/>
            <w10:wrap type="none"/>
          </v:line>
        </w:pict>
      </w:r>
      <w:r>
        <w:rPr>
          <w:color w:val="231F20"/>
          <w:sz w:val="12"/>
        </w:rPr>
        <w:t>107</w:t>
      </w:r>
    </w:p>
    <w:p>
      <w:pPr>
        <w:spacing w:before="69"/>
        <w:ind w:left="781" w:right="0" w:firstLine="0"/>
        <w:jc w:val="left"/>
        <w:rPr>
          <w:sz w:val="12"/>
        </w:rPr>
      </w:pPr>
      <w:r>
        <w:rPr/>
        <w:pict>
          <v:line style="position:absolute;mso-position-horizontal-relative:page;mso-position-vertical-relative:paragraph;z-index:15858688" from="215.520996pt,7.781009pt" to="211.186996pt,7.781009pt" stroked="true" strokeweight=".5pt" strokecolor="#000000">
            <v:stroke dashstyle="solid"/>
            <w10:wrap type="none"/>
          </v:line>
        </w:pict>
      </w:r>
      <w:r>
        <w:rPr>
          <w:color w:val="231F20"/>
          <w:sz w:val="12"/>
        </w:rPr>
        <w:t>106</w:t>
      </w:r>
    </w:p>
    <w:p>
      <w:pPr>
        <w:spacing w:before="70"/>
        <w:ind w:left="781" w:right="0" w:firstLine="0"/>
        <w:jc w:val="left"/>
        <w:rPr>
          <w:sz w:val="12"/>
        </w:rPr>
      </w:pPr>
      <w:r>
        <w:rPr/>
        <w:pict>
          <v:line style="position:absolute;mso-position-horizontal-relative:page;mso-position-vertical-relative:paragraph;z-index:15854080" from="215.520996pt,7.717415pt" to="211.186996pt,7.717415pt" stroked="true" strokeweight=".5pt" strokecolor="#000000">
            <v:stroke dashstyle="solid"/>
            <w10:wrap type="none"/>
          </v:line>
        </w:pict>
      </w:r>
      <w:r>
        <w:rPr>
          <w:color w:val="231F20"/>
          <w:sz w:val="12"/>
        </w:rPr>
        <w:t>105</w:t>
      </w:r>
    </w:p>
    <w:p>
      <w:pPr>
        <w:spacing w:before="89"/>
        <w:ind w:left="781" w:right="0" w:firstLine="0"/>
        <w:jc w:val="left"/>
        <w:rPr>
          <w:sz w:val="12"/>
        </w:rPr>
      </w:pPr>
      <w:r>
        <w:rPr/>
        <w:pict>
          <v:line style="position:absolute;mso-position-horizontal-relative:page;mso-position-vertical-relative:paragraph;z-index:15857664" from="215.520996pt,7.553217pt" to="211.186996pt,7.553217pt" stroked="true" strokeweight=".5pt" strokecolor="#000000">
            <v:stroke dashstyle="solid"/>
            <w10:wrap type="none"/>
          </v:line>
        </w:pict>
      </w:r>
      <w:r>
        <w:rPr>
          <w:color w:val="231F20"/>
          <w:sz w:val="12"/>
        </w:rPr>
        <w:t>104</w:t>
      </w:r>
    </w:p>
    <w:p>
      <w:pPr>
        <w:spacing w:before="70"/>
        <w:ind w:left="781" w:right="0" w:firstLine="0"/>
        <w:jc w:val="left"/>
        <w:rPr>
          <w:sz w:val="12"/>
        </w:rPr>
      </w:pPr>
      <w:r>
        <w:rPr/>
        <w:pict>
          <v:line style="position:absolute;mso-position-horizontal-relative:page;mso-position-vertical-relative:paragraph;z-index:15856128" from="215.520996pt,6.488593pt" to="211.186996pt,6.488593pt" stroked="true" strokeweight=".5pt" strokecolor="#000000">
            <v:stroke dashstyle="solid"/>
            <w10:wrap type="none"/>
          </v:line>
        </w:pict>
      </w:r>
      <w:r>
        <w:rPr>
          <w:color w:val="231F20"/>
          <w:sz w:val="12"/>
        </w:rPr>
        <w:t>103</w:t>
      </w:r>
    </w:p>
    <w:p>
      <w:pPr>
        <w:spacing w:before="50"/>
        <w:ind w:left="781" w:right="0" w:firstLine="0"/>
        <w:jc w:val="left"/>
        <w:rPr>
          <w:sz w:val="12"/>
        </w:rPr>
      </w:pPr>
      <w:r>
        <w:rPr/>
        <w:pict>
          <v:line style="position:absolute;mso-position-horizontal-relative:page;mso-position-vertical-relative:paragraph;z-index:15859200" from="215.520996pt,6.375213pt" to="211.186996pt,6.375213pt" stroked="true" strokeweight=".5pt" strokecolor="#000000">
            <v:stroke dashstyle="solid"/>
            <w10:wrap type="none"/>
          </v:line>
        </w:pict>
      </w:r>
      <w:r>
        <w:rPr>
          <w:color w:val="231F20"/>
          <w:sz w:val="12"/>
        </w:rPr>
        <w:t>102</w:t>
      </w:r>
    </w:p>
    <w:p>
      <w:pPr>
        <w:spacing w:before="69"/>
        <w:ind w:left="781" w:right="0" w:firstLine="0"/>
        <w:jc w:val="left"/>
        <w:rPr>
          <w:sz w:val="12"/>
        </w:rPr>
      </w:pPr>
      <w:r>
        <w:rPr/>
        <w:pict>
          <v:line style="position:absolute;mso-position-horizontal-relative:page;mso-position-vertical-relative:paragraph;z-index:15854592" from="215.520996pt,7.210618pt" to="211.186996pt,7.210618pt" stroked="true" strokeweight=".5pt" strokecolor="#000000">
            <v:stroke dashstyle="solid"/>
            <w10:wrap type="none"/>
          </v:line>
        </w:pict>
      </w:r>
      <w:r>
        <w:rPr>
          <w:color w:val="231F20"/>
          <w:sz w:val="12"/>
        </w:rPr>
        <w:t>101</w:t>
      </w:r>
    </w:p>
    <w:p>
      <w:pPr>
        <w:spacing w:before="70"/>
        <w:ind w:left="781" w:right="0" w:firstLine="0"/>
        <w:jc w:val="left"/>
        <w:rPr>
          <w:sz w:val="12"/>
        </w:rPr>
      </w:pPr>
      <w:r>
        <w:rPr/>
        <w:pict>
          <v:line style="position:absolute;mso-position-horizontal-relative:page;mso-position-vertical-relative:paragraph;z-index:15858176" from="215.520996pt,7.145994pt" to="211.186996pt,7.145994pt" stroked="true" strokeweight=".5pt" strokecolor="#000000">
            <v:stroke dashstyle="solid"/>
            <w10:wrap type="none"/>
          </v:line>
        </w:pict>
      </w:r>
      <w:r>
        <w:rPr>
          <w:color w:val="231F20"/>
          <w:sz w:val="12"/>
        </w:rPr>
        <w:t>100</w:t>
      </w:r>
    </w:p>
    <w:p>
      <w:pPr>
        <w:spacing w:before="69"/>
        <w:ind w:left="841" w:right="0" w:firstLine="0"/>
        <w:jc w:val="left"/>
        <w:rPr>
          <w:sz w:val="12"/>
        </w:rPr>
      </w:pPr>
      <w:r>
        <w:rPr/>
        <w:pict>
          <v:line style="position:absolute;mso-position-horizontal-relative:page;mso-position-vertical-relative:paragraph;z-index:15856640" from="215.520996pt,6.982919pt" to="211.186996pt,6.982919pt" stroked="true" strokeweight=".5pt" strokecolor="#000000">
            <v:stroke dashstyle="solid"/>
            <w10:wrap type="none"/>
          </v:line>
        </w:pict>
      </w:r>
      <w:r>
        <w:rPr>
          <w:color w:val="231F20"/>
          <w:sz w:val="12"/>
        </w:rPr>
        <w:t>99</w:t>
      </w:r>
    </w:p>
    <w:p>
      <w:pPr>
        <w:spacing w:before="70"/>
        <w:ind w:left="841" w:right="0" w:firstLine="0"/>
        <w:jc w:val="left"/>
        <w:rPr>
          <w:sz w:val="12"/>
        </w:rPr>
      </w:pPr>
      <w:r>
        <w:rPr/>
        <w:pict>
          <v:line style="position:absolute;mso-position-horizontal-relative:page;mso-position-vertical-relative:paragraph;z-index:15859712" from="215.520996pt,6.918294pt" to="211.186996pt,6.918294pt" stroked="true" strokeweight=".5pt" strokecolor="#000000">
            <v:stroke dashstyle="solid"/>
            <w10:wrap type="none"/>
          </v:line>
        </w:pict>
      </w:r>
      <w:r>
        <w:rPr>
          <w:color w:val="231F20"/>
          <w:sz w:val="12"/>
        </w:rPr>
        <w:t>98</w:t>
      </w:r>
    </w:p>
    <w:p>
      <w:pPr>
        <w:spacing w:before="69"/>
        <w:ind w:left="841" w:right="0" w:firstLine="0"/>
        <w:jc w:val="left"/>
        <w:rPr>
          <w:sz w:val="12"/>
        </w:rPr>
      </w:pPr>
      <w:r>
        <w:rPr/>
        <w:pict>
          <v:line style="position:absolute;mso-position-horizontal-relative:page;mso-position-vertical-relative:paragraph;z-index:15855104" from="215.520996pt,6.754701pt" to="211.186996pt,6.754701pt" stroked="true" strokeweight=".5pt" strokecolor="#000000">
            <v:stroke dashstyle="solid"/>
            <w10:wrap type="none"/>
          </v:line>
        </w:pict>
      </w:r>
      <w:r>
        <w:rPr>
          <w:color w:val="231F20"/>
          <w:sz w:val="12"/>
        </w:rPr>
        <w:t>97</w:t>
      </w:r>
    </w:p>
    <w:p>
      <w:pPr>
        <w:pStyle w:val="Heading6"/>
        <w:spacing w:line="242" w:lineRule="auto" w:before="9"/>
        <w:ind w:right="233"/>
      </w:pPr>
      <w:r>
        <w:rPr/>
        <w:br w:type="column"/>
      </w:r>
      <w:r>
        <w:rPr/>
        <w:t>financial corporations. Secured lending has picked up further and has included rising flows of mortgage equity withdrawal. Equity prices have risen further and house price inflation has strengthened since the November </w:t>
      </w:r>
      <w:r>
        <w:rPr>
          <w:i/>
        </w:rPr>
        <w:t>Report</w:t>
      </w:r>
      <w:r>
        <w:rPr/>
        <w:t>. Substantial increases in equity and house prices over the past year have raised household sector wealth.</w:t>
      </w:r>
    </w:p>
    <w:p>
      <w:pPr>
        <w:pStyle w:val="BodyText"/>
        <w:rPr>
          <w:sz w:val="25"/>
        </w:rPr>
      </w:pPr>
    </w:p>
    <w:p>
      <w:pPr>
        <w:spacing w:line="242" w:lineRule="auto" w:before="0"/>
        <w:ind w:left="190" w:right="534" w:firstLine="0"/>
        <w:jc w:val="both"/>
        <w:rPr>
          <w:sz w:val="24"/>
        </w:rPr>
      </w:pPr>
      <w:r>
        <w:rPr>
          <w:sz w:val="24"/>
        </w:rPr>
        <w:t>The sterling effective exchange rate has strengthened appreciably, particularly against the euro. Short-term interest rates have risen in the United Kingdom.</w:t>
      </w:r>
    </w:p>
    <w:p>
      <w:pPr>
        <w:spacing w:line="242" w:lineRule="auto" w:before="4"/>
        <w:ind w:left="190" w:right="157" w:firstLine="0"/>
        <w:jc w:val="both"/>
        <w:rPr>
          <w:sz w:val="24"/>
        </w:rPr>
      </w:pPr>
      <w:r>
        <w:rPr>
          <w:sz w:val="24"/>
        </w:rPr>
        <w:t>Longer-term interest rates have also increased but </w:t>
      </w:r>
      <w:r>
        <w:rPr>
          <w:spacing w:val="-3"/>
          <w:sz w:val="24"/>
        </w:rPr>
        <w:t>remain </w:t>
      </w:r>
      <w:r>
        <w:rPr>
          <w:sz w:val="24"/>
        </w:rPr>
        <w:t>low by recent historical standards.</w:t>
      </w:r>
    </w:p>
    <w:p>
      <w:pPr>
        <w:spacing w:after="0" w:line="242" w:lineRule="auto"/>
        <w:jc w:val="both"/>
        <w:rPr>
          <w:sz w:val="24"/>
        </w:rPr>
        <w:sectPr>
          <w:type w:val="continuous"/>
          <w:pgSz w:w="11900" w:h="16840"/>
          <w:pgMar w:top="1220" w:bottom="280" w:left="620" w:right="640"/>
          <w:cols w:num="3" w:equalWidth="0">
            <w:col w:w="2895" w:space="57"/>
            <w:col w:w="1002" w:space="831"/>
            <w:col w:w="5855"/>
          </w:cols>
        </w:sectPr>
      </w:pPr>
    </w:p>
    <w:p>
      <w:pPr>
        <w:tabs>
          <w:tab w:pos="432" w:val="left" w:leader="none"/>
          <w:tab w:pos="872" w:val="left" w:leader="none"/>
          <w:tab w:pos="1319" w:val="left" w:leader="none"/>
          <w:tab w:pos="1772" w:val="left" w:leader="none"/>
          <w:tab w:pos="2669" w:val="left" w:leader="none"/>
        </w:tabs>
        <w:spacing w:before="71"/>
        <w:ind w:left="0" w:right="7135" w:firstLine="0"/>
        <w:jc w:val="right"/>
        <w:rPr>
          <w:sz w:val="12"/>
        </w:rPr>
      </w:pPr>
      <w:r>
        <w:rPr>
          <w:color w:val="231F20"/>
          <w:sz w:val="12"/>
        </w:rPr>
        <w:t>Jan.</w:t>
        <w:tab/>
        <w:t>Mar.</w:t>
        <w:tab/>
        <w:t>May</w:t>
        <w:tab/>
        <w:t>July</w:t>
        <w:tab/>
        <w:t>Sept.     </w:t>
      </w:r>
      <w:r>
        <w:rPr>
          <w:color w:val="231F20"/>
          <w:spacing w:val="6"/>
          <w:sz w:val="12"/>
        </w:rPr>
        <w:t> </w:t>
      </w:r>
      <w:r>
        <w:rPr>
          <w:color w:val="231F20"/>
          <w:sz w:val="12"/>
        </w:rPr>
        <w:t>Nov.</w:t>
        <w:tab/>
        <w:t>Jan.</w:t>
      </w:r>
    </w:p>
    <w:p>
      <w:pPr>
        <w:tabs>
          <w:tab w:pos="1562" w:val="left" w:leader="none"/>
        </w:tabs>
        <w:spacing w:before="59"/>
        <w:ind w:left="0" w:right="7085" w:firstLine="0"/>
        <w:jc w:val="right"/>
        <w:rPr>
          <w:sz w:val="12"/>
        </w:rPr>
      </w:pPr>
      <w:r>
        <w:rPr>
          <w:color w:val="231F20"/>
          <w:sz w:val="12"/>
        </w:rPr>
        <w:t>1999</w:t>
        <w:tab/>
        <w:t>2000</w:t>
      </w:r>
    </w:p>
    <w:p>
      <w:pPr>
        <w:spacing w:before="88"/>
        <w:ind w:left="200" w:right="0" w:firstLine="0"/>
        <w:jc w:val="left"/>
        <w:rPr>
          <w:sz w:val="12"/>
        </w:rPr>
      </w:pPr>
      <w:r>
        <w:rPr>
          <w:sz w:val="12"/>
        </w:rPr>
        <w:t>Source: Bank of England.</w:t>
      </w:r>
    </w:p>
    <w:p>
      <w:pPr>
        <w:pStyle w:val="BodyText"/>
        <w:rPr>
          <w:sz w:val="12"/>
        </w:rPr>
      </w:pPr>
    </w:p>
    <w:p>
      <w:pPr>
        <w:pStyle w:val="BodyText"/>
        <w:spacing w:before="11"/>
        <w:rPr>
          <w:sz w:val="9"/>
        </w:rPr>
      </w:pPr>
    </w:p>
    <w:p>
      <w:pPr>
        <w:pStyle w:val="Heading9"/>
        <w:spacing w:before="0"/>
      </w:pPr>
      <w:r>
        <w:rPr>
          <w:color w:val="0093C1"/>
        </w:rPr>
        <w:t>Chart 1.19</w:t>
      </w:r>
    </w:p>
    <w:p>
      <w:pPr>
        <w:spacing w:line="249" w:lineRule="auto" w:before="10"/>
        <w:ind w:left="190" w:right="7213" w:firstLine="0"/>
        <w:jc w:val="left"/>
        <w:rPr>
          <w:sz w:val="12"/>
        </w:rPr>
      </w:pPr>
      <w:r>
        <w:rPr>
          <w:b/>
          <w:color w:val="0093C1"/>
          <w:sz w:val="20"/>
        </w:rPr>
        <w:t>Consensus survey for the real sterling exchange rate vs M6 currencies</w:t>
      </w:r>
      <w:r>
        <w:rPr>
          <w:position w:val="4"/>
          <w:sz w:val="12"/>
        </w:rPr>
        <w:t>(a)</w:t>
      </w:r>
    </w:p>
    <w:p>
      <w:pPr>
        <w:spacing w:before="53"/>
        <w:ind w:left="2718" w:right="0" w:firstLine="0"/>
        <w:jc w:val="left"/>
        <w:rPr>
          <w:sz w:val="12"/>
        </w:rPr>
      </w:pPr>
      <w:r>
        <w:rPr/>
        <w:pict>
          <v:line style="position:absolute;mso-position-horizontal-relative:page;mso-position-vertical-relative:paragraph;z-index:15862272" from="50.545002pt,10.611643pt" to="46.212002pt,10.611643pt" stroked="true" strokeweight=".5pt" strokecolor="#000000">
            <v:stroke dashstyle="solid"/>
            <w10:wrap type="none"/>
          </v:line>
        </w:pict>
      </w:r>
      <w:r>
        <w:rPr/>
        <w:pict>
          <v:line style="position:absolute;mso-position-horizontal-relative:page;mso-position-vertical-relative:paragraph;z-index:-22278656" from="206.333pt,10.479643pt" to="202pt,10.479643pt" stroked="true" strokeweight=".5pt" strokecolor="#000000">
            <v:stroke dashstyle="solid"/>
            <w10:wrap type="none"/>
          </v:line>
        </w:pict>
      </w:r>
      <w:r>
        <w:rPr>
          <w:sz w:val="12"/>
        </w:rPr>
        <w:t>Feb. 1996 = 100</w:t>
      </w:r>
      <w:r>
        <w:rPr>
          <w:spacing w:val="13"/>
          <w:sz w:val="12"/>
        </w:rPr>
        <w:t> </w:t>
      </w:r>
      <w:r>
        <w:rPr>
          <w:position w:val="-7"/>
          <w:sz w:val="12"/>
        </w:rPr>
        <w:t>130</w:t>
      </w:r>
    </w:p>
    <w:p>
      <w:pPr>
        <w:pStyle w:val="BodyText"/>
        <w:spacing w:before="6"/>
        <w:rPr>
          <w:sz w:val="21"/>
        </w:rPr>
      </w:pPr>
    </w:p>
    <w:p>
      <w:pPr>
        <w:spacing w:before="95"/>
        <w:ind w:left="528" w:right="3887" w:firstLine="0"/>
        <w:jc w:val="center"/>
        <w:rPr>
          <w:sz w:val="12"/>
        </w:rPr>
      </w:pPr>
      <w:r>
        <w:rPr/>
        <w:pict>
          <v:group style="position:absolute;margin-left:81.25pt;margin-top:-4.215097pt;width:125.1pt;height:97.8pt;mso-position-horizontal-relative:page;mso-position-vertical-relative:paragraph;z-index:15861760" coordorigin="1625,-84" coordsize="2502,1956">
            <v:shape style="position:absolute;left:1635;top:143;width:1753;height:1718" coordorigin="1635,144" coordsize="1753,1718" path="m1635,341l1678,144m1678,144l1955,741m1955,741l2245,1049m2245,1049l2533,1771m2533,1771l2823,1861m2823,1861l3110,1754m3110,1754l3388,1699e" filled="false" stroked="true" strokeweight="1pt" strokecolor="#0066a5">
              <v:path arrowok="t"/>
              <v:stroke dashstyle="solid"/>
            </v:shape>
            <v:shape style="position:absolute;left:2180;top:-39;width:643;height:615" coordorigin="2180,-39" coordsize="643,615" path="m2180,-39l2245,106m2245,106l2533,396m2533,396l2823,576e" filled="false" stroked="true" strokeweight="1pt" strokecolor="#ed1b2d">
              <v:path arrowok="t"/>
              <v:stroke dashstyle="solid"/>
            </v:shape>
            <v:line style="position:absolute" from="2813,586" to="3120,586" stroked="true" strokeweight="2pt" strokecolor="#ed1b2d">
              <v:stroke dashstyle="solid"/>
            </v:line>
            <v:shape style="position:absolute;left:3110;top:503;width:855;height:128" coordorigin="3110,504" coordsize="855,128" path="m3110,596l3388,559m3388,559l3678,631m3678,631l3965,504e" filled="false" stroked="true" strokeweight="1pt" strokecolor="#ed1b2d">
              <v:path arrowok="t"/>
              <v:stroke dashstyle="solid"/>
            </v:shape>
            <v:shape style="position:absolute;left:1892;top:468;width:1785;height:633" coordorigin="1893,469" coordsize="1785,633" path="m1893,504l1955,469m1955,469l2245,794m2245,794l2533,1011m2533,1011l2823,1101m2823,1101l3110,904m3110,904l3388,866m3388,866l3678,686e" filled="false" stroked="true" strokeweight="1pt" strokecolor="#f89f6d">
              <v:path arrowok="t"/>
              <v:stroke dashstyle="solid"/>
            </v:shape>
            <v:shape style="position:absolute;left:4040;top:175;width:87;height:1454" coordorigin="4040,175" coordsize="87,1454" path="m4127,659l4040,659m4127,1628l4040,1628m4127,175l4040,175m4127,1144l4040,1144e" filled="false" stroked="true" strokeweight=".5pt" strokecolor="#000000">
              <v:path arrowok="t"/>
              <v:stroke dashstyle="solid"/>
            </v:shape>
            <v:shape style="position:absolute;left:2277;top:-85;width:374;height:133" type="#_x0000_t202" filled="false" stroked="false">
              <v:textbox inset="0,0,0,0">
                <w:txbxContent>
                  <w:p>
                    <w:pPr>
                      <w:spacing w:line="133" w:lineRule="exact" w:before="0"/>
                      <w:ind w:left="0" w:right="0" w:firstLine="0"/>
                      <w:jc w:val="left"/>
                      <w:rPr>
                        <w:sz w:val="12"/>
                      </w:rPr>
                    </w:pPr>
                    <w:r>
                      <w:rPr>
                        <w:sz w:val="12"/>
                      </w:rPr>
                      <w:t>Oct. 99</w:t>
                    </w:r>
                  </w:p>
                </w:txbxContent>
              </v:textbox>
              <w10:wrap type="none"/>
            </v:shape>
            <v:shape style="position:absolute;left:2259;top:664;width:374;height:133" type="#_x0000_t202" filled="false" stroked="false">
              <v:textbox inset="0,0,0,0">
                <w:txbxContent>
                  <w:p>
                    <w:pPr>
                      <w:spacing w:line="133" w:lineRule="exact" w:before="0"/>
                      <w:ind w:left="0" w:right="0" w:firstLine="0"/>
                      <w:jc w:val="left"/>
                      <w:rPr>
                        <w:sz w:val="12"/>
                      </w:rPr>
                    </w:pPr>
                    <w:r>
                      <w:rPr>
                        <w:sz w:val="12"/>
                      </w:rPr>
                      <w:t>Oct. 98</w:t>
                    </w:r>
                  </w:p>
                </w:txbxContent>
              </v:textbox>
              <w10:wrap type="none"/>
            </v:shape>
            <v:shape style="position:absolute;left:1868;top:1109;width:407;height:133" type="#_x0000_t202" filled="false" stroked="false">
              <v:textbox inset="0,0,0,0">
                <w:txbxContent>
                  <w:p>
                    <w:pPr>
                      <w:spacing w:line="133" w:lineRule="exact" w:before="0"/>
                      <w:ind w:left="0" w:right="0" w:firstLine="0"/>
                      <w:jc w:val="left"/>
                      <w:rPr>
                        <w:sz w:val="12"/>
                      </w:rPr>
                    </w:pPr>
                    <w:r>
                      <w:rPr>
                        <w:sz w:val="12"/>
                      </w:rPr>
                      <w:t>Nov. 97</w:t>
                    </w:r>
                  </w:p>
                </w:txbxContent>
              </v:textbox>
              <w10:wrap type="none"/>
            </v:shape>
            <w10:wrap type="none"/>
          </v:group>
        </w:pict>
      </w:r>
      <w:r>
        <w:rPr/>
        <w:pict>
          <v:line style="position:absolute;mso-position-horizontal-relative:page;mso-position-vertical-relative:paragraph;z-index:15864320" from="50.545002pt,8.884556pt" to="46.212002pt,8.884556pt" stroked="true" strokeweight=".5pt" strokecolor="#000000">
            <v:stroke dashstyle="solid"/>
            <w10:wrap type="none"/>
          </v:line>
        </w:pict>
      </w:r>
      <w:r>
        <w:rPr>
          <w:sz w:val="12"/>
        </w:rPr>
        <w:t>125</w:t>
      </w:r>
    </w:p>
    <w:p>
      <w:pPr>
        <w:pStyle w:val="BodyText"/>
        <w:spacing w:before="11"/>
        <w:rPr>
          <w:sz w:val="21"/>
        </w:rPr>
      </w:pPr>
    </w:p>
    <w:p>
      <w:pPr>
        <w:spacing w:before="95"/>
        <w:ind w:left="528" w:right="3887" w:firstLine="0"/>
        <w:jc w:val="center"/>
        <w:rPr>
          <w:sz w:val="12"/>
        </w:rPr>
      </w:pPr>
      <w:r>
        <w:rPr/>
        <w:pict>
          <v:line style="position:absolute;mso-position-horizontal-relative:page;mso-position-vertical-relative:paragraph;z-index:15862784" from="50.545002pt,8.835957pt" to="46.212002pt,8.835957pt" stroked="true" strokeweight=".5pt" strokecolor="#000000">
            <v:stroke dashstyle="solid"/>
            <w10:wrap type="none"/>
          </v:line>
        </w:pict>
      </w:r>
      <w:r>
        <w:rPr>
          <w:sz w:val="12"/>
        </w:rPr>
        <w:t>120</w:t>
      </w:r>
    </w:p>
    <w:p>
      <w:pPr>
        <w:pStyle w:val="BodyText"/>
        <w:spacing w:before="11"/>
        <w:rPr>
          <w:sz w:val="21"/>
        </w:rPr>
      </w:pPr>
    </w:p>
    <w:p>
      <w:pPr>
        <w:spacing w:before="95"/>
        <w:ind w:left="528" w:right="3887" w:firstLine="0"/>
        <w:jc w:val="center"/>
        <w:rPr>
          <w:sz w:val="12"/>
        </w:rPr>
      </w:pPr>
      <w:r>
        <w:rPr/>
        <w:pict>
          <v:line style="position:absolute;mso-position-horizontal-relative:page;mso-position-vertical-relative:paragraph;z-index:15864832" from="50.545002pt,8.788357pt" to="46.212002pt,8.788357pt" stroked="true" strokeweight=".5pt" strokecolor="#000000">
            <v:stroke dashstyle="solid"/>
            <w10:wrap type="none"/>
          </v:line>
        </w:pict>
      </w:r>
      <w:r>
        <w:rPr>
          <w:sz w:val="12"/>
        </w:rPr>
        <w:t>115</w:t>
      </w:r>
    </w:p>
    <w:p>
      <w:pPr>
        <w:pStyle w:val="BodyText"/>
        <w:spacing w:before="11"/>
        <w:rPr>
          <w:sz w:val="21"/>
        </w:rPr>
      </w:pPr>
    </w:p>
    <w:p>
      <w:pPr>
        <w:spacing w:before="95"/>
        <w:ind w:left="528" w:right="3887" w:firstLine="0"/>
        <w:jc w:val="center"/>
        <w:rPr>
          <w:sz w:val="12"/>
        </w:rPr>
      </w:pPr>
      <w:r>
        <w:rPr/>
        <w:pict>
          <v:line style="position:absolute;mso-position-horizontal-relative:page;mso-position-vertical-relative:paragraph;z-index:15863296" from="50.545002pt,8.739758pt" to="46.212002pt,8.739758pt" stroked="true" strokeweight=".5pt" strokecolor="#000000">
            <v:stroke dashstyle="solid"/>
            <w10:wrap type="none"/>
          </v:line>
        </w:pict>
      </w:r>
      <w:r>
        <w:rPr>
          <w:sz w:val="12"/>
        </w:rPr>
        <w:t>110</w:t>
      </w:r>
    </w:p>
    <w:p>
      <w:pPr>
        <w:pStyle w:val="BodyText"/>
        <w:spacing w:before="11"/>
        <w:rPr>
          <w:sz w:val="21"/>
        </w:rPr>
      </w:pPr>
    </w:p>
    <w:p>
      <w:pPr>
        <w:spacing w:before="95" w:after="13"/>
        <w:ind w:left="528" w:right="3887" w:firstLine="0"/>
        <w:jc w:val="center"/>
        <w:rPr>
          <w:sz w:val="12"/>
        </w:rPr>
      </w:pPr>
      <w:r>
        <w:rPr/>
        <w:pict>
          <v:line style="position:absolute;mso-position-horizontal-relative:page;mso-position-vertical-relative:paragraph;z-index:15865344" from="50.545002pt,8.691158pt" to="46.212002pt,8.691158pt" stroked="true" strokeweight=".5pt" strokecolor="#000000">
            <v:stroke dashstyle="solid"/>
            <w10:wrap type="none"/>
          </v:line>
        </w:pict>
      </w:r>
      <w:r>
        <w:rPr/>
        <w:pict>
          <v:line style="position:absolute;mso-position-horizontal-relative:page;mso-position-vertical-relative:paragraph;z-index:15866880" from="206.333pt,8.559158pt" to="202pt,8.559158pt" stroked="true" strokeweight=".5pt" strokecolor="#000000">
            <v:stroke dashstyle="solid"/>
            <w10:wrap type="none"/>
          </v:line>
        </w:pict>
      </w:r>
      <w:r>
        <w:rPr>
          <w:sz w:val="12"/>
        </w:rPr>
        <w:t>105</w:t>
      </w:r>
    </w:p>
    <w:p>
      <w:pPr>
        <w:pStyle w:val="BodyText"/>
        <w:ind w:left="600"/>
        <w:rPr>
          <w:sz w:val="20"/>
        </w:rPr>
      </w:pPr>
      <w:r>
        <w:rPr>
          <w:sz w:val="20"/>
        </w:rPr>
        <w:pict>
          <v:group style="width:95pt;height:13.65pt;mso-position-horizontal-relative:char;mso-position-vertical-relative:line" coordorigin="0,0" coordsize="1900,273">
            <v:line style="position:absolute" from="170,190" to="458,262" stroked="true" strokeweight="1pt" strokecolor="#40ad49">
              <v:stroke dashstyle="solid"/>
            </v:line>
            <v:line style="position:absolute" from="448,254" to="745,254" stroked="true" strokeweight="1.875pt" strokecolor="#40ad49">
              <v:stroke dashstyle="solid"/>
            </v:line>
            <v:shape style="position:absolute;left:735;top:10;width:868;height:235" coordorigin="735,10" coordsize="868,235" path="m735,245l1025,117m1025,117l1313,65m1313,65l1603,10e" filled="false" stroked="true" strokeweight="1pt" strokecolor="#40ad49">
              <v:path arrowok="t"/>
              <v:stroke dashstyle="solid"/>
            </v:shape>
            <v:line style="position:absolute" from="1593,19" to="1900,19" stroked="true" strokeweight="1.875pt" strokecolor="#40ad49">
              <v:stroke dashstyle="solid"/>
            </v:line>
            <v:shape style="position:absolute;left:0;top:0;width:1900;height:273" type="#_x0000_t202" filled="false" stroked="false">
              <v:textbox inset="0,0,0,0">
                <w:txbxContent>
                  <w:p>
                    <w:pPr>
                      <w:tabs>
                        <w:tab w:pos="484" w:val="left" w:leader="none"/>
                      </w:tabs>
                      <w:spacing w:before="42"/>
                      <w:ind w:left="0" w:right="0" w:firstLine="0"/>
                      <w:jc w:val="left"/>
                      <w:rPr>
                        <w:sz w:val="12"/>
                      </w:rPr>
                    </w:pPr>
                    <w:r>
                      <w:rPr>
                        <w:sz w:val="12"/>
                        <w:u w:val="thick" w:color="40AD49"/>
                      </w:rPr>
                      <w:t>      </w:t>
                    </w:r>
                    <w:r>
                      <w:rPr>
                        <w:sz w:val="12"/>
                      </w:rPr>
                      <w:tab/>
                      <w:t>June 96</w:t>
                    </w:r>
                  </w:p>
                </w:txbxContent>
              </v:textbox>
              <w10:wrap type="none"/>
            </v:shape>
          </v:group>
        </w:pict>
      </w:r>
      <w:r>
        <w:rPr>
          <w:sz w:val="20"/>
        </w:rPr>
      </w:r>
    </w:p>
    <w:p>
      <w:pPr>
        <w:spacing w:line="134" w:lineRule="exact" w:before="20"/>
        <w:ind w:left="528" w:right="3887" w:firstLine="0"/>
        <w:jc w:val="center"/>
        <w:rPr>
          <w:sz w:val="12"/>
        </w:rPr>
      </w:pPr>
      <w:r>
        <w:rPr/>
        <w:pict>
          <v:line style="position:absolute;mso-position-horizontal-relative:page;mso-position-vertical-relative:paragraph;z-index:15863808" from="50.545002pt,4.892559pt" to="46.212002pt,4.892559pt" stroked="true" strokeweight=".5pt" strokecolor="#000000">
            <v:stroke dashstyle="solid"/>
            <w10:wrap type="none"/>
          </v:line>
        </w:pict>
      </w:r>
      <w:r>
        <w:rPr/>
        <w:pict>
          <v:shape style="position:absolute;margin-left:55.308998pt;margin-top:2.205559pt;width:151.050pt;height:2.7pt;mso-position-horizontal-relative:page;mso-position-vertical-relative:paragraph;z-index:15865856" coordorigin="1106,44" coordsize="3021,54" path="m1109,98l3967,98m1106,44l1106,97m1678,44l1678,97m2536,44l2536,97m3109,44l3109,97m1392,44l1392,97m1964,44l1964,97m3395,44l3395,97m3681,44l3681,97m2250,44l2250,97m3967,44l3967,97m2822,44l2822,97m4127,95l4040,95e" filled="false" stroked="true" strokeweight=".5pt" strokecolor="#000000">
            <v:path arrowok="t"/>
            <v:stroke dashstyle="solid"/>
            <w10:wrap type="none"/>
          </v:shape>
        </w:pict>
      </w:r>
      <w:r>
        <w:rPr>
          <w:sz w:val="12"/>
        </w:rPr>
        <w:t>100</w:t>
      </w:r>
    </w:p>
    <w:p>
      <w:pPr>
        <w:tabs>
          <w:tab w:pos="650" w:val="left" w:leader="none"/>
          <w:tab w:pos="1162" w:val="left" w:leader="none"/>
          <w:tab w:pos="1793" w:val="left" w:leader="none"/>
          <w:tab w:pos="2390" w:val="left" w:leader="none"/>
        </w:tabs>
        <w:spacing w:line="134" w:lineRule="exact" w:before="0"/>
        <w:ind w:left="0" w:right="7138" w:firstLine="0"/>
        <w:jc w:val="center"/>
        <w:rPr>
          <w:sz w:val="12"/>
        </w:rPr>
      </w:pPr>
      <w:r>
        <w:rPr>
          <w:sz w:val="12"/>
        </w:rPr>
        <w:t>1996</w:t>
        <w:tab/>
        <w:t>98</w:t>
        <w:tab/>
        <w:t>2000</w:t>
        <w:tab/>
        <w:t>02</w:t>
        <w:tab/>
        <w:t>04</w:t>
      </w:r>
    </w:p>
    <w:p>
      <w:pPr>
        <w:pStyle w:val="BodyText"/>
        <w:spacing w:before="3"/>
        <w:rPr>
          <w:sz w:val="16"/>
        </w:rPr>
      </w:pPr>
    </w:p>
    <w:p>
      <w:pPr>
        <w:spacing w:line="208" w:lineRule="auto" w:before="0"/>
        <w:ind w:left="520" w:right="6758" w:hanging="330"/>
        <w:jc w:val="left"/>
        <w:rPr>
          <w:sz w:val="12"/>
        </w:rPr>
      </w:pPr>
      <w:r>
        <w:rPr>
          <w:sz w:val="12"/>
        </w:rPr>
        <w:t>Note: The M6 countries are: Canada, France, Germany, Italy, Japan and the United States.</w:t>
      </w:r>
    </w:p>
    <w:p>
      <w:pPr>
        <w:spacing w:before="106"/>
        <w:ind w:left="190" w:right="0" w:firstLine="0"/>
        <w:jc w:val="left"/>
        <w:rPr>
          <w:sz w:val="12"/>
        </w:rPr>
      </w:pPr>
      <w:r>
        <w:rPr>
          <w:sz w:val="12"/>
        </w:rPr>
        <w:t>Source: Consensus Economics.</w:t>
      </w:r>
    </w:p>
    <w:p>
      <w:pPr>
        <w:pStyle w:val="BodyText"/>
        <w:spacing w:before="1"/>
        <w:rPr>
          <w:sz w:val="10"/>
        </w:rPr>
      </w:pPr>
    </w:p>
    <w:p>
      <w:pPr>
        <w:spacing w:line="208" w:lineRule="auto" w:before="0"/>
        <w:ind w:left="430" w:right="6758" w:hanging="240"/>
        <w:jc w:val="left"/>
        <w:rPr>
          <w:sz w:val="12"/>
        </w:rPr>
      </w:pPr>
      <w:r>
        <w:rPr>
          <w:sz w:val="12"/>
        </w:rPr>
        <w:t>(a) Derived from a combination of nominal exchange rate and consumer price inflation forecasts for the major six economies.</w:t>
      </w:r>
    </w:p>
    <w:p>
      <w:pPr>
        <w:spacing w:after="0" w:line="208" w:lineRule="auto"/>
        <w:jc w:val="left"/>
        <w:rPr>
          <w:sz w:val="12"/>
        </w:rPr>
        <w:sectPr>
          <w:type w:val="continuous"/>
          <w:pgSz w:w="11900" w:h="16840"/>
          <w:pgMar w:top="1220" w:bottom="280" w:left="620" w:right="640"/>
        </w:sectPr>
      </w:pPr>
    </w:p>
    <w:p>
      <w:pPr>
        <w:pStyle w:val="BodyText"/>
        <w:spacing w:line="20" w:lineRule="exact"/>
        <w:ind w:left="14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39.540001pt;margin-top:12.000977pt;width:516pt;height:48pt;mso-position-horizontal-relative:page;mso-position-vertical-relative:paragraph;z-index:-15586304;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Demand and output" w:id="30"/>
                  <w:bookmarkEnd w:id="30"/>
                  <w:r>
                    <w:rPr/>
                  </w:r>
                  <w:bookmarkStart w:name="External demand" w:id="31"/>
                  <w:bookmarkEnd w:id="31"/>
                  <w:r>
                    <w:rPr/>
                  </w:r>
                  <w:bookmarkStart w:name="_bookmark11" w:id="32"/>
                  <w:bookmarkEnd w:id="32"/>
                  <w:r>
                    <w:rPr/>
                  </w:r>
                  <w:r>
                    <w:rPr>
                      <w:b/>
                      <w:color w:val="009391"/>
                      <w:sz w:val="48"/>
                    </w:rPr>
                    <w:t>Demand</w:t>
                  </w:r>
                  <w:r>
                    <w:rPr>
                      <w:b/>
                      <w:color w:val="009391"/>
                      <w:spacing w:val="-2"/>
                      <w:sz w:val="48"/>
                    </w:rPr>
                    <w:t> </w:t>
                  </w:r>
                  <w:r>
                    <w:rPr>
                      <w:b/>
                      <w:color w:val="009391"/>
                      <w:sz w:val="48"/>
                    </w:rPr>
                    <w:t>and</w:t>
                  </w:r>
                  <w:r>
                    <w:rPr>
                      <w:b/>
                      <w:color w:val="009391"/>
                      <w:spacing w:val="-1"/>
                      <w:sz w:val="48"/>
                    </w:rPr>
                    <w:t> </w:t>
                  </w:r>
                  <w:r>
                    <w:rPr>
                      <w:b/>
                      <w:color w:val="009391"/>
                      <w:sz w:val="48"/>
                    </w:rPr>
                    <w:t>output</w:t>
                    <w:tab/>
                  </w:r>
                  <w:r>
                    <w:rPr>
                      <w:b/>
                      <w:color w:val="009391"/>
                      <w:sz w:val="72"/>
                    </w:rPr>
                    <w:t>2</w:t>
                  </w:r>
                </w:p>
              </w:txbxContent>
            </v:textbox>
            <v:fill type="solid"/>
            <w10:wrap type="topAndBottom"/>
          </v:shape>
        </w:pict>
      </w:r>
    </w:p>
    <w:p>
      <w:pPr>
        <w:pStyle w:val="BodyText"/>
        <w:rPr>
          <w:sz w:val="20"/>
        </w:rPr>
      </w:pPr>
    </w:p>
    <w:p>
      <w:pPr>
        <w:pStyle w:val="BodyText"/>
        <w:rPr>
          <w:sz w:val="20"/>
        </w:rPr>
      </w:pPr>
    </w:p>
    <w:p>
      <w:pPr>
        <w:spacing w:after="0"/>
        <w:rPr>
          <w:sz w:val="20"/>
        </w:rPr>
        <w:sectPr>
          <w:headerReference w:type="even" r:id="rId61"/>
          <w:pgSz w:w="11900" w:h="16840"/>
          <w:pgMar w:header="0" w:footer="597" w:top="780" w:bottom="800" w:left="62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20"/>
        </w:rPr>
      </w:pPr>
    </w:p>
    <w:p>
      <w:pPr>
        <w:pStyle w:val="Heading9"/>
        <w:spacing w:before="0"/>
        <w:ind w:left="189"/>
      </w:pPr>
      <w:r>
        <w:rPr>
          <w:color w:val="0092C7"/>
        </w:rPr>
        <w:t>Chart 2.1</w:t>
      </w:r>
    </w:p>
    <w:p>
      <w:pPr>
        <w:spacing w:before="10"/>
        <w:ind w:left="189" w:right="0" w:firstLine="0"/>
        <w:jc w:val="left"/>
        <w:rPr>
          <w:b/>
          <w:sz w:val="20"/>
        </w:rPr>
      </w:pPr>
      <w:r>
        <w:rPr>
          <w:b/>
          <w:color w:val="0092C7"/>
          <w:sz w:val="20"/>
        </w:rPr>
        <w:t>Growth of UK exports and export markets</w:t>
      </w:r>
    </w:p>
    <w:p>
      <w:pPr>
        <w:spacing w:before="152"/>
        <w:ind w:left="1703" w:right="0" w:firstLine="0"/>
        <w:jc w:val="left"/>
        <w:rPr>
          <w:sz w:val="12"/>
        </w:rPr>
      </w:pPr>
      <w:r>
        <w:rPr/>
        <w:pict>
          <v:group style="position:absolute;margin-left:50.325001pt;margin-top:22.970898pt;width:152.5pt;height:137.5pt;mso-position-horizontal-relative:page;mso-position-vertical-relative:paragraph;z-index:15876096" coordorigin="1007,459" coordsize="3050,2750">
            <v:line style="position:absolute" from="1019,2492" to="3892,2492" stroked="true" strokeweight=".5pt" strokecolor="#000000">
              <v:stroke dashstyle="solid"/>
            </v:line>
            <v:shape style="position:absolute;left:1016;top:496;width:2130;height:2070" coordorigin="1017,497" coordsize="2130,2070" path="m1017,1137l1092,1004m1092,1004l1152,1362m1152,1362l1224,1287m1224,1287l1297,1332m1297,1332l1359,1479m1359,1479l1432,1509m1432,1509l1504,1777m1504,1777l1564,1867m1564,1867l1639,1882m1639,1882l1699,1659m1699,1659l1772,1674m1772,1674l1844,1509m1844,1509l1907,1687m1907,1687l1979,1999m1979,1999l2052,2104m2052,2104l2112,2567m2112,2567l2187,2507m2187,2507l2259,2224m2259,2224l2319,1972m2319,1972l2392,1434m2392,1434l2464,1077m2464,1077l2527,869m2527,869l2599,557m2599,557l2659,497m2659,497l2734,602m2734,602l2807,929m2807,929l2867,1317m2867,1317l2939,1347m2939,1347l3012,1599m3012,1599l3074,1419m3074,1419l3147,1182e" filled="false" stroked="true" strokeweight="1pt" strokecolor="#008360">
              <v:path arrowok="t"/>
              <v:stroke dashstyle="solid"/>
            </v:shape>
            <v:line style="position:absolute" from="3137,1183" to="3229,1183" stroked="true" strokeweight="1.125pt" strokecolor="#008360">
              <v:stroke dashstyle="solid"/>
            </v:line>
            <v:shape style="position:absolute;left:3219;top:586;width:683;height:1548" coordorigin="3219,587" coordsize="683,1548" path="m3219,1182l3279,662m3279,662l3354,587m3354,587l3427,677m3427,677l3487,779m3487,779l3559,1302m3559,1302l3622,1674m3622,1674l3694,1957m3694,1957l3767,2134m3767,2134l3827,1629m3827,1629l3902,1287e" filled="false" stroked="true" strokeweight="1pt" strokecolor="#008360">
              <v:path arrowok="t"/>
              <v:stroke dashstyle="solid"/>
            </v:shape>
            <v:shape style="position:absolute;left:1016;top:496;width:1995;height:2560" coordorigin="1017,497" coordsize="1995,2560" path="m1017,1464l1092,2194m1092,2194l1152,1807m1152,1807l1224,959m1224,959l1297,1539m1297,1539l1359,1212m1359,1212l1432,1747m1432,1747l1504,1897m1504,1897l1564,3057m1564,3057l1639,2357m1639,2357l1699,2089m1699,2089l1772,2567m1772,2567l1844,1464m1844,1464l1907,1807m1907,1807l1979,2134m1979,2134l2052,1539m2052,1539l2112,1524m2112,1524l2187,2179m2187,2179l2259,1674m2259,1674l2319,1717m2319,1717l2392,1317m2392,1317l2464,764m2464,764l2527,692m2527,692l2599,497m2599,497l2659,527m2659,527l2734,944m2734,944l2807,677m2807,677l2867,929m2867,929l2939,1287m2939,1287l3012,899e" filled="false" stroked="true" strokeweight="1pt" strokecolor="#f6bd61">
              <v:path arrowok="t"/>
              <v:stroke dashstyle="solid"/>
            </v:shape>
            <v:shape style="position:absolute;left:3001;top:754;width:435;height:528" type="#_x0000_t75" stroked="false">
              <v:imagedata r:id="rId62" o:title=""/>
            </v:shape>
            <v:shape style="position:absolute;left:3426;top:1136;width:475;height:1473" coordorigin="3427,1137" coordsize="475,1473" path="m3427,1137l3487,1659m3487,1659l3559,1852m3559,1852l3622,2149m3622,2149l3694,2507m3694,2507l3767,2609m3767,2609l3827,2402m3827,2402l3902,1374e" filled="false" stroked="true" strokeweight="1pt" strokecolor="#f6bd61">
              <v:path arrowok="t"/>
              <v:stroke dashstyle="solid"/>
            </v:shape>
            <v:shape style="position:absolute;left:1025;top:680;width:3031;height:2524" coordorigin="1025,681" coordsize="3031,2524" path="m1028,3204l3892,3204m1025,3150l1025,3203m1573,3150l1573,3203m2396,3150l2396,3203m2944,3150l2944,3203m1299,3090l1299,3203m1848,3150l1848,3203m3218,3150l3218,3203m3492,3150l3492,3203m2122,3150l2122,3203m3767,3150l3767,3203m2670,3090l2670,3203m4056,681l3969,681m4056,1041l3969,1041m4056,1762l3969,1762m4056,2483l3969,2483m4056,3204l3969,3204m4056,1402l3969,1402m4056,2123l3969,2123m4056,2844l3969,2844e" filled="false" stroked="true" strokeweight=".5pt" strokecolor="#000000">
              <v:path arrowok="t"/>
              <v:stroke dashstyle="solid"/>
            </v:shape>
            <v:shape style="position:absolute;left:3023;top:459;width:920;height:134" type="#_x0000_t202" filled="false" stroked="false">
              <v:textbox inset="0,0,0,0">
                <w:txbxContent>
                  <w:p>
                    <w:pPr>
                      <w:spacing w:line="133" w:lineRule="exact" w:before="0"/>
                      <w:ind w:left="0" w:right="0" w:firstLine="0"/>
                      <w:jc w:val="left"/>
                      <w:rPr>
                        <w:sz w:val="12"/>
                      </w:rPr>
                    </w:pPr>
                    <w:r>
                      <w:rPr>
                        <w:sz w:val="12"/>
                      </w:rPr>
                      <w:t>Export markets (a)</w:t>
                    </w:r>
                  </w:p>
                </w:txbxContent>
              </v:textbox>
              <w10:wrap type="none"/>
            </v:shape>
            <v:shape style="position:absolute;left:1640;top:2761;width:954;height:254" type="#_x0000_t202" filled="false" stroked="false">
              <v:textbox inset="0,0,0,0">
                <w:txbxContent>
                  <w:p>
                    <w:pPr>
                      <w:spacing w:line="208" w:lineRule="auto" w:before="9"/>
                      <w:ind w:left="60" w:right="0" w:hanging="60"/>
                      <w:jc w:val="left"/>
                      <w:rPr>
                        <w:sz w:val="12"/>
                      </w:rPr>
                    </w:pPr>
                    <w:r>
                      <w:rPr>
                        <w:sz w:val="12"/>
                      </w:rPr>
                      <w:t>Goods and services export volumes</w:t>
                    </w:r>
                  </w:p>
                </w:txbxContent>
              </v:textbox>
              <w10:wrap type="none"/>
            </v:shape>
            <w10:wrap type="none"/>
          </v:group>
        </w:pict>
      </w:r>
      <w:r>
        <w:rPr/>
        <w:pict>
          <v:line style="position:absolute;mso-position-horizontal-relative:page;mso-position-vertical-relative:paragraph;z-index:15876608" from="46.358002pt,16.026623pt" to="42.025002pt,16.026623pt" stroked="true" strokeweight=".5pt" strokecolor="#000000">
            <v:stroke dashstyle="solid"/>
            <w10:wrap type="none"/>
          </v:line>
        </w:pict>
      </w:r>
      <w:r>
        <w:rPr/>
        <w:pict>
          <v:line style="position:absolute;mso-position-horizontal-relative:page;mso-position-vertical-relative:paragraph;z-index:-22263808" from="202.782997pt,16.020624pt" to="198.449997pt,16.020624pt" stroked="true" strokeweight=".5pt" strokecolor="#000000">
            <v:stroke dashstyle="solid"/>
            <w10:wrap type="none"/>
          </v:line>
        </w:pict>
      </w:r>
      <w:r>
        <w:rPr>
          <w:sz w:val="12"/>
        </w:rPr>
        <w:t>Percentage changes on a year</w:t>
      </w:r>
      <w:r>
        <w:rPr>
          <w:spacing w:val="6"/>
          <w:sz w:val="12"/>
        </w:rPr>
        <w:t> </w:t>
      </w:r>
      <w:r>
        <w:rPr>
          <w:sz w:val="12"/>
        </w:rPr>
        <w:t>earlier</w:t>
      </w:r>
      <w:r>
        <w:rPr>
          <w:position w:val="-7"/>
          <w:sz w:val="12"/>
        </w:rPr>
        <w:t>12</w:t>
      </w:r>
    </w:p>
    <w:p>
      <w:pPr>
        <w:pStyle w:val="BodyText"/>
        <w:spacing w:before="6"/>
        <w:rPr>
          <w:sz w:val="19"/>
        </w:rPr>
      </w:pPr>
    </w:p>
    <w:p>
      <w:pPr>
        <w:spacing w:before="0"/>
        <w:ind w:left="3459" w:right="0" w:firstLine="0"/>
        <w:jc w:val="left"/>
        <w:rPr>
          <w:sz w:val="12"/>
        </w:rPr>
      </w:pPr>
      <w:r>
        <w:rPr/>
        <w:pict>
          <v:line style="position:absolute;mso-position-horizontal-relative:page;mso-position-vertical-relative:paragraph;z-index:15877120" from="46.358002pt,4.361146pt" to="42.025002pt,4.361146pt" stroked="true" strokeweight=".5pt" strokecolor="#000000">
            <v:stroke dashstyle="solid"/>
            <w10:wrap type="none"/>
          </v:line>
        </w:pict>
      </w:r>
      <w:r>
        <w:rPr>
          <w:sz w:val="12"/>
        </w:rPr>
        <w:t>10</w:t>
      </w:r>
    </w:p>
    <w:p>
      <w:pPr>
        <w:pStyle w:val="BodyText"/>
        <w:rPr>
          <w:sz w:val="12"/>
        </w:rPr>
      </w:pPr>
    </w:p>
    <w:p>
      <w:pPr>
        <w:spacing w:before="85"/>
        <w:ind w:left="3519" w:right="0" w:firstLine="0"/>
        <w:jc w:val="left"/>
        <w:rPr>
          <w:sz w:val="12"/>
        </w:rPr>
      </w:pPr>
      <w:r>
        <w:rPr/>
        <w:pict>
          <v:line style="position:absolute;mso-position-horizontal-relative:page;mso-position-vertical-relative:paragraph;z-index:15877632" from="46.358002pt,8.589362pt" to="42.025002pt,8.589362pt" stroked="true" strokeweight=".5pt" strokecolor="#000000">
            <v:stroke dashstyle="solid"/>
            <w10:wrap type="none"/>
          </v:line>
        </w:pict>
      </w:r>
      <w:r>
        <w:rPr>
          <w:sz w:val="12"/>
        </w:rPr>
        <w:t>8</w:t>
      </w:r>
    </w:p>
    <w:p>
      <w:pPr>
        <w:pStyle w:val="Heading6"/>
        <w:spacing w:line="242" w:lineRule="auto" w:before="207"/>
        <w:ind w:left="188" w:right="195"/>
      </w:pPr>
      <w:r>
        <w:rPr/>
        <w:br w:type="column"/>
      </w:r>
      <w:r>
        <w:rPr/>
        <w:t>Output growth strengthened in the second half of 1999. GDP rose by 0.8% in both the third and fourth quarters of the year, broadly in line with the projections in the November </w:t>
      </w:r>
      <w:r>
        <w:rPr>
          <w:i/>
        </w:rPr>
        <w:t>Report</w:t>
      </w:r>
      <w:r>
        <w:rPr/>
        <w:t>. In terms of demand components, there was particularly strong growth in Q3 in</w:t>
      </w:r>
    </w:p>
    <w:p>
      <w:pPr>
        <w:spacing w:line="242" w:lineRule="auto" w:before="7"/>
        <w:ind w:left="188" w:right="195" w:firstLine="0"/>
        <w:jc w:val="left"/>
        <w:rPr>
          <w:sz w:val="24"/>
        </w:rPr>
      </w:pPr>
      <w:r>
        <w:rPr>
          <w:sz w:val="24"/>
        </w:rPr>
        <w:t>non-vehicle consumption, exports and imports. By contrast, investment demand continued to slow, though that may have reflected temporary factors. The balance of growth across different sectors of the economy has improved somewhat, as the pace of expansion has quickened in manufacturing and construction. And the outlook for overseas demand growth has strengthened since November, reflecting developments both in industrialised economies and in the emerging markets.</w:t>
      </w:r>
    </w:p>
    <w:p>
      <w:pPr>
        <w:spacing w:after="0" w:line="242" w:lineRule="auto"/>
        <w:jc w:val="left"/>
        <w:rPr>
          <w:sz w:val="24"/>
        </w:rPr>
        <w:sectPr>
          <w:type w:val="continuous"/>
          <w:pgSz w:w="11900" w:h="16840"/>
          <w:pgMar w:top="1220" w:bottom="280" w:left="620" w:right="640"/>
          <w:cols w:num="2" w:equalWidth="0">
            <w:col w:w="3873" w:space="925"/>
            <w:col w:w="5842"/>
          </w:cols>
        </w:sectPr>
      </w:pPr>
    </w:p>
    <w:p>
      <w:pPr>
        <w:pStyle w:val="BodyText"/>
        <w:spacing w:before="3"/>
        <w:rPr>
          <w:sz w:val="16"/>
        </w:rPr>
      </w:pPr>
    </w:p>
    <w:p>
      <w:pPr>
        <w:spacing w:before="1"/>
        <w:ind w:left="0" w:right="372" w:firstLine="0"/>
        <w:jc w:val="right"/>
        <w:rPr>
          <w:sz w:val="12"/>
        </w:rPr>
      </w:pPr>
      <w:r>
        <w:rPr/>
        <w:pict>
          <v:line style="position:absolute;mso-position-horizontal-relative:page;mso-position-vertical-relative:paragraph;z-index:15879680" from="46.358002pt,4.366549pt" to="42.025002pt,4.366549pt" stroked="true" strokeweight=".5pt" strokecolor="#000000">
            <v:stroke dashstyle="solid"/>
            <w10:wrap type="none"/>
          </v:line>
        </w:pict>
      </w:r>
      <w:r>
        <w:rPr>
          <w:sz w:val="12"/>
        </w:rPr>
        <w:t>6</w:t>
      </w:r>
    </w:p>
    <w:p>
      <w:pPr>
        <w:pStyle w:val="BodyText"/>
        <w:rPr>
          <w:sz w:val="12"/>
        </w:rPr>
      </w:pPr>
    </w:p>
    <w:p>
      <w:pPr>
        <w:spacing w:before="85"/>
        <w:ind w:left="0" w:right="372" w:firstLine="0"/>
        <w:jc w:val="right"/>
        <w:rPr>
          <w:sz w:val="12"/>
        </w:rPr>
      </w:pPr>
      <w:r>
        <w:rPr/>
        <w:pict>
          <v:line style="position:absolute;mso-position-horizontal-relative:page;mso-position-vertical-relative:paragraph;z-index:15878144" from="46.358002pt,8.544765pt" to="42.025002pt,8.544765pt" stroked="true" strokeweight=".5pt" strokecolor="#000000">
            <v:stroke dashstyle="solid"/>
            <w10:wrap type="none"/>
          </v:line>
        </w:pict>
      </w:r>
      <w:r>
        <w:rPr>
          <w:sz w:val="12"/>
        </w:rPr>
        <w:t>4</w:t>
      </w:r>
    </w:p>
    <w:p>
      <w:pPr>
        <w:pStyle w:val="BodyText"/>
        <w:rPr>
          <w:sz w:val="12"/>
        </w:rPr>
      </w:pPr>
    </w:p>
    <w:p>
      <w:pPr>
        <w:spacing w:before="84"/>
        <w:ind w:left="0" w:right="372" w:firstLine="0"/>
        <w:jc w:val="right"/>
        <w:rPr>
          <w:sz w:val="12"/>
        </w:rPr>
      </w:pPr>
      <w:r>
        <w:rPr/>
        <w:pict>
          <v:line style="position:absolute;mso-position-horizontal-relative:page;mso-position-vertical-relative:paragraph;z-index:15880192" from="46.358002pt,8.471951pt" to="42.025002pt,8.471951pt" stroked="true" strokeweight=".5pt" strokecolor="#000000">
            <v:stroke dashstyle="solid"/>
            <w10:wrap type="none"/>
          </v:line>
        </w:pict>
      </w:r>
      <w:r>
        <w:rPr>
          <w:sz w:val="12"/>
        </w:rPr>
        <w:t>2</w:t>
      </w:r>
    </w:p>
    <w:p>
      <w:pPr>
        <w:spacing w:before="40"/>
        <w:ind w:left="3439" w:right="0" w:firstLine="0"/>
        <w:jc w:val="left"/>
        <w:rPr>
          <w:sz w:val="16"/>
        </w:rPr>
      </w:pPr>
      <w:r>
        <w:rPr>
          <w:sz w:val="16"/>
        </w:rPr>
        <w:t>+</w:t>
      </w:r>
    </w:p>
    <w:p>
      <w:pPr>
        <w:spacing w:line="127" w:lineRule="exact" w:before="0"/>
        <w:ind w:left="3519" w:right="0" w:firstLine="0"/>
        <w:jc w:val="left"/>
        <w:rPr>
          <w:sz w:val="12"/>
        </w:rPr>
      </w:pPr>
      <w:r>
        <w:rPr/>
        <w:pict>
          <v:line style="position:absolute;mso-position-horizontal-relative:page;mso-position-vertical-relative:paragraph;z-index:15878656" from="46.358002pt,4.241531pt" to="42.025002pt,4.241531pt" stroked="true" strokeweight=".5pt" strokecolor="#000000">
            <v:stroke dashstyle="solid"/>
            <w10:wrap type="none"/>
          </v:line>
        </w:pict>
      </w:r>
      <w:r>
        <w:rPr>
          <w:sz w:val="12"/>
        </w:rPr>
        <w:t>0</w:t>
      </w:r>
    </w:p>
    <w:p>
      <w:pPr>
        <w:spacing w:line="173" w:lineRule="exact" w:before="0"/>
        <w:ind w:left="3459" w:right="0" w:firstLine="0"/>
        <w:jc w:val="left"/>
        <w:rPr>
          <w:sz w:val="16"/>
        </w:rPr>
      </w:pPr>
      <w:r>
        <w:rPr>
          <w:sz w:val="16"/>
        </w:rPr>
        <w:t>–</w:t>
      </w:r>
    </w:p>
    <w:p>
      <w:pPr>
        <w:spacing w:before="60"/>
        <w:ind w:left="0" w:right="372" w:firstLine="0"/>
        <w:jc w:val="right"/>
        <w:rPr>
          <w:sz w:val="12"/>
        </w:rPr>
      </w:pPr>
      <w:r>
        <w:rPr/>
        <w:pict>
          <v:line style="position:absolute;mso-position-horizontal-relative:page;mso-position-vertical-relative:paragraph;z-index:15880704" from="46.358002pt,7.227354pt" to="42.025002pt,7.227354pt" stroked="true" strokeweight=".5pt" strokecolor="#000000">
            <v:stroke dashstyle="solid"/>
            <w10:wrap type="none"/>
          </v:line>
        </w:pict>
      </w:r>
      <w:r>
        <w:rPr>
          <w:sz w:val="12"/>
        </w:rPr>
        <w:t>2</w:t>
      </w:r>
    </w:p>
    <w:p>
      <w:pPr>
        <w:pStyle w:val="BodyText"/>
        <w:rPr>
          <w:sz w:val="12"/>
        </w:rPr>
      </w:pPr>
    </w:p>
    <w:p>
      <w:pPr>
        <w:spacing w:line="121" w:lineRule="exact" w:before="85"/>
        <w:ind w:left="3519" w:right="0" w:firstLine="0"/>
        <w:jc w:val="left"/>
        <w:rPr>
          <w:sz w:val="12"/>
        </w:rPr>
      </w:pPr>
      <w:r>
        <w:rPr/>
        <w:pict>
          <v:line style="position:absolute;mso-position-horizontal-relative:page;mso-position-vertical-relative:paragraph;z-index:15879168" from="46.358002pt,8.45557pt" to="42.025002pt,8.45557pt" stroked="true" strokeweight=".5pt" strokecolor="#000000">
            <v:stroke dashstyle="solid"/>
            <w10:wrap type="none"/>
          </v:line>
        </w:pict>
      </w:r>
      <w:r>
        <w:rPr>
          <w:sz w:val="12"/>
        </w:rPr>
        <w:t>4</w:t>
      </w:r>
    </w:p>
    <w:p>
      <w:pPr>
        <w:tabs>
          <w:tab w:pos="1033" w:val="left" w:leader="none"/>
          <w:tab w:pos="1585" w:val="left" w:leader="none"/>
          <w:tab w:pos="2137" w:val="left" w:leader="none"/>
          <w:tab w:pos="2688" w:val="left" w:leader="none"/>
          <w:tab w:pos="3156" w:val="left" w:leader="none"/>
        </w:tabs>
        <w:spacing w:line="121" w:lineRule="exact" w:before="0"/>
        <w:ind w:left="413" w:right="0" w:firstLine="0"/>
        <w:jc w:val="left"/>
        <w:rPr>
          <w:sz w:val="12"/>
        </w:rPr>
      </w:pPr>
      <w:r>
        <w:rPr>
          <w:sz w:val="12"/>
        </w:rPr>
        <w:t>1989</w:t>
        <w:tab/>
        <w:t>91</w:t>
        <w:tab/>
        <w:t>93</w:t>
        <w:tab/>
        <w:t>95</w:t>
        <w:tab/>
        <w:t>97</w:t>
        <w:tab/>
        <w:t>99</w:t>
      </w:r>
    </w:p>
    <w:p>
      <w:pPr>
        <w:pStyle w:val="BodyText"/>
        <w:spacing w:before="6"/>
        <w:rPr>
          <w:sz w:val="13"/>
        </w:rPr>
      </w:pPr>
    </w:p>
    <w:p>
      <w:pPr>
        <w:spacing w:before="1"/>
        <w:ind w:left="189" w:right="0" w:firstLine="0"/>
        <w:jc w:val="left"/>
        <w:rPr>
          <w:sz w:val="12"/>
        </w:rPr>
      </w:pPr>
      <w:r>
        <w:rPr>
          <w:sz w:val="12"/>
        </w:rPr>
        <w:t>Sources: ONS, NIESR and Bank of England.</w:t>
      </w:r>
    </w:p>
    <w:p>
      <w:pPr>
        <w:pStyle w:val="BodyText"/>
        <w:spacing w:before="1"/>
        <w:rPr>
          <w:sz w:val="10"/>
        </w:rPr>
      </w:pPr>
    </w:p>
    <w:p>
      <w:pPr>
        <w:spacing w:line="208" w:lineRule="auto" w:before="0"/>
        <w:ind w:left="429" w:right="2" w:hanging="240"/>
        <w:jc w:val="left"/>
        <w:rPr>
          <w:sz w:val="12"/>
        </w:rPr>
      </w:pPr>
      <w:r>
        <w:rPr>
          <w:sz w:val="12"/>
        </w:rPr>
        <w:t>(a) The UK export market is defined as the volume of goods and services imported by the rest of the world, weighted by each country’s share in UK trade. Recent values for imports by the emerging market economies were derived from local trade data by the Bank of England.</w:t>
      </w:r>
    </w:p>
    <w:p>
      <w:pPr>
        <w:pStyle w:val="BodyText"/>
        <w:rPr>
          <w:sz w:val="12"/>
        </w:rPr>
      </w:pPr>
    </w:p>
    <w:p>
      <w:pPr>
        <w:pStyle w:val="BodyText"/>
        <w:rPr>
          <w:sz w:val="12"/>
        </w:rPr>
      </w:pPr>
    </w:p>
    <w:p>
      <w:pPr>
        <w:pStyle w:val="Heading9"/>
        <w:spacing w:before="91"/>
        <w:ind w:left="196"/>
      </w:pPr>
      <w:r>
        <w:rPr>
          <w:color w:val="0092C7"/>
        </w:rPr>
        <w:t>Chart 2.2</w:t>
      </w:r>
    </w:p>
    <w:p>
      <w:pPr>
        <w:spacing w:line="249" w:lineRule="auto" w:before="10"/>
        <w:ind w:left="196" w:right="305" w:firstLine="0"/>
        <w:jc w:val="left"/>
        <w:rPr>
          <w:sz w:val="12"/>
        </w:rPr>
      </w:pPr>
      <w:r>
        <w:rPr>
          <w:b/>
          <w:color w:val="0092C7"/>
          <w:sz w:val="20"/>
        </w:rPr>
        <w:t>Volumes of UK goods exports to EU and non-EU countries</w:t>
      </w:r>
      <w:r>
        <w:rPr>
          <w:position w:val="4"/>
          <w:sz w:val="12"/>
        </w:rPr>
        <w:t>(a)</w:t>
      </w:r>
    </w:p>
    <w:p>
      <w:pPr>
        <w:spacing w:line="107" w:lineRule="exact" w:before="185"/>
        <w:ind w:left="0" w:right="498" w:firstLine="0"/>
        <w:jc w:val="right"/>
        <w:rPr>
          <w:sz w:val="12"/>
        </w:rPr>
      </w:pPr>
      <w:r>
        <w:rPr>
          <w:sz w:val="12"/>
        </w:rPr>
        <w:t>1995 = 100</w:t>
      </w:r>
    </w:p>
    <w:p>
      <w:pPr>
        <w:pStyle w:val="Heading3"/>
        <w:numPr>
          <w:ilvl w:val="1"/>
          <w:numId w:val="9"/>
        </w:numPr>
        <w:tabs>
          <w:tab w:pos="3396" w:val="left" w:leader="none"/>
          <w:tab w:pos="3397" w:val="left" w:leader="none"/>
        </w:tabs>
        <w:spacing w:line="240" w:lineRule="auto" w:before="254" w:after="0"/>
        <w:ind w:left="3396" w:right="0" w:hanging="3209"/>
        <w:jc w:val="left"/>
        <w:rPr>
          <w:color w:val="009391"/>
        </w:rPr>
      </w:pPr>
      <w:r>
        <w:rPr>
          <w:color w:val="009391"/>
          <w:spacing w:val="-1"/>
        </w:rPr>
        <w:br w:type="column"/>
      </w:r>
      <w:r>
        <w:rPr>
          <w:color w:val="009391"/>
        </w:rPr>
        <w:t>External</w:t>
      </w:r>
      <w:r>
        <w:rPr>
          <w:color w:val="009391"/>
          <w:spacing w:val="-4"/>
        </w:rPr>
        <w:t> </w:t>
      </w:r>
      <w:r>
        <w:rPr>
          <w:color w:val="009391"/>
        </w:rPr>
        <w:t>demand</w:t>
      </w:r>
    </w:p>
    <w:p>
      <w:pPr>
        <w:pStyle w:val="BodyText"/>
        <w:spacing w:line="40" w:lineRule="exact"/>
        <w:ind w:left="169"/>
        <w:rPr>
          <w:sz w:val="4"/>
        </w:rPr>
      </w:pPr>
      <w:r>
        <w:rPr>
          <w:position w:val="0"/>
          <w:sz w:val="4"/>
        </w:rPr>
        <w:pict>
          <v:group style="width:275.150pt;height:2pt;mso-position-horizontal-relative:char;mso-position-vertical-relative:line" coordorigin="0,0" coordsize="5503,40">
            <v:line style="position:absolute" from="0,20" to="5503,20" stroked="true" strokeweight="2pt" strokecolor="#0092c7">
              <v:stroke dashstyle="solid"/>
            </v:line>
          </v:group>
        </w:pict>
      </w:r>
      <w:r>
        <w:rPr>
          <w:position w:val="0"/>
          <w:sz w:val="4"/>
        </w:rPr>
      </w:r>
    </w:p>
    <w:p>
      <w:pPr>
        <w:pStyle w:val="Heading6"/>
        <w:spacing w:line="242" w:lineRule="auto" w:before="235"/>
        <w:ind w:left="188" w:right="165"/>
      </w:pPr>
      <w:r>
        <w:rPr/>
        <w:t>The outlook for growth in UK export markets has strengthened since the November </w:t>
      </w:r>
      <w:r>
        <w:rPr>
          <w:i/>
        </w:rPr>
        <w:t>Report</w:t>
      </w:r>
      <w:r>
        <w:rPr/>
        <w:t>.</w:t>
      </w:r>
      <w:r>
        <w:rPr>
          <w:position w:val="5"/>
          <w:sz w:val="16"/>
        </w:rPr>
        <w:t>(1) </w:t>
      </w:r>
      <w:r>
        <w:rPr/>
        <w:t>The pace of expansion in the United States has remained remarkably robust, with GDP growth of 1.4% in both the third and fourth quarters of 1999. In addition, recent revisions to estimated productivity growth suggest that the trend output growth rate in the United States may be higher than previously thought. Demand growth in the euro area strengthened during 1999, and GDP rose by 1.0% </w:t>
      </w:r>
      <w:r>
        <w:rPr>
          <w:spacing w:val="-9"/>
        </w:rPr>
        <w:t>in </w:t>
      </w:r>
      <w:r>
        <w:rPr/>
        <w:t>the third quarter of the </w:t>
      </w:r>
      <w:r>
        <w:rPr>
          <w:spacing w:val="-4"/>
        </w:rPr>
        <w:t>year. </w:t>
      </w:r>
      <w:r>
        <w:rPr/>
        <w:t>The outlook for continued growth in the region is supported by euro-area consumer and industrial confidence, which remain at high</w:t>
      </w:r>
      <w:r>
        <w:rPr>
          <w:spacing w:val="-38"/>
        </w:rPr>
        <w:t> </w:t>
      </w:r>
      <w:r>
        <w:rPr/>
        <w:t>levels.</w:t>
      </w:r>
    </w:p>
    <w:p>
      <w:pPr>
        <w:spacing w:before="15"/>
        <w:ind w:left="189" w:right="0" w:firstLine="0"/>
        <w:jc w:val="left"/>
        <w:rPr>
          <w:sz w:val="24"/>
        </w:rPr>
      </w:pPr>
      <w:r>
        <w:rPr>
          <w:sz w:val="24"/>
        </w:rPr>
        <w:t>Prospects for growth in Japan are broadly unchanged</w:t>
      </w:r>
    </w:p>
    <w:p>
      <w:pPr>
        <w:spacing w:after="0"/>
        <w:jc w:val="left"/>
        <w:rPr>
          <w:sz w:val="24"/>
        </w:rPr>
        <w:sectPr>
          <w:type w:val="continuous"/>
          <w:pgSz w:w="11900" w:h="16840"/>
          <w:pgMar w:top="1220" w:bottom="280" w:left="620" w:right="640"/>
          <w:cols w:num="2" w:equalWidth="0">
            <w:col w:w="3954" w:space="844"/>
            <w:col w:w="5842"/>
          </w:cols>
        </w:sectPr>
      </w:pPr>
    </w:p>
    <w:p>
      <w:pPr>
        <w:pStyle w:val="BodyText"/>
        <w:spacing w:before="2"/>
        <w:rPr>
          <w:sz w:val="5"/>
        </w:rPr>
      </w:pPr>
    </w:p>
    <w:p>
      <w:pPr>
        <w:pStyle w:val="BodyText"/>
        <w:spacing w:line="20" w:lineRule="exact"/>
        <w:ind w:left="247"/>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rPr>
          <w:sz w:val="20"/>
        </w:rPr>
      </w:pPr>
    </w:p>
    <w:p>
      <w:pPr>
        <w:pStyle w:val="BodyText"/>
        <w:spacing w:before="8"/>
        <w:rPr>
          <w:sz w:val="17"/>
        </w:rPr>
      </w:pPr>
      <w:r>
        <w:rPr/>
        <w:pict>
          <v:shape style="position:absolute;margin-left:43.609001pt;margin-top:12.393483pt;width:4.350pt;height:.1pt;mso-position-horizontal-relative:page;mso-position-vertical-relative:paragraph;z-index:-15584768;mso-wrap-distance-left:0;mso-wrap-distance-right:0" coordorigin="872,248" coordsize="87,0" path="m959,248l872,248e" filled="false" stroked="true" strokeweight=".5pt" strokecolor="#000000">
            <v:path arrowok="t"/>
            <v:stroke dashstyle="solid"/>
            <w10:wrap type="topAndBottom"/>
          </v:shape>
        </w:pict>
      </w:r>
    </w:p>
    <w:p>
      <w:pPr>
        <w:pStyle w:val="BodyText"/>
        <w:rPr>
          <w:sz w:val="20"/>
        </w:rPr>
      </w:pPr>
    </w:p>
    <w:p>
      <w:pPr>
        <w:pStyle w:val="BodyText"/>
        <w:rPr>
          <w:sz w:val="20"/>
        </w:rPr>
      </w:pPr>
    </w:p>
    <w:p>
      <w:pPr>
        <w:pStyle w:val="BodyText"/>
        <w:spacing w:before="11"/>
        <w:rPr>
          <w:sz w:val="15"/>
        </w:rPr>
      </w:pPr>
      <w:r>
        <w:rPr/>
        <w:pict>
          <v:shape style="position:absolute;margin-left:43.609001pt;margin-top:11.394953pt;width:4.350pt;height:.1pt;mso-position-horizontal-relative:page;mso-position-vertical-relative:paragraph;z-index:-15584256;mso-wrap-distance-left:0;mso-wrap-distance-right:0" coordorigin="872,228" coordsize="87,0" path="m959,228l872,228e" filled="false" stroked="true" strokeweight=".5pt" strokecolor="#000000">
            <v:path arrowok="t"/>
            <v:stroke dashstyle="solid"/>
            <w10:wrap type="topAndBottom"/>
          </v:shape>
        </w:pict>
      </w:r>
    </w:p>
    <w:p>
      <w:pPr>
        <w:pStyle w:val="BodyText"/>
        <w:rPr>
          <w:sz w:val="20"/>
        </w:rPr>
      </w:pPr>
    </w:p>
    <w:p>
      <w:pPr>
        <w:pStyle w:val="BodyText"/>
        <w:rPr>
          <w:sz w:val="20"/>
        </w:rPr>
      </w:pPr>
    </w:p>
    <w:p>
      <w:pPr>
        <w:pStyle w:val="BodyText"/>
        <w:spacing w:before="11"/>
        <w:rPr>
          <w:sz w:val="15"/>
        </w:rPr>
      </w:pPr>
      <w:r>
        <w:rPr/>
        <w:pict>
          <v:shape style="position:absolute;margin-left:43.609001pt;margin-top:11.393953pt;width:4.350pt;height:.1pt;mso-position-horizontal-relative:page;mso-position-vertical-relative:paragraph;z-index:-15583744;mso-wrap-distance-left:0;mso-wrap-distance-right:0" coordorigin="872,228" coordsize="87,0" path="m959,228l872,228e" filled="false" stroked="true" strokeweight=".5pt" strokecolor="#000000">
            <v:path arrowok="t"/>
            <v:stroke dashstyle="solid"/>
            <w10:wrap type="topAndBottom"/>
          </v:shape>
        </w:pict>
      </w:r>
    </w:p>
    <w:p>
      <w:pPr>
        <w:pStyle w:val="BodyText"/>
        <w:rPr>
          <w:sz w:val="20"/>
        </w:rPr>
      </w:pPr>
    </w:p>
    <w:p>
      <w:pPr>
        <w:pStyle w:val="BodyText"/>
        <w:rPr>
          <w:sz w:val="20"/>
        </w:rPr>
      </w:pPr>
    </w:p>
    <w:p>
      <w:pPr>
        <w:pStyle w:val="BodyText"/>
        <w:spacing w:before="11"/>
        <w:rPr>
          <w:sz w:val="15"/>
        </w:rPr>
      </w:pPr>
      <w:r>
        <w:rPr/>
        <w:pict>
          <v:shape style="position:absolute;margin-left:43.609001pt;margin-top:11.394953pt;width:4.350pt;height:.1pt;mso-position-horizontal-relative:page;mso-position-vertical-relative:paragraph;z-index:-15583232;mso-wrap-distance-left:0;mso-wrap-distance-right:0" coordorigin="872,228" coordsize="87,0" path="m959,228l872,228e" filled="false" stroked="true" strokeweight=".5pt" strokecolor="#000000">
            <v:path arrowok="t"/>
            <v:stroke dashstyle="solid"/>
            <w10:wrap type="topAndBottom"/>
          </v:shape>
        </w:pict>
      </w:r>
    </w:p>
    <w:p>
      <w:pPr>
        <w:tabs>
          <w:tab w:pos="1875" w:val="left" w:leader="none"/>
          <w:tab w:pos="2847" w:val="left" w:leader="none"/>
        </w:tabs>
        <w:spacing w:before="14"/>
        <w:ind w:left="743" w:right="0" w:firstLine="0"/>
        <w:jc w:val="left"/>
        <w:rPr>
          <w:sz w:val="12"/>
        </w:rPr>
      </w:pPr>
      <w:r>
        <w:rPr>
          <w:sz w:val="12"/>
        </w:rPr>
        <w:t>1997</w:t>
        <w:tab/>
        <w:t>98</w:t>
        <w:tab/>
        <w:t>99</w:t>
      </w:r>
    </w:p>
    <w:p>
      <w:pPr>
        <w:spacing w:before="52"/>
        <w:ind w:left="194" w:right="0" w:firstLine="0"/>
        <w:jc w:val="left"/>
        <w:rPr>
          <w:sz w:val="12"/>
        </w:rPr>
      </w:pPr>
      <w:r>
        <w:rPr>
          <w:sz w:val="12"/>
        </w:rPr>
        <w:t>(a) Excluding oil and erratic components.</w:t>
      </w:r>
    </w:p>
    <w:p>
      <w:pPr>
        <w:spacing w:before="2"/>
        <w:ind w:left="194" w:right="0" w:firstLine="0"/>
        <w:jc w:val="left"/>
        <w:rPr>
          <w:sz w:val="12"/>
        </w:rPr>
      </w:pPr>
      <w:r>
        <w:rPr/>
        <w:br w:type="column"/>
      </w:r>
      <w:r>
        <w:rPr>
          <w:sz w:val="12"/>
        </w:rPr>
        <w:t>140</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194" w:right="0" w:firstLine="0"/>
        <w:jc w:val="left"/>
        <w:rPr>
          <w:sz w:val="12"/>
        </w:rPr>
      </w:pPr>
      <w:r>
        <w:rPr/>
        <w:pict>
          <v:group style="position:absolute;margin-left:51.493pt;margin-top:-9.106438pt;width:152.2pt;height:120.9pt;mso-position-horizontal-relative:page;mso-position-vertical-relative:paragraph;z-index:15882752" coordorigin="1030,-182" coordsize="3044,2418">
            <v:shape style="position:absolute;left:1042;top:457;width:250;height:1183" coordorigin="1042,458" coordsize="250,1183" path="m1042,458l1127,1143m1127,1143l1210,1640m1210,1640l1292,705e" filled="false" stroked="true" strokeweight="1pt" strokecolor="#008360">
              <v:path arrowok="t"/>
              <v:stroke dashstyle="solid"/>
            </v:shape>
            <v:shape style="position:absolute;left:1282;top:695;width:508;height:403" type="#_x0000_t75" stroked="false">
              <v:imagedata r:id="rId63" o:title=""/>
            </v:shape>
            <v:shape style="position:absolute;left:1779;top:552;width:250;height:725" coordorigin="1780,553" coordsize="250,725" path="m1780,763l1865,1278m1865,1278l1947,553m1947,553l2030,1030e" filled="false" stroked="true" strokeweight="1pt" strokecolor="#008360">
              <v:path arrowok="t"/>
              <v:stroke dashstyle="solid"/>
            </v:shape>
            <v:shape style="position:absolute;left:2019;top:1020;width:593;height:400" type="#_x0000_t75" stroked="false">
              <v:imagedata r:id="rId64" o:title=""/>
            </v:shape>
            <v:shape style="position:absolute;left:2602;top:-40;width:1320;height:2158" coordorigin="2602,-40" coordsize="1320,2158" path="m2602,1295l2685,1755m2685,1755l2767,1545m2767,1545l2852,1525m2852,1525l2935,1545m2935,1545l3017,2118m3017,2118l3102,1488m3102,1488l3185,915m3185,915l3267,1525m3267,1525l3350,1410m3350,1410l3435,1295m3435,1295l3505,1143m3505,1143l3590,-40m3590,-40l3672,438m3672,438l3755,1183m3755,1183l3840,628m3840,628l3922,953e" filled="false" stroked="true" strokeweight="1pt" strokecolor="#008360">
              <v:path arrowok="t"/>
              <v:stroke dashstyle="solid"/>
            </v:shape>
            <v:shape style="position:absolute;left:1042;top:437;width:1405;height:1145" coordorigin="1042,438" coordsize="1405,1145" path="m1042,1258l1127,1450m1127,1450l1210,1583m1210,1583l1292,1088m1292,1088l1377,1525m1377,1525l1460,1048m1460,1048l1532,1088m1532,1088l1615,1240m1615,1240l1697,1125m1697,1125l1780,895m1780,895l1865,1143m1865,1143l1947,725m1947,725l2030,838m2030,838l2115,570m2115,570l2197,610m2197,610l2280,668m2280,668l2365,438m2365,438l2447,515e" filled="false" stroked="true" strokeweight="1pt" strokecolor="#de0035">
              <v:path arrowok="t"/>
              <v:stroke dashstyle="solid"/>
            </v:shape>
            <v:line style="position:absolute" from="2437,517" to="2527,517" stroked="true" strokeweight="1.125pt" strokecolor="#de0035">
              <v:stroke dashstyle="solid"/>
            </v:line>
            <v:shape style="position:absolute;left:2517;top:247;width:335;height:268" coordorigin="2517,248" coordsize="335,268" path="m2517,515l2602,248m2602,248l2685,495m2685,495l2767,515m2767,515l2852,305e" filled="false" stroked="true" strokeweight="1pt" strokecolor="#de0035">
              <v:path arrowok="t"/>
              <v:stroke dashstyle="solid"/>
            </v:shape>
            <v:line style="position:absolute" from="2842,307" to="2945,307" stroked="true" strokeweight="1.125pt" strokecolor="#de0035">
              <v:stroke dashstyle="solid"/>
            </v:line>
            <v:shape style="position:absolute;left:2934;top:-173;width:905;height:935" coordorigin="2935,-172" coordsize="905,935" path="m2935,305l3017,648m3017,648l3102,743m3102,743l3185,763m3185,763l3267,610m3267,610l3350,495m3350,495l3435,380m3435,380l3505,228m3505,228l3590,-172m3590,-172l3672,-115m3672,-115l3755,38m3755,38l3840,95e" filled="false" stroked="true" strokeweight="1pt" strokecolor="#de0035">
              <v:path arrowok="t"/>
              <v:stroke dashstyle="solid"/>
            </v:shape>
            <v:shape style="position:absolute;left:1034;top:65;width:3039;height:2166" coordorigin="1034,65" coordsize="3039,2166" path="m1034,2230l3923,2230m1035,2150l1035,2227m1280,2180l1280,2227m1115,2180l1115,2227m1198,2180l1198,2227m1528,2180l1528,2227m1363,2180l1363,2227m1445,2180l1445,2227m1858,2180l1858,2227m1693,2180l1693,2227m1776,2180l1776,2227m1941,2180l1941,2227m2024,2150l2024,2227m1611,2180l1611,2227m4073,65l3986,65m4073,787l3986,787m4073,2231l3986,2231m4073,1509l3986,1509m2271,2180l2271,2227m2106,2180l2106,2227m2189,2180l2189,2227m2519,2180l2519,2227m2354,2180l2354,2227m2436,2180l2436,2227m2849,2180l2849,2227m2684,2180l2684,2227m2767,2180l2767,2227m2932,2180l2932,2227m3015,2150l3015,2227m2602,2180l2602,2227m3262,2180l3262,2227m3097,2180l3097,2227m3180,2180l3180,2227m3510,2180l3510,2227m3345,2180l3345,2227m3428,2180l3428,2227m3840,2180l3840,2227m3675,2180l3675,2227m3758,2180l3758,2227m3923,2180l3923,2227m3593,2180l3593,2227e" filled="false" stroked="true" strokeweight=".5pt" strokecolor="#000000">
              <v:path arrowok="t"/>
              <v:stroke dashstyle="solid"/>
            </v:shape>
            <v:shape style="position:absolute;left:2232;top:258;width:180;height:133" type="#_x0000_t202" filled="false" stroked="false">
              <v:textbox inset="0,0,0,0">
                <w:txbxContent>
                  <w:p>
                    <w:pPr>
                      <w:spacing w:line="133" w:lineRule="exact" w:before="0"/>
                      <w:ind w:left="0" w:right="0" w:firstLine="0"/>
                      <w:jc w:val="left"/>
                      <w:rPr>
                        <w:sz w:val="12"/>
                      </w:rPr>
                    </w:pPr>
                    <w:r>
                      <w:rPr>
                        <w:sz w:val="12"/>
                      </w:rPr>
                      <w:t>EU</w:t>
                    </w:r>
                  </w:p>
                </w:txbxContent>
              </v:textbox>
              <w10:wrap type="none"/>
            </v:shape>
            <v:shape style="position:absolute;left:2159;top:1445;width:427;height:133" type="#_x0000_t202" filled="false" stroked="false">
              <v:textbox inset="0,0,0,0">
                <w:txbxContent>
                  <w:p>
                    <w:pPr>
                      <w:spacing w:line="133" w:lineRule="exact" w:before="0"/>
                      <w:ind w:left="0" w:right="0" w:firstLine="0"/>
                      <w:jc w:val="left"/>
                      <w:rPr>
                        <w:sz w:val="12"/>
                      </w:rPr>
                    </w:pPr>
                    <w:r>
                      <w:rPr>
                        <w:sz w:val="12"/>
                      </w:rPr>
                      <w:t>Non-EU</w:t>
                    </w:r>
                  </w:p>
                </w:txbxContent>
              </v:textbox>
              <w10:wrap type="none"/>
            </v:shape>
            <w10:wrap type="none"/>
          </v:group>
        </w:pict>
      </w:r>
      <w:r>
        <w:rPr/>
        <w:pict>
          <v:line style="position:absolute;mso-position-horizontal-relative:page;mso-position-vertical-relative:paragraph;z-index:15883264" from="203.653007pt,-32.833439pt" to="199.320007pt,-32.833439pt" stroked="true" strokeweight=".5pt" strokecolor="#000000">
            <v:stroke dashstyle="solid"/>
            <w10:wrap type="none"/>
          </v:line>
        </w:pict>
      </w:r>
      <w:r>
        <w:rPr>
          <w:sz w:val="12"/>
        </w:rPr>
        <w:t>130</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194" w:right="0" w:firstLine="0"/>
        <w:jc w:val="left"/>
        <w:rPr>
          <w:sz w:val="12"/>
        </w:rPr>
      </w:pPr>
      <w:r>
        <w:rPr>
          <w:sz w:val="12"/>
        </w:rPr>
        <w:t>120</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1"/>
        <w:ind w:left="194" w:right="0" w:firstLine="0"/>
        <w:jc w:val="left"/>
        <w:rPr>
          <w:sz w:val="12"/>
        </w:rPr>
      </w:pPr>
      <w:r>
        <w:rPr>
          <w:sz w:val="12"/>
        </w:rPr>
        <w:t>110</w:t>
      </w:r>
    </w:p>
    <w:p>
      <w:pPr>
        <w:pStyle w:val="BodyText"/>
        <w:rPr>
          <w:sz w:val="12"/>
        </w:rPr>
      </w:pPr>
    </w:p>
    <w:p>
      <w:pPr>
        <w:pStyle w:val="BodyText"/>
        <w:rPr>
          <w:sz w:val="12"/>
        </w:rPr>
      </w:pPr>
    </w:p>
    <w:p>
      <w:pPr>
        <w:pStyle w:val="BodyText"/>
        <w:rPr>
          <w:sz w:val="12"/>
        </w:rPr>
      </w:pPr>
    </w:p>
    <w:p>
      <w:pPr>
        <w:pStyle w:val="BodyText"/>
        <w:spacing w:before="6"/>
        <w:rPr>
          <w:sz w:val="14"/>
        </w:rPr>
      </w:pPr>
    </w:p>
    <w:p>
      <w:pPr>
        <w:spacing w:before="1"/>
        <w:ind w:left="194" w:right="0" w:firstLine="0"/>
        <w:jc w:val="left"/>
        <w:rPr>
          <w:sz w:val="12"/>
        </w:rPr>
      </w:pPr>
      <w:r>
        <w:rPr>
          <w:sz w:val="12"/>
        </w:rPr>
        <w:t>100</w:t>
      </w:r>
    </w:p>
    <w:p>
      <w:pPr>
        <w:pStyle w:val="Heading6"/>
        <w:spacing w:line="242" w:lineRule="auto"/>
        <w:ind w:left="194" w:right="86"/>
      </w:pPr>
      <w:r>
        <w:rPr/>
        <w:br w:type="column"/>
      </w:r>
      <w:r>
        <w:rPr/>
        <w:t>since November, but the outlook for the emerging Asian economies appears stronger, owing both to the improved economic outturns in China and Korea and to the significant recovery of output and trade growth in 1999 for most other countries in the region.</w:t>
      </w:r>
    </w:p>
    <w:p>
      <w:pPr>
        <w:pStyle w:val="BodyText"/>
        <w:rPr>
          <w:sz w:val="24"/>
        </w:rPr>
      </w:pPr>
    </w:p>
    <w:p>
      <w:pPr>
        <w:spacing w:line="242" w:lineRule="auto" w:before="0"/>
        <w:ind w:left="194" w:right="214" w:firstLine="0"/>
        <w:jc w:val="left"/>
        <w:rPr>
          <w:sz w:val="24"/>
        </w:rPr>
      </w:pPr>
      <w:r>
        <w:rPr>
          <w:sz w:val="24"/>
        </w:rPr>
        <w:t>Reflecting expanding demand in the United Kingdom’s export markets, growth in the volume of goods and services exported by the United Kingdom has recovered since the beginning of 1999, having slowed sharply in 1998 (see Chart 2.1). Exports grew particularly rapidly in 1999 Q3, even excluding oil and erratic components: the volume of exports rose by 6.0%, compared with</w:t>
      </w:r>
    </w:p>
    <w:p>
      <w:pPr>
        <w:pStyle w:val="BodyText"/>
        <w:spacing w:before="6"/>
        <w:rPr>
          <w:sz w:val="10"/>
        </w:rPr>
      </w:pPr>
    </w:p>
    <w:p>
      <w:pPr>
        <w:pStyle w:val="BodyText"/>
        <w:spacing w:line="20" w:lineRule="exact"/>
        <w:ind w:left="170"/>
        <w:rPr>
          <w:sz w:val="2"/>
        </w:rPr>
      </w:pPr>
      <w:r>
        <w:rPr>
          <w:sz w:val="2"/>
        </w:rPr>
        <w:pict>
          <v:group style="width:275.9pt;height:.15pt;mso-position-horizontal-relative:char;mso-position-vertical-relative:line" coordorigin="0,0" coordsize="5518,3">
            <v:line style="position:absolute" from="0,1" to="5517,1" stroked="true" strokeweight=".125pt" strokecolor="#000000">
              <v:stroke dashstyle="solid"/>
            </v:line>
          </v:group>
        </w:pict>
      </w:r>
      <w:r>
        <w:rPr>
          <w:sz w:val="2"/>
        </w:rPr>
      </w:r>
    </w:p>
    <w:p>
      <w:pPr>
        <w:pStyle w:val="ListParagraph"/>
        <w:numPr>
          <w:ilvl w:val="0"/>
          <w:numId w:val="10"/>
        </w:numPr>
        <w:tabs>
          <w:tab w:pos="437" w:val="left" w:leader="none"/>
        </w:tabs>
        <w:spacing w:line="208" w:lineRule="auto" w:before="0" w:after="0"/>
        <w:ind w:left="436" w:right="732" w:hanging="240"/>
        <w:jc w:val="left"/>
        <w:rPr>
          <w:sz w:val="16"/>
        </w:rPr>
      </w:pPr>
      <w:hyperlink r:id="rId18">
        <w:r>
          <w:rPr>
            <w:sz w:val="16"/>
          </w:rPr>
          <w:t>For a detailed discussion of international economic developments, see ‘The</w:t>
        </w:r>
        <w:r>
          <w:rPr>
            <w:spacing w:val="-6"/>
            <w:sz w:val="16"/>
          </w:rPr>
          <w:t> </w:t>
        </w:r>
        <w:r>
          <w:rPr>
            <w:sz w:val="16"/>
          </w:rPr>
          <w:t>international</w:t>
        </w:r>
        <w:r>
          <w:rPr>
            <w:spacing w:val="-6"/>
            <w:sz w:val="16"/>
          </w:rPr>
          <w:t> </w:t>
        </w:r>
        <w:r>
          <w:rPr>
            <w:sz w:val="16"/>
          </w:rPr>
          <w:t>environment’</w:t>
        </w:r>
        <w:r>
          <w:rPr>
            <w:spacing w:val="-6"/>
            <w:sz w:val="16"/>
          </w:rPr>
          <w:t> </w:t>
        </w:r>
        <w:r>
          <w:rPr>
            <w:sz w:val="16"/>
          </w:rPr>
          <w:t>article</w:t>
        </w:r>
        <w:r>
          <w:rPr>
            <w:spacing w:val="-6"/>
            <w:sz w:val="16"/>
          </w:rPr>
          <w:t> </w:t>
        </w:r>
        <w:r>
          <w:rPr>
            <w:sz w:val="16"/>
          </w:rPr>
          <w:t>in</w:t>
        </w:r>
        <w:r>
          <w:rPr>
            <w:spacing w:val="-6"/>
            <w:sz w:val="16"/>
          </w:rPr>
          <w:t> </w:t>
        </w:r>
        <w:r>
          <w:rPr>
            <w:sz w:val="16"/>
          </w:rPr>
          <w:t>the</w:t>
        </w:r>
        <w:r>
          <w:rPr>
            <w:spacing w:val="-6"/>
            <w:sz w:val="16"/>
          </w:rPr>
          <w:t> </w:t>
        </w:r>
        <w:r>
          <w:rPr>
            <w:i/>
            <w:sz w:val="16"/>
          </w:rPr>
          <w:t>Bank</w:t>
        </w:r>
        <w:r>
          <w:rPr>
            <w:i/>
            <w:spacing w:val="-6"/>
            <w:sz w:val="16"/>
          </w:rPr>
          <w:t> </w:t>
        </w:r>
        <w:r>
          <w:rPr>
            <w:i/>
            <w:sz w:val="16"/>
          </w:rPr>
          <w:t>of</w:t>
        </w:r>
        <w:r>
          <w:rPr>
            <w:i/>
            <w:spacing w:val="-6"/>
            <w:sz w:val="16"/>
          </w:rPr>
          <w:t> </w:t>
        </w:r>
        <w:r>
          <w:rPr>
            <w:i/>
            <w:sz w:val="16"/>
          </w:rPr>
          <w:t>England</w:t>
        </w:r>
        <w:r>
          <w:rPr>
            <w:i/>
            <w:spacing w:val="-6"/>
            <w:sz w:val="16"/>
          </w:rPr>
          <w:t> </w:t>
        </w:r>
        <w:r>
          <w:rPr>
            <w:i/>
            <w:sz w:val="16"/>
          </w:rPr>
          <w:t>Quarterly </w:t>
        </w:r>
        <w:r>
          <w:rPr>
            <w:i/>
            <w:sz w:val="16"/>
          </w:rPr>
          <w:t>Bulletin</w:t>
        </w:r>
        <w:r>
          <w:rPr>
            <w:sz w:val="16"/>
          </w:rPr>
          <w:t>, February 2000, pages</w:t>
        </w:r>
        <w:r>
          <w:rPr>
            <w:spacing w:val="-1"/>
            <w:sz w:val="16"/>
          </w:rPr>
          <w:t> </w:t>
        </w:r>
        <w:r>
          <w:rPr>
            <w:sz w:val="16"/>
          </w:rPr>
          <w:t>23–37.</w:t>
        </w:r>
      </w:hyperlink>
    </w:p>
    <w:p>
      <w:pPr>
        <w:spacing w:after="0" w:line="208" w:lineRule="auto"/>
        <w:jc w:val="left"/>
        <w:rPr>
          <w:sz w:val="16"/>
        </w:rPr>
        <w:sectPr>
          <w:type w:val="continuous"/>
          <w:pgSz w:w="11900" w:h="16840"/>
          <w:pgMar w:top="1220" w:bottom="280" w:left="620" w:right="640"/>
          <w:cols w:num="3" w:equalWidth="0">
            <w:col w:w="3008" w:space="308"/>
            <w:col w:w="415" w:space="1062"/>
            <w:col w:w="5847"/>
          </w:cols>
        </w:sectPr>
      </w:pPr>
    </w:p>
    <w:p>
      <w:pPr>
        <w:pStyle w:val="BodyText"/>
        <w:rPr>
          <w:sz w:val="20"/>
        </w:rPr>
      </w:pPr>
    </w:p>
    <w:p>
      <w:pPr>
        <w:spacing w:after="0"/>
        <w:rPr>
          <w:sz w:val="20"/>
        </w:rPr>
        <w:sectPr>
          <w:headerReference w:type="even" r:id="rId65"/>
          <w:headerReference w:type="default" r:id="rId66"/>
          <w:footerReference w:type="even" r:id="rId67"/>
          <w:footerReference w:type="default" r:id="rId68"/>
          <w:pgSz w:w="11900" w:h="16840"/>
          <w:pgMar w:header="586" w:footer="597" w:top="780" w:bottom="780" w:left="620" w:right="640"/>
          <w:pgNumType w:start="14"/>
        </w:sectPr>
      </w:pPr>
    </w:p>
    <w:p>
      <w:pPr>
        <w:pStyle w:val="BodyText"/>
        <w:spacing w:before="3"/>
        <w:rPr>
          <w:sz w:val="19"/>
        </w:rPr>
      </w:pPr>
    </w:p>
    <w:p>
      <w:pPr>
        <w:pStyle w:val="Heading9"/>
        <w:spacing w:before="0"/>
        <w:ind w:left="191"/>
      </w:pPr>
      <w:r>
        <w:rPr>
          <w:color w:val="0092C7"/>
        </w:rPr>
        <w:t>Table 2.A</w:t>
      </w:r>
    </w:p>
    <w:p>
      <w:pPr>
        <w:spacing w:before="10"/>
        <w:ind w:left="191" w:right="0" w:firstLine="0"/>
        <w:jc w:val="left"/>
        <w:rPr>
          <w:sz w:val="12"/>
        </w:rPr>
      </w:pPr>
      <w:r>
        <w:rPr>
          <w:b/>
          <w:color w:val="0092C7"/>
          <w:sz w:val="20"/>
        </w:rPr>
        <w:t>UK export outlook</w:t>
      </w:r>
      <w:r>
        <w:rPr>
          <w:position w:val="4"/>
          <w:sz w:val="12"/>
        </w:rPr>
        <w:t>(a)</w:t>
      </w:r>
    </w:p>
    <w:p>
      <w:pPr>
        <w:tabs>
          <w:tab w:pos="3067" w:val="left" w:leader="none"/>
          <w:tab w:pos="4409" w:val="left" w:leader="none"/>
        </w:tabs>
        <w:spacing w:line="150" w:lineRule="exact" w:before="106"/>
        <w:ind w:left="1771" w:right="0" w:firstLine="0"/>
        <w:jc w:val="left"/>
        <w:rPr>
          <w:sz w:val="14"/>
        </w:rPr>
      </w:pPr>
      <w:r>
        <w:rPr>
          <w:sz w:val="14"/>
          <w:u w:val="single"/>
        </w:rPr>
        <w:t>1998</w:t>
        <w:tab/>
        <w:t>1999</w:t>
        <w:tab/>
      </w:r>
    </w:p>
    <w:p>
      <w:pPr>
        <w:spacing w:line="150" w:lineRule="exact" w:before="0"/>
        <w:ind w:left="1771" w:right="0" w:firstLine="0"/>
        <w:jc w:val="left"/>
        <w:rPr>
          <w:sz w:val="14"/>
        </w:rPr>
      </w:pPr>
      <w:r>
        <w:rPr>
          <w:sz w:val="14"/>
        </w:rPr>
        <w:t>Q1 Q2 Q3 Q4 Q1 Q2 Q3 Q4</w:t>
      </w:r>
    </w:p>
    <w:p>
      <w:pPr>
        <w:pStyle w:val="BodyText"/>
        <w:spacing w:before="2"/>
        <w:rPr>
          <w:sz w:val="2"/>
        </w:rPr>
      </w:pPr>
    </w:p>
    <w:p>
      <w:pPr>
        <w:pStyle w:val="BodyText"/>
        <w:spacing w:line="20" w:lineRule="exact"/>
        <w:ind w:left="1785" w:right="-58"/>
        <w:rPr>
          <w:sz w:val="2"/>
        </w:rPr>
      </w:pPr>
      <w:r>
        <w:rPr>
          <w:sz w:val="2"/>
        </w:rPr>
        <w:pict>
          <v:group style="width:30.4pt;height:.15pt;mso-position-horizontal-relative:char;mso-position-vertical-relative:line" coordorigin="0,0" coordsize="608,3">
            <v:shape style="position:absolute;left:0;top:1;width:608;height:2" coordorigin="0,1" coordsize="608,0" path="m0,1l270,1m338,1l608,1e" filled="false" stroked="true" strokeweight=".125pt" strokecolor="#000000">
              <v:path arrowok="t"/>
              <v:stroke dashstyle="solid"/>
            </v:shape>
          </v:group>
        </w:pict>
      </w:r>
      <w:r>
        <w:rPr>
          <w:sz w:val="2"/>
        </w:rPr>
      </w:r>
      <w:r>
        <w:rPr>
          <w:spacing w:val="55"/>
          <w:sz w:val="2"/>
        </w:rPr>
        <w:t> </w:t>
      </w:r>
      <w:r>
        <w:rPr>
          <w:spacing w:val="55"/>
          <w:sz w:val="2"/>
        </w:rPr>
        <w:pict>
          <v:group style="width:29.25pt;height:.550pt;mso-position-horizontal-relative:char;mso-position-vertical-relative:line" coordorigin="0,0" coordsize="585,11">
            <v:shape style="position:absolute;left:0;top:1;width:585;height:8" coordorigin="0,1" coordsize="585,8" path="m0,1l270,1m313,9l585,9e" filled="false" stroked="true" strokeweight=".125pt" strokecolor="#000000">
              <v:path arrowok="t"/>
              <v:stroke dashstyle="solid"/>
            </v:shape>
          </v:group>
        </w:pict>
      </w:r>
      <w:r>
        <w:rPr>
          <w:spacing w:val="55"/>
          <w:sz w:val="2"/>
        </w:rPr>
      </w:r>
      <w:r>
        <w:rPr>
          <w:spacing w:val="70"/>
          <w:sz w:val="2"/>
        </w:rPr>
        <w:t> </w:t>
      </w:r>
      <w:r>
        <w:rPr>
          <w:spacing w:val="70"/>
          <w:sz w:val="2"/>
        </w:rPr>
        <w:pict>
          <v:group style="width:62.9pt;height:.65pt;mso-position-horizontal-relative:char;mso-position-vertical-relative:line" coordorigin="0,0" coordsize="1258,13">
            <v:shape style="position:absolute;left:0;top:1;width:1258;height:10" coordorigin="0,1" coordsize="1258,10" path="m0,4l270,4m325,11l595,11m660,6l930,6m985,1l1258,1e" filled="false" stroked="true" strokeweight=".125pt" strokecolor="#000000">
              <v:path arrowok="t"/>
              <v:stroke dashstyle="solid"/>
            </v:shape>
          </v:group>
        </w:pict>
      </w:r>
      <w:r>
        <w:rPr>
          <w:spacing w:val="70"/>
          <w:sz w:val="2"/>
        </w:rPr>
      </w:r>
    </w:p>
    <w:p>
      <w:pPr>
        <w:spacing w:before="74"/>
        <w:ind w:left="191" w:right="0" w:firstLine="0"/>
        <w:jc w:val="left"/>
        <w:rPr>
          <w:sz w:val="14"/>
        </w:rPr>
      </w:pPr>
      <w:r>
        <w:rPr>
          <w:sz w:val="14"/>
        </w:rPr>
        <w:t>BCC export orders</w:t>
      </w:r>
    </w:p>
    <w:tbl>
      <w:tblPr>
        <w:tblW w:w="0" w:type="auto"/>
        <w:jc w:val="left"/>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7"/>
        <w:gridCol w:w="536"/>
        <w:gridCol w:w="1645"/>
        <w:gridCol w:w="365"/>
        <w:gridCol w:w="358"/>
      </w:tblGrid>
      <w:tr>
        <w:trPr>
          <w:trHeight w:val="147" w:hRule="atLeast"/>
        </w:trPr>
        <w:tc>
          <w:tcPr>
            <w:tcW w:w="1347" w:type="dxa"/>
          </w:tcPr>
          <w:p>
            <w:pPr>
              <w:pStyle w:val="TableParagraph"/>
              <w:spacing w:line="128" w:lineRule="exact"/>
              <w:ind w:left="210"/>
              <w:rPr>
                <w:i/>
                <w:sz w:val="14"/>
              </w:rPr>
            </w:pPr>
            <w:r>
              <w:rPr>
                <w:i/>
                <w:sz w:val="14"/>
              </w:rPr>
              <w:t>Services</w:t>
            </w:r>
          </w:p>
        </w:tc>
        <w:tc>
          <w:tcPr>
            <w:tcW w:w="536" w:type="dxa"/>
          </w:tcPr>
          <w:p>
            <w:pPr>
              <w:pStyle w:val="TableParagraph"/>
              <w:spacing w:line="128" w:lineRule="exact"/>
              <w:ind w:right="50"/>
              <w:jc w:val="right"/>
              <w:rPr>
                <w:sz w:val="14"/>
              </w:rPr>
            </w:pPr>
            <w:r>
              <w:rPr>
                <w:sz w:val="14"/>
              </w:rPr>
              <w:t>+4</w:t>
            </w:r>
          </w:p>
        </w:tc>
        <w:tc>
          <w:tcPr>
            <w:tcW w:w="1645" w:type="dxa"/>
          </w:tcPr>
          <w:p>
            <w:pPr>
              <w:pStyle w:val="TableParagraph"/>
              <w:tabs>
                <w:tab w:pos="442" w:val="left" w:leader="none"/>
                <w:tab w:pos="762" w:val="left" w:leader="none"/>
              </w:tabs>
              <w:spacing w:line="128" w:lineRule="exact"/>
              <w:ind w:left="90"/>
              <w:jc w:val="center"/>
              <w:rPr>
                <w:sz w:val="14"/>
              </w:rPr>
            </w:pPr>
            <w:r>
              <w:rPr>
                <w:sz w:val="14"/>
              </w:rPr>
              <w:t>+3</w:t>
              <w:tab/>
              <w:t>-6</w:t>
              <w:tab/>
              <w:t>-8 +1</w:t>
            </w:r>
            <w:r>
              <w:rPr>
                <w:spacing w:val="2"/>
                <w:sz w:val="14"/>
              </w:rPr>
              <w:t> </w:t>
            </w:r>
            <w:r>
              <w:rPr>
                <w:sz w:val="14"/>
              </w:rPr>
              <w:t>+4</w:t>
            </w:r>
          </w:p>
        </w:tc>
        <w:tc>
          <w:tcPr>
            <w:tcW w:w="365" w:type="dxa"/>
          </w:tcPr>
          <w:p>
            <w:pPr>
              <w:pStyle w:val="TableParagraph"/>
              <w:spacing w:line="128" w:lineRule="exact"/>
              <w:ind w:right="60"/>
              <w:jc w:val="right"/>
              <w:rPr>
                <w:sz w:val="14"/>
              </w:rPr>
            </w:pPr>
            <w:r>
              <w:rPr>
                <w:sz w:val="14"/>
              </w:rPr>
              <w:t>+15</w:t>
            </w:r>
          </w:p>
        </w:tc>
        <w:tc>
          <w:tcPr>
            <w:tcW w:w="358" w:type="dxa"/>
          </w:tcPr>
          <w:p>
            <w:pPr>
              <w:pStyle w:val="TableParagraph"/>
              <w:spacing w:line="128" w:lineRule="exact"/>
              <w:ind w:right="48"/>
              <w:jc w:val="right"/>
              <w:rPr>
                <w:sz w:val="14"/>
              </w:rPr>
            </w:pPr>
            <w:r>
              <w:rPr>
                <w:sz w:val="14"/>
              </w:rPr>
              <w:t>+5</w:t>
            </w:r>
          </w:p>
        </w:tc>
      </w:tr>
      <w:tr>
        <w:trPr>
          <w:trHeight w:val="147" w:hRule="atLeast"/>
        </w:trPr>
        <w:tc>
          <w:tcPr>
            <w:tcW w:w="1347" w:type="dxa"/>
          </w:tcPr>
          <w:p>
            <w:pPr>
              <w:pStyle w:val="TableParagraph"/>
              <w:spacing w:line="128" w:lineRule="exact"/>
              <w:ind w:left="210"/>
              <w:rPr>
                <w:i/>
                <w:sz w:val="14"/>
              </w:rPr>
            </w:pPr>
            <w:r>
              <w:rPr>
                <w:i/>
                <w:sz w:val="14"/>
              </w:rPr>
              <w:t>Manufacturing</w:t>
            </w:r>
          </w:p>
        </w:tc>
        <w:tc>
          <w:tcPr>
            <w:tcW w:w="536" w:type="dxa"/>
          </w:tcPr>
          <w:p>
            <w:pPr>
              <w:pStyle w:val="TableParagraph"/>
              <w:spacing w:line="128" w:lineRule="exact"/>
              <w:ind w:right="51"/>
              <w:jc w:val="right"/>
              <w:rPr>
                <w:sz w:val="14"/>
              </w:rPr>
            </w:pPr>
            <w:r>
              <w:rPr>
                <w:sz w:val="14"/>
              </w:rPr>
              <w:t>-12</w:t>
            </w:r>
          </w:p>
        </w:tc>
        <w:tc>
          <w:tcPr>
            <w:tcW w:w="1645" w:type="dxa"/>
          </w:tcPr>
          <w:p>
            <w:pPr>
              <w:pStyle w:val="TableParagraph"/>
              <w:tabs>
                <w:tab w:pos="1082" w:val="left" w:leader="none"/>
                <w:tab w:pos="1412" w:val="left" w:leader="none"/>
              </w:tabs>
              <w:spacing w:line="128" w:lineRule="exact"/>
              <w:ind w:left="52"/>
              <w:jc w:val="center"/>
              <w:rPr>
                <w:sz w:val="14"/>
              </w:rPr>
            </w:pPr>
            <w:r>
              <w:rPr>
                <w:sz w:val="14"/>
              </w:rPr>
              <w:t>-24  </w:t>
            </w:r>
            <w:r>
              <w:rPr>
                <w:spacing w:val="25"/>
                <w:sz w:val="14"/>
              </w:rPr>
              <w:t> </w:t>
            </w:r>
            <w:r>
              <w:rPr>
                <w:sz w:val="14"/>
              </w:rPr>
              <w:t>-43  </w:t>
            </w:r>
            <w:r>
              <w:rPr>
                <w:spacing w:val="26"/>
                <w:sz w:val="14"/>
              </w:rPr>
              <w:t> </w:t>
            </w:r>
            <w:r>
              <w:rPr>
                <w:sz w:val="14"/>
              </w:rPr>
              <w:t>-24</w:t>
              <w:tab/>
              <w:t>-9</w:t>
              <w:tab/>
              <w:t>-3</w:t>
            </w:r>
          </w:p>
        </w:tc>
        <w:tc>
          <w:tcPr>
            <w:tcW w:w="365" w:type="dxa"/>
          </w:tcPr>
          <w:p>
            <w:pPr>
              <w:pStyle w:val="TableParagraph"/>
              <w:spacing w:line="128" w:lineRule="exact"/>
              <w:ind w:right="60"/>
              <w:jc w:val="right"/>
              <w:rPr>
                <w:sz w:val="14"/>
              </w:rPr>
            </w:pPr>
            <w:r>
              <w:rPr>
                <w:sz w:val="14"/>
              </w:rPr>
              <w:t>+10</w:t>
            </w:r>
          </w:p>
        </w:tc>
        <w:tc>
          <w:tcPr>
            <w:tcW w:w="358" w:type="dxa"/>
          </w:tcPr>
          <w:p>
            <w:pPr>
              <w:pStyle w:val="TableParagraph"/>
              <w:spacing w:line="128" w:lineRule="exact"/>
              <w:ind w:right="48"/>
              <w:jc w:val="right"/>
              <w:rPr>
                <w:sz w:val="14"/>
              </w:rPr>
            </w:pPr>
            <w:r>
              <w:rPr>
                <w:sz w:val="14"/>
              </w:rPr>
              <w:t>+11</w:t>
            </w:r>
          </w:p>
        </w:tc>
      </w:tr>
      <w:tr>
        <w:trPr>
          <w:trHeight w:val="272" w:hRule="atLeast"/>
        </w:trPr>
        <w:tc>
          <w:tcPr>
            <w:tcW w:w="1883" w:type="dxa"/>
            <w:gridSpan w:val="2"/>
          </w:tcPr>
          <w:p>
            <w:pPr>
              <w:pStyle w:val="TableParagraph"/>
              <w:spacing w:line="130" w:lineRule="exact"/>
              <w:ind w:left="50"/>
              <w:rPr>
                <w:sz w:val="12"/>
              </w:rPr>
            </w:pPr>
            <w:r>
              <w:rPr>
                <w:sz w:val="14"/>
              </w:rPr>
              <w:t>CIPS export orders </w:t>
            </w:r>
            <w:r>
              <w:rPr>
                <w:sz w:val="12"/>
              </w:rPr>
              <w:t>(b)</w:t>
            </w:r>
          </w:p>
          <w:p>
            <w:pPr>
              <w:pStyle w:val="TableParagraph"/>
              <w:tabs>
                <w:tab w:pos="1829" w:val="right" w:leader="none"/>
              </w:tabs>
              <w:spacing w:line="138" w:lineRule="exact"/>
              <w:ind w:left="210"/>
              <w:rPr>
                <w:sz w:val="14"/>
              </w:rPr>
            </w:pPr>
            <w:r>
              <w:rPr>
                <w:i/>
                <w:sz w:val="14"/>
              </w:rPr>
              <w:t>Manufacturing</w:t>
              <w:tab/>
            </w:r>
            <w:r>
              <w:rPr>
                <w:sz w:val="14"/>
              </w:rPr>
              <w:t>45.3</w:t>
            </w:r>
          </w:p>
        </w:tc>
        <w:tc>
          <w:tcPr>
            <w:tcW w:w="1645" w:type="dxa"/>
          </w:tcPr>
          <w:p>
            <w:pPr>
              <w:pStyle w:val="TableParagraph"/>
              <w:spacing w:line="148" w:lineRule="exact" w:before="119"/>
              <w:ind w:left="90" w:right="95"/>
              <w:jc w:val="center"/>
              <w:rPr>
                <w:sz w:val="14"/>
              </w:rPr>
            </w:pPr>
            <w:r>
              <w:rPr>
                <w:sz w:val="14"/>
              </w:rPr>
              <w:t>43.1 40.4 38.9 47.1 50.5</w:t>
            </w:r>
          </w:p>
        </w:tc>
        <w:tc>
          <w:tcPr>
            <w:tcW w:w="365" w:type="dxa"/>
          </w:tcPr>
          <w:p>
            <w:pPr>
              <w:pStyle w:val="TableParagraph"/>
              <w:spacing w:line="148" w:lineRule="exact" w:before="119"/>
              <w:ind w:right="62"/>
              <w:jc w:val="right"/>
              <w:rPr>
                <w:sz w:val="14"/>
              </w:rPr>
            </w:pPr>
            <w:r>
              <w:rPr>
                <w:sz w:val="14"/>
              </w:rPr>
              <w:t>55.0</w:t>
            </w:r>
          </w:p>
        </w:tc>
        <w:tc>
          <w:tcPr>
            <w:tcW w:w="358" w:type="dxa"/>
          </w:tcPr>
          <w:p>
            <w:pPr>
              <w:pStyle w:val="TableParagraph"/>
              <w:spacing w:line="148" w:lineRule="exact" w:before="119"/>
              <w:ind w:right="50"/>
              <w:jc w:val="right"/>
              <w:rPr>
                <w:sz w:val="14"/>
              </w:rPr>
            </w:pPr>
            <w:r>
              <w:rPr>
                <w:sz w:val="14"/>
              </w:rPr>
              <w:t>53.0</w:t>
            </w:r>
          </w:p>
        </w:tc>
      </w:tr>
      <w:tr>
        <w:trPr>
          <w:trHeight w:val="287" w:hRule="atLeast"/>
        </w:trPr>
        <w:tc>
          <w:tcPr>
            <w:tcW w:w="1883" w:type="dxa"/>
            <w:gridSpan w:val="2"/>
          </w:tcPr>
          <w:p>
            <w:pPr>
              <w:pStyle w:val="TableParagraph"/>
              <w:spacing w:line="122" w:lineRule="exact"/>
              <w:ind w:left="50"/>
              <w:rPr>
                <w:sz w:val="14"/>
              </w:rPr>
            </w:pPr>
            <w:r>
              <w:rPr>
                <w:sz w:val="14"/>
              </w:rPr>
              <w:t>CBI industrial trends</w:t>
            </w:r>
          </w:p>
          <w:p>
            <w:pPr>
              <w:pStyle w:val="TableParagraph"/>
              <w:spacing w:line="145" w:lineRule="exact"/>
              <w:ind w:left="210"/>
              <w:rPr>
                <w:sz w:val="14"/>
              </w:rPr>
            </w:pPr>
            <w:r>
              <w:rPr>
                <w:i/>
                <w:sz w:val="14"/>
              </w:rPr>
              <w:t>Optimism about exports </w:t>
            </w:r>
            <w:r>
              <w:rPr>
                <w:sz w:val="14"/>
              </w:rPr>
              <w:t>-48</w:t>
            </w:r>
          </w:p>
        </w:tc>
        <w:tc>
          <w:tcPr>
            <w:tcW w:w="1645" w:type="dxa"/>
          </w:tcPr>
          <w:p>
            <w:pPr>
              <w:pStyle w:val="TableParagraph"/>
              <w:tabs>
                <w:tab w:pos="1412" w:val="left" w:leader="none"/>
              </w:tabs>
              <w:spacing w:line="156" w:lineRule="exact" w:before="111"/>
              <w:ind w:left="52"/>
              <w:jc w:val="center"/>
              <w:rPr>
                <w:sz w:val="14"/>
              </w:rPr>
            </w:pPr>
            <w:r>
              <w:rPr>
                <w:sz w:val="14"/>
              </w:rPr>
              <w:t>-50    -41  </w:t>
            </w:r>
            <w:r>
              <w:rPr>
                <w:spacing w:val="16"/>
                <w:sz w:val="14"/>
              </w:rPr>
              <w:t> </w:t>
            </w:r>
            <w:r>
              <w:rPr>
                <w:sz w:val="14"/>
              </w:rPr>
              <w:t>-18  </w:t>
            </w:r>
            <w:r>
              <w:rPr>
                <w:spacing w:val="26"/>
                <w:sz w:val="14"/>
              </w:rPr>
              <w:t> </w:t>
            </w:r>
            <w:r>
              <w:rPr>
                <w:sz w:val="14"/>
              </w:rPr>
              <w:t>-17</w:t>
              <w:tab/>
              <w:t>-9</w:t>
            </w:r>
          </w:p>
        </w:tc>
        <w:tc>
          <w:tcPr>
            <w:tcW w:w="365" w:type="dxa"/>
          </w:tcPr>
          <w:p>
            <w:pPr>
              <w:pStyle w:val="TableParagraph"/>
              <w:spacing w:line="156" w:lineRule="exact" w:before="111"/>
              <w:ind w:right="62"/>
              <w:jc w:val="right"/>
              <w:rPr>
                <w:sz w:val="14"/>
              </w:rPr>
            </w:pPr>
            <w:r>
              <w:rPr>
                <w:sz w:val="14"/>
              </w:rPr>
              <w:t>-5</w:t>
            </w:r>
          </w:p>
        </w:tc>
        <w:tc>
          <w:tcPr>
            <w:tcW w:w="358" w:type="dxa"/>
          </w:tcPr>
          <w:p>
            <w:pPr>
              <w:pStyle w:val="TableParagraph"/>
              <w:spacing w:line="156" w:lineRule="exact" w:before="111"/>
              <w:ind w:right="48"/>
              <w:jc w:val="right"/>
              <w:rPr>
                <w:sz w:val="14"/>
              </w:rPr>
            </w:pPr>
            <w:r>
              <w:rPr>
                <w:sz w:val="14"/>
              </w:rPr>
              <w:t>+2</w:t>
            </w:r>
          </w:p>
        </w:tc>
      </w:tr>
    </w:tbl>
    <w:p>
      <w:pPr>
        <w:spacing w:before="97"/>
        <w:ind w:left="191" w:right="0" w:firstLine="0"/>
        <w:jc w:val="left"/>
        <w:rPr>
          <w:sz w:val="12"/>
        </w:rPr>
      </w:pPr>
      <w:r>
        <w:rPr>
          <w:sz w:val="12"/>
        </w:rPr>
        <w:t>Sources:  BCC, CBI and</w:t>
      </w:r>
      <w:r>
        <w:rPr>
          <w:spacing w:val="-4"/>
          <w:sz w:val="12"/>
        </w:rPr>
        <w:t> </w:t>
      </w:r>
      <w:r>
        <w:rPr>
          <w:sz w:val="12"/>
        </w:rPr>
        <w:t>CIPS.</w:t>
      </w:r>
    </w:p>
    <w:p>
      <w:pPr>
        <w:pStyle w:val="BodyText"/>
        <w:spacing w:before="2"/>
        <w:rPr>
          <w:sz w:val="12"/>
        </w:rPr>
      </w:pPr>
    </w:p>
    <w:p>
      <w:pPr>
        <w:pStyle w:val="ListParagraph"/>
        <w:numPr>
          <w:ilvl w:val="1"/>
          <w:numId w:val="10"/>
        </w:numPr>
        <w:tabs>
          <w:tab w:pos="432" w:val="left" w:leader="none"/>
        </w:tabs>
        <w:spacing w:line="208" w:lineRule="auto" w:before="0" w:after="0"/>
        <w:ind w:left="431" w:right="71" w:hanging="240"/>
        <w:jc w:val="left"/>
        <w:rPr>
          <w:sz w:val="12"/>
        </w:rPr>
      </w:pPr>
      <w:r>
        <w:rPr>
          <w:sz w:val="12"/>
        </w:rPr>
        <w:t>Numbers reported are survey balances, unless otherwise shown. An increase suggests a rise in the proportion of respondents reporting ‘higher’ relative to those reporting</w:t>
      </w:r>
      <w:r>
        <w:rPr>
          <w:spacing w:val="-1"/>
          <w:sz w:val="12"/>
        </w:rPr>
        <w:t> </w:t>
      </w:r>
      <w:r>
        <w:rPr>
          <w:sz w:val="12"/>
        </w:rPr>
        <w:t>‘lower’.</w:t>
      </w:r>
    </w:p>
    <w:p>
      <w:pPr>
        <w:pStyle w:val="ListParagraph"/>
        <w:numPr>
          <w:ilvl w:val="1"/>
          <w:numId w:val="10"/>
        </w:numPr>
        <w:tabs>
          <w:tab w:pos="432" w:val="left" w:leader="none"/>
        </w:tabs>
        <w:spacing w:line="123" w:lineRule="exact" w:before="0" w:after="0"/>
        <w:ind w:left="431" w:right="0" w:hanging="241"/>
        <w:jc w:val="left"/>
        <w:rPr>
          <w:sz w:val="12"/>
        </w:rPr>
      </w:pPr>
      <w:r>
        <w:rPr>
          <w:sz w:val="12"/>
        </w:rPr>
        <w:t>A</w:t>
      </w:r>
      <w:r>
        <w:rPr>
          <w:spacing w:val="-5"/>
          <w:sz w:val="12"/>
        </w:rPr>
        <w:t> </w:t>
      </w:r>
      <w:r>
        <w:rPr>
          <w:sz w:val="12"/>
        </w:rPr>
        <w:t>reading</w:t>
      </w:r>
      <w:r>
        <w:rPr>
          <w:spacing w:val="-4"/>
          <w:sz w:val="12"/>
        </w:rPr>
        <w:t> </w:t>
      </w:r>
      <w:r>
        <w:rPr>
          <w:sz w:val="12"/>
        </w:rPr>
        <w:t>below</w:t>
      </w:r>
      <w:r>
        <w:rPr>
          <w:spacing w:val="-4"/>
          <w:sz w:val="12"/>
        </w:rPr>
        <w:t> </w:t>
      </w:r>
      <w:r>
        <w:rPr>
          <w:sz w:val="12"/>
        </w:rPr>
        <w:t>50</w:t>
      </w:r>
      <w:r>
        <w:rPr>
          <w:spacing w:val="-5"/>
          <w:sz w:val="12"/>
        </w:rPr>
        <w:t> </w:t>
      </w:r>
      <w:r>
        <w:rPr>
          <w:sz w:val="12"/>
        </w:rPr>
        <w:t>suggests</w:t>
      </w:r>
      <w:r>
        <w:rPr>
          <w:spacing w:val="-4"/>
          <w:sz w:val="12"/>
        </w:rPr>
        <w:t> </w:t>
      </w:r>
      <w:r>
        <w:rPr>
          <w:sz w:val="12"/>
        </w:rPr>
        <w:t>contraction,</w:t>
      </w:r>
      <w:r>
        <w:rPr>
          <w:spacing w:val="-4"/>
          <w:sz w:val="12"/>
        </w:rPr>
        <w:t> </w:t>
      </w:r>
      <w:r>
        <w:rPr>
          <w:sz w:val="12"/>
        </w:rPr>
        <w:t>a</w:t>
      </w:r>
      <w:r>
        <w:rPr>
          <w:spacing w:val="-5"/>
          <w:sz w:val="12"/>
        </w:rPr>
        <w:t> </w:t>
      </w:r>
      <w:r>
        <w:rPr>
          <w:sz w:val="12"/>
        </w:rPr>
        <w:t>reading</w:t>
      </w:r>
      <w:r>
        <w:rPr>
          <w:spacing w:val="-4"/>
          <w:sz w:val="12"/>
        </w:rPr>
        <w:t> </w:t>
      </w:r>
      <w:r>
        <w:rPr>
          <w:sz w:val="12"/>
        </w:rPr>
        <w:t>above</w:t>
      </w:r>
      <w:r>
        <w:rPr>
          <w:spacing w:val="-4"/>
          <w:sz w:val="12"/>
        </w:rPr>
        <w:t> </w:t>
      </w:r>
      <w:r>
        <w:rPr>
          <w:sz w:val="12"/>
        </w:rPr>
        <w:t>50</w:t>
      </w:r>
      <w:r>
        <w:rPr>
          <w:spacing w:val="-5"/>
          <w:sz w:val="12"/>
        </w:rPr>
        <w:t> </w:t>
      </w:r>
      <w:r>
        <w:rPr>
          <w:sz w:val="12"/>
        </w:rPr>
        <w:t>suggests</w:t>
      </w:r>
      <w:r>
        <w:rPr>
          <w:spacing w:val="-4"/>
          <w:sz w:val="12"/>
        </w:rPr>
        <w:t> </w:t>
      </w:r>
      <w:r>
        <w:rPr>
          <w:sz w:val="12"/>
        </w:rPr>
        <w:t>expansion.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4"/>
        </w:rPr>
      </w:pPr>
    </w:p>
    <w:p>
      <w:pPr>
        <w:pStyle w:val="Heading9"/>
        <w:spacing w:before="0"/>
        <w:ind w:left="225"/>
      </w:pPr>
      <w:r>
        <w:rPr>
          <w:color w:val="0092C7"/>
        </w:rPr>
        <w:t>Chart 2.3</w:t>
      </w:r>
    </w:p>
    <w:p>
      <w:pPr>
        <w:spacing w:line="249" w:lineRule="auto" w:before="10"/>
        <w:ind w:left="225" w:right="961" w:firstLine="0"/>
        <w:jc w:val="left"/>
        <w:rPr>
          <w:sz w:val="12"/>
        </w:rPr>
      </w:pPr>
      <w:r>
        <w:rPr>
          <w:b/>
          <w:color w:val="0092C7"/>
          <w:sz w:val="20"/>
        </w:rPr>
        <w:t>Proportion of firms’ ‘profit warnings’ citing exchange rate factors</w:t>
      </w:r>
      <w:r>
        <w:rPr>
          <w:position w:val="4"/>
          <w:sz w:val="12"/>
        </w:rPr>
        <w:t>(a)</w:t>
      </w:r>
    </w:p>
    <w:p>
      <w:pPr>
        <w:spacing w:line="122" w:lineRule="exact" w:before="101"/>
        <w:ind w:left="3043" w:right="0" w:firstLine="0"/>
        <w:jc w:val="left"/>
        <w:rPr>
          <w:sz w:val="12"/>
        </w:rPr>
      </w:pPr>
      <w:r>
        <w:rPr>
          <w:sz w:val="12"/>
        </w:rPr>
        <w:t>Per cent</w:t>
      </w:r>
    </w:p>
    <w:p>
      <w:pPr>
        <w:spacing w:line="122" w:lineRule="exact" w:before="0"/>
        <w:ind w:left="3475" w:right="0" w:firstLine="0"/>
        <w:jc w:val="left"/>
        <w:rPr>
          <w:sz w:val="12"/>
        </w:rPr>
      </w:pPr>
      <w:r>
        <w:rPr/>
        <w:pict>
          <v:line style="position:absolute;mso-position-horizontal-relative:page;mso-position-vertical-relative:paragraph;z-index:15885824" from="47.441002pt,2.527770pt" to="43.108002pt,2.527770pt" stroked="true" strokeweight=".5pt" strokecolor="#000000">
            <v:stroke dashstyle="solid"/>
            <w10:wrap type="none"/>
          </v:line>
        </w:pict>
      </w:r>
      <w:r>
        <w:rPr/>
        <w:pict>
          <v:line style="position:absolute;mso-position-horizontal-relative:page;mso-position-vertical-relative:paragraph;z-index:15888896" from="202.666993pt,2.56977pt" to="198.332993pt,2.56977pt" stroked="true" strokeweight=".5pt" strokecolor="#000000">
            <v:stroke dashstyle="solid"/>
            <w10:wrap type="none"/>
          </v:line>
        </w:pict>
      </w:r>
      <w:r>
        <w:rPr>
          <w:sz w:val="12"/>
        </w:rPr>
        <w:t>60</w:t>
      </w:r>
    </w:p>
    <w:p>
      <w:pPr>
        <w:pStyle w:val="BodyText"/>
        <w:rPr>
          <w:sz w:val="12"/>
        </w:rPr>
      </w:pPr>
    </w:p>
    <w:p>
      <w:pPr>
        <w:pStyle w:val="BodyText"/>
        <w:spacing w:before="7"/>
        <w:rPr>
          <w:sz w:val="17"/>
        </w:rPr>
      </w:pPr>
    </w:p>
    <w:p>
      <w:pPr>
        <w:spacing w:before="0"/>
        <w:ind w:left="0" w:right="852" w:firstLine="0"/>
        <w:jc w:val="right"/>
        <w:rPr>
          <w:sz w:val="12"/>
        </w:rPr>
      </w:pPr>
      <w:r>
        <w:rPr/>
        <w:pict>
          <v:group style="position:absolute;margin-left:43.108002pt;margin-top:-.981046pt;width:159.6pt;height:124.6pt;mso-position-horizontal-relative:page;mso-position-vertical-relative:paragraph;z-index:15885312" coordorigin="862,-20" coordsize="3192,2492">
            <v:rect style="position:absolute;left:1035;top:-15;width:45;height:2480" filled="true" fillcolor="#006caa" stroked="false">
              <v:fill type="solid"/>
            </v:rect>
            <v:rect style="position:absolute;left:1035;top:-15;width:45;height:2480" filled="false" stroked="true" strokeweight=".5pt" strokecolor="#000000">
              <v:stroke dashstyle="solid"/>
            </v:rect>
            <v:rect style="position:absolute;left:1130;top:592;width:43;height:1873" filled="true" fillcolor="#006caa" stroked="false">
              <v:fill type="solid"/>
            </v:rect>
            <v:rect style="position:absolute;left:1130;top:592;width:43;height:1873" filled="false" stroked="true" strokeweight=".5pt" strokecolor="#000000">
              <v:stroke dashstyle="solid"/>
            </v:rect>
            <v:rect style="position:absolute;left:1223;top:1087;width:43;height:1378" filled="true" fillcolor="#006caa" stroked="false">
              <v:fill type="solid"/>
            </v:rect>
            <v:rect style="position:absolute;left:1223;top:1087;width:43;height:1378" filled="false" stroked="true" strokeweight=".5pt" strokecolor="#000000">
              <v:stroke dashstyle="solid"/>
            </v:rect>
            <v:rect style="position:absolute;left:1315;top:1727;width:45;height:738" filled="true" fillcolor="#006caa" stroked="false">
              <v:fill type="solid"/>
            </v:rect>
            <v:rect style="position:absolute;left:1315;top:1727;width:45;height:738" filled="false" stroked="true" strokeweight=".5pt" strokecolor="#000000">
              <v:stroke dashstyle="solid"/>
            </v:rect>
            <v:rect style="position:absolute;left:1408;top:1822;width:45;height:643" filled="true" fillcolor="#006caa" stroked="false">
              <v:fill type="solid"/>
            </v:rect>
            <v:rect style="position:absolute;left:1408;top:1822;width:45;height:643" filled="false" stroked="true" strokeweight=".5pt" strokecolor="#000000">
              <v:stroke dashstyle="solid"/>
            </v:rect>
            <v:rect style="position:absolute;left:1503;top:1040;width:43;height:1425" filled="true" fillcolor="#006caa" stroked="false">
              <v:fill type="solid"/>
            </v:rect>
            <v:rect style="position:absolute;left:1503;top:1040;width:43;height:1425" filled="false" stroked="true" strokeweight=".5pt" strokecolor="#000000">
              <v:stroke dashstyle="solid"/>
            </v:rect>
            <v:rect style="position:absolute;left:1595;top:1967;width:45;height:498" filled="true" fillcolor="#006caa" stroked="false">
              <v:fill type="solid"/>
            </v:rect>
            <v:rect style="position:absolute;left:1595;top:1967;width:45;height:498" filled="false" stroked="true" strokeweight=".5pt" strokecolor="#000000">
              <v:stroke dashstyle="solid"/>
            </v:rect>
            <v:rect style="position:absolute;left:1688;top:400;width:45;height:2065" filled="true" fillcolor="#006caa" stroked="false">
              <v:fill type="solid"/>
            </v:rect>
            <v:rect style="position:absolute;left:1688;top:400;width:45;height:2065" filled="false" stroked="true" strokeweight=".5pt" strokecolor="#000000">
              <v:stroke dashstyle="solid"/>
            </v:rect>
            <v:rect style="position:absolute;left:1780;top:1917;width:45;height:548" filled="true" fillcolor="#006caa" stroked="false">
              <v:fill type="solid"/>
            </v:rect>
            <v:rect style="position:absolute;left:1780;top:1917;width:45;height:548" filled="false" stroked="true" strokeweight=".5pt" strokecolor="#000000">
              <v:stroke dashstyle="solid"/>
            </v:rect>
            <v:rect style="position:absolute;left:1875;top:865;width:43;height:1600" filled="true" fillcolor="#006caa" stroked="false">
              <v:fill type="solid"/>
            </v:rect>
            <v:rect style="position:absolute;left:1875;top:865;width:43;height:1600" filled="false" stroked="true" strokeweight=".5pt" strokecolor="#000000">
              <v:stroke dashstyle="solid"/>
            </v:rect>
            <v:rect style="position:absolute;left:1968;top:945;width:45;height:1520" filled="true" fillcolor="#006caa" stroked="false">
              <v:fill type="solid"/>
            </v:rect>
            <v:rect style="position:absolute;left:1968;top:945;width:45;height:1520" filled="false" stroked="true" strokeweight=".5pt" strokecolor="#000000">
              <v:stroke dashstyle="solid"/>
            </v:rect>
            <v:rect style="position:absolute;left:2060;top:1662;width:45;height:803" filled="true" fillcolor="#006caa" stroked="false">
              <v:fill type="solid"/>
            </v:rect>
            <v:rect style="position:absolute;left:2060;top:1662;width:45;height:803" filled="false" stroked="true" strokeweight=".5pt" strokecolor="#000000">
              <v:stroke dashstyle="solid"/>
            </v:rect>
            <v:rect style="position:absolute;left:2155;top:657;width:43;height:1808" filled="true" fillcolor="#006caa" stroked="false">
              <v:fill type="solid"/>
            </v:rect>
            <v:rect style="position:absolute;left:2155;top:657;width:43;height:1808" filled="false" stroked="true" strokeweight=".5pt" strokecolor="#000000">
              <v:stroke dashstyle="solid"/>
            </v:rect>
            <v:rect style="position:absolute;left:2248;top:1055;width:43;height:1410" filled="true" fillcolor="#006caa" stroked="false">
              <v:fill type="solid"/>
            </v:rect>
            <v:rect style="position:absolute;left:2248;top:1055;width:43;height:1410" filled="false" stroked="true" strokeweight=".5pt" strokecolor="#000000">
              <v:stroke dashstyle="solid"/>
            </v:rect>
            <v:rect style="position:absolute;left:2340;top:1455;width:45;height:1010" filled="true" fillcolor="#006caa" stroked="false">
              <v:fill type="solid"/>
            </v:rect>
            <v:rect style="position:absolute;left:2340;top:1455;width:45;height:1010" filled="false" stroked="true" strokeweight=".5pt" strokecolor="#000000">
              <v:stroke dashstyle="solid"/>
            </v:rect>
            <v:rect style="position:absolute;left:2433;top:1502;width:45;height:963" filled="true" fillcolor="#006caa" stroked="false">
              <v:fill type="solid"/>
            </v:rect>
            <v:rect style="position:absolute;left:2433;top:1502;width:45;height:963" filled="false" stroked="true" strokeweight=".5pt" strokecolor="#000000">
              <v:stroke dashstyle="solid"/>
            </v:rect>
            <v:rect style="position:absolute;left:2528;top:1935;width:43;height:530" filled="true" fillcolor="#006caa" stroked="false">
              <v:fill type="solid"/>
            </v:rect>
            <v:rect style="position:absolute;left:2528;top:1935;width:43;height:530" filled="false" stroked="true" strokeweight=".5pt" strokecolor="#000000">
              <v:stroke dashstyle="solid"/>
            </v:rect>
            <v:rect style="position:absolute;left:2620;top:2335;width:43;height:130" filled="true" fillcolor="#006caa" stroked="false">
              <v:fill type="solid"/>
            </v:rect>
            <v:rect style="position:absolute;left:2620;top:2335;width:43;height:130" filled="false" stroked="true" strokeweight=".5pt" strokecolor="#000000">
              <v:stroke dashstyle="solid"/>
            </v:rect>
            <v:rect style="position:absolute;left:2713;top:2270;width:45;height:195" filled="true" fillcolor="#006caa" stroked="false">
              <v:fill type="solid"/>
            </v:rect>
            <v:rect style="position:absolute;left:2713;top:2270;width:45;height:195" filled="false" stroked="true" strokeweight=".5pt" strokecolor="#000000">
              <v:stroke dashstyle="solid"/>
            </v:rect>
            <v:rect style="position:absolute;left:2805;top:2127;width:45;height:338" filled="true" fillcolor="#006caa" stroked="false">
              <v:fill type="solid"/>
            </v:rect>
            <v:rect style="position:absolute;left:2805;top:2127;width:45;height:338" filled="false" stroked="true" strokeweight=".5pt" strokecolor="#000000">
              <v:stroke dashstyle="solid"/>
            </v:rect>
            <v:rect style="position:absolute;left:2900;top:2350;width:43;height:115" filled="true" fillcolor="#006caa" stroked="false">
              <v:fill type="solid"/>
            </v:rect>
            <v:rect style="position:absolute;left:2900;top:2350;width:43;height:115" filled="false" stroked="true" strokeweight=".5pt" strokecolor="#000000">
              <v:stroke dashstyle="solid"/>
            </v:rect>
            <v:rect style="position:absolute;left:2993;top:2205;width:43;height:260" filled="true" fillcolor="#006caa" stroked="false">
              <v:fill type="solid"/>
            </v:rect>
            <v:rect style="position:absolute;left:2993;top:2205;width:43;height:260" filled="false" stroked="true" strokeweight=".5pt" strokecolor="#000000">
              <v:stroke dashstyle="solid"/>
            </v:rect>
            <v:rect style="position:absolute;left:3186;top:2144;width:45;height:323" filled="true" fillcolor="#006caa" stroked="false">
              <v:fill type="solid"/>
            </v:rect>
            <v:rect style="position:absolute;left:3186;top:2144;width:45;height:323" filled="false" stroked="true" strokeweight=".5pt" strokecolor="#000000">
              <v:stroke dashstyle="solid"/>
            </v:rect>
            <v:rect style="position:absolute;left:3373;top:1567;width:43;height:898" filled="true" fillcolor="#006caa" stroked="false">
              <v:fill type="solid"/>
            </v:rect>
            <v:rect style="position:absolute;left:3373;top:1567;width:43;height:898" filled="false" stroked="true" strokeweight=".5pt" strokecolor="#000000">
              <v:stroke dashstyle="solid"/>
            </v:rect>
            <v:rect style="position:absolute;left:3560;top:1997;width:45;height:468" filled="true" fillcolor="#006caa" stroked="false">
              <v:fill type="solid"/>
            </v:rect>
            <v:rect style="position:absolute;left:3560;top:1997;width:45;height:468" filled="false" stroked="true" strokeweight=".5pt" strokecolor="#000000">
              <v:stroke dashstyle="solid"/>
            </v:rect>
            <v:rect style="position:absolute;left:3743;top:2222;width:45;height:243" filled="true" fillcolor="#006caa" stroked="false">
              <v:fill type="solid"/>
            </v:rect>
            <v:rect style="position:absolute;left:3743;top:2222;width:45;height:243" filled="false" stroked="true" strokeweight=".5pt" strokecolor="#000000">
              <v:stroke dashstyle="solid"/>
            </v:rect>
            <v:shape style="position:absolute;left:862;top:68;width:3192;height:2399" coordorigin="862,68" coordsize="3192,2399" path="m949,2466l862,2466m1010,2466l3911,2466m1007,2412l1007,2466m1195,2412l1195,2466m1475,2412l1475,2466m2224,2412l2224,2466m3253,2412l3253,2466m3628,2412l3628,2466m3815,2360l3815,2466m1662,2412l1662,2466m2598,2412l2598,2466m3347,2412l3347,2466m1101,2412l1101,2466m1288,2412l1288,2466m1756,2412l1756,2466m2785,2412l2785,2466m3441,2412l3441,2466m3721,2412l3721,2466m3908,2412l3908,2466m1850,2412l1850,2466m2973,2412l2973,2466m3534,2412l3534,2466m1382,2412l1382,2466m2037,2412l2037,2466m3160,2412l3160,2466m1569,2360l1569,2466m2411,2412l2411,2466m4053,548l3967,548m4053,1507l3967,1507m4053,2467l3967,2467m4053,68l3967,68m4053,1027l3967,1027m4053,1987l3967,1987m2505,2412l2505,2466m2879,2412l2879,2466m1943,2412l1943,2466m2130,2412l2130,2466m2692,2360l2692,2466m3066,2412l3066,2466m2318,2412l2318,2466e" filled="false" stroked="true" strokeweight=".5pt" strokecolor="#000000">
              <v:path arrowok="t"/>
              <v:stroke dashstyle="solid"/>
            </v:shape>
            <w10:wrap type="none"/>
          </v:group>
        </w:pict>
      </w:r>
      <w:r>
        <w:rPr/>
        <w:pict>
          <v:line style="position:absolute;mso-position-horizontal-relative:page;mso-position-vertical-relative:paragraph;z-index:15887360" from="47.441002pt,3.358954pt" to="43.108002pt,3.358954pt" stroked="true" strokeweight=".5pt" strokecolor="#000000">
            <v:stroke dashstyle="solid"/>
            <w10:wrap type="none"/>
          </v:line>
        </w:pict>
      </w:r>
      <w:r>
        <w:rPr>
          <w:sz w:val="12"/>
        </w:rPr>
        <w:t>50</w:t>
      </w:r>
    </w:p>
    <w:p>
      <w:pPr>
        <w:pStyle w:val="BodyText"/>
        <w:rPr>
          <w:sz w:val="12"/>
        </w:rPr>
      </w:pPr>
    </w:p>
    <w:p>
      <w:pPr>
        <w:pStyle w:val="BodyText"/>
        <w:spacing w:before="8"/>
        <w:rPr>
          <w:sz w:val="17"/>
        </w:rPr>
      </w:pPr>
    </w:p>
    <w:p>
      <w:pPr>
        <w:spacing w:before="0"/>
        <w:ind w:left="0" w:right="852" w:firstLine="0"/>
        <w:jc w:val="right"/>
        <w:rPr>
          <w:sz w:val="12"/>
        </w:rPr>
      </w:pPr>
      <w:r>
        <w:rPr/>
        <w:pict>
          <v:line style="position:absolute;mso-position-horizontal-relative:page;mso-position-vertical-relative:paragraph;z-index:15886336" from="47.441002pt,3.386367pt" to="43.108002pt,3.386367pt" stroked="true" strokeweight=".5pt" strokecolor="#000000">
            <v:stroke dashstyle="solid"/>
            <w10:wrap type="none"/>
          </v:line>
        </w:pict>
      </w:r>
      <w:r>
        <w:rPr>
          <w:sz w:val="12"/>
        </w:rPr>
        <w:t>40</w:t>
      </w:r>
    </w:p>
    <w:p>
      <w:pPr>
        <w:pStyle w:val="BodyText"/>
        <w:rPr>
          <w:sz w:val="12"/>
        </w:rPr>
      </w:pPr>
    </w:p>
    <w:p>
      <w:pPr>
        <w:pStyle w:val="BodyText"/>
        <w:spacing w:before="8"/>
        <w:rPr>
          <w:sz w:val="17"/>
        </w:rPr>
      </w:pPr>
    </w:p>
    <w:p>
      <w:pPr>
        <w:spacing w:before="0"/>
        <w:ind w:left="0" w:right="852" w:firstLine="0"/>
        <w:jc w:val="right"/>
        <w:rPr>
          <w:sz w:val="12"/>
        </w:rPr>
      </w:pPr>
      <w:r>
        <w:rPr/>
        <w:pict>
          <v:line style="position:absolute;mso-position-horizontal-relative:page;mso-position-vertical-relative:paragraph;z-index:15887872" from="47.441002pt,3.413749pt" to="43.108002pt,3.413749pt" stroked="true" strokeweight=".5pt" strokecolor="#000000">
            <v:stroke dashstyle="solid"/>
            <w10:wrap type="none"/>
          </v:line>
        </w:pict>
      </w:r>
      <w:r>
        <w:rPr>
          <w:sz w:val="12"/>
        </w:rPr>
        <w:t>30</w:t>
      </w:r>
    </w:p>
    <w:p>
      <w:pPr>
        <w:pStyle w:val="BodyText"/>
        <w:rPr>
          <w:sz w:val="12"/>
        </w:rPr>
      </w:pPr>
    </w:p>
    <w:p>
      <w:pPr>
        <w:pStyle w:val="BodyText"/>
        <w:spacing w:before="7"/>
        <w:rPr>
          <w:sz w:val="17"/>
        </w:rPr>
      </w:pPr>
    </w:p>
    <w:p>
      <w:pPr>
        <w:spacing w:before="1"/>
        <w:ind w:left="0" w:right="852" w:firstLine="0"/>
        <w:jc w:val="right"/>
        <w:rPr>
          <w:sz w:val="12"/>
        </w:rPr>
      </w:pPr>
      <w:r>
        <w:rPr/>
        <w:pict>
          <v:line style="position:absolute;mso-position-horizontal-relative:page;mso-position-vertical-relative:paragraph;z-index:15886848" from="47.441002pt,3.491161pt" to="43.108002pt,3.491161pt" stroked="true" strokeweight=".5pt" strokecolor="#000000">
            <v:stroke dashstyle="solid"/>
            <w10:wrap type="none"/>
          </v:line>
        </w:pict>
      </w:r>
      <w:r>
        <w:rPr>
          <w:sz w:val="12"/>
        </w:rPr>
        <w:t>20</w:t>
      </w:r>
    </w:p>
    <w:p>
      <w:pPr>
        <w:pStyle w:val="BodyText"/>
        <w:rPr>
          <w:sz w:val="12"/>
        </w:rPr>
      </w:pPr>
    </w:p>
    <w:p>
      <w:pPr>
        <w:pStyle w:val="BodyText"/>
        <w:spacing w:before="7"/>
        <w:rPr>
          <w:sz w:val="17"/>
        </w:rPr>
      </w:pPr>
    </w:p>
    <w:p>
      <w:pPr>
        <w:spacing w:before="0"/>
        <w:ind w:left="0" w:right="852" w:firstLine="0"/>
        <w:jc w:val="right"/>
        <w:rPr>
          <w:sz w:val="12"/>
        </w:rPr>
      </w:pPr>
      <w:r>
        <w:rPr/>
        <w:pict>
          <v:line style="position:absolute;mso-position-horizontal-relative:page;mso-position-vertical-relative:paragraph;z-index:15888384" from="47.441002pt,3.468573pt" to="43.108002pt,3.468573pt" stroked="true" strokeweight=".5pt" strokecolor="#000000">
            <v:stroke dashstyle="solid"/>
            <w10:wrap type="none"/>
          </v:line>
        </w:pict>
      </w:r>
      <w:r>
        <w:rPr>
          <w:sz w:val="12"/>
        </w:rPr>
        <w:t>10</w:t>
      </w:r>
    </w:p>
    <w:p>
      <w:pPr>
        <w:pStyle w:val="BodyText"/>
        <w:rPr>
          <w:sz w:val="12"/>
        </w:rPr>
      </w:pPr>
    </w:p>
    <w:p>
      <w:pPr>
        <w:pStyle w:val="BodyText"/>
        <w:spacing w:before="8"/>
        <w:rPr>
          <w:sz w:val="17"/>
        </w:rPr>
      </w:pPr>
    </w:p>
    <w:p>
      <w:pPr>
        <w:spacing w:line="119" w:lineRule="exact" w:before="0"/>
        <w:ind w:left="3535" w:right="0" w:firstLine="0"/>
        <w:jc w:val="left"/>
        <w:rPr>
          <w:sz w:val="12"/>
        </w:rPr>
      </w:pPr>
      <w:r>
        <w:rPr>
          <w:sz w:val="12"/>
        </w:rPr>
        <w:t>0</w:t>
      </w:r>
    </w:p>
    <w:p>
      <w:pPr>
        <w:tabs>
          <w:tab w:pos="1532" w:val="left" w:leader="none"/>
          <w:tab w:pos="2526" w:val="left" w:leader="none"/>
          <w:tab w:pos="3180" w:val="left" w:leader="none"/>
        </w:tabs>
        <w:spacing w:line="119" w:lineRule="exact" w:before="0"/>
        <w:ind w:left="540" w:right="0" w:firstLine="0"/>
        <w:jc w:val="left"/>
        <w:rPr>
          <w:sz w:val="12"/>
        </w:rPr>
      </w:pPr>
      <w:r>
        <w:rPr>
          <w:sz w:val="12"/>
        </w:rPr>
        <w:t>1997</w:t>
        <w:tab/>
        <w:t>98</w:t>
        <w:tab/>
        <w:t>99</w:t>
        <w:tab/>
        <w:t>2000</w:t>
      </w:r>
    </w:p>
    <w:p>
      <w:pPr>
        <w:pStyle w:val="BodyText"/>
        <w:spacing w:before="10"/>
        <w:rPr>
          <w:sz w:val="13"/>
        </w:rPr>
      </w:pPr>
    </w:p>
    <w:p>
      <w:pPr>
        <w:spacing w:before="0"/>
        <w:ind w:left="213" w:right="0" w:firstLine="0"/>
        <w:jc w:val="left"/>
        <w:rPr>
          <w:sz w:val="12"/>
        </w:rPr>
      </w:pPr>
      <w:r>
        <w:rPr>
          <w:sz w:val="12"/>
        </w:rPr>
        <w:t>Source: Bank of England.</w:t>
      </w:r>
    </w:p>
    <w:p>
      <w:pPr>
        <w:pStyle w:val="BodyText"/>
        <w:spacing w:before="1"/>
        <w:rPr>
          <w:sz w:val="10"/>
        </w:rPr>
      </w:pPr>
    </w:p>
    <w:p>
      <w:pPr>
        <w:spacing w:line="208" w:lineRule="auto" w:before="1"/>
        <w:ind w:left="453" w:right="961" w:hanging="240"/>
        <w:jc w:val="left"/>
        <w:rPr>
          <w:sz w:val="12"/>
        </w:rPr>
      </w:pPr>
      <w:r>
        <w:rPr>
          <w:sz w:val="12"/>
        </w:rPr>
        <w:t>(a) Proportion of UK-listed companies reporting profit warnings to shareholders, citing sterling’s appreciation as a cause of the weaker profits.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9"/>
        <w:spacing w:before="85"/>
        <w:ind w:left="189"/>
      </w:pPr>
      <w:r>
        <w:rPr>
          <w:color w:val="0092C7"/>
        </w:rPr>
        <w:t>Chart 2.4</w:t>
      </w:r>
    </w:p>
    <w:p>
      <w:pPr>
        <w:spacing w:before="10"/>
        <w:ind w:left="189" w:right="0" w:firstLine="0"/>
        <w:jc w:val="left"/>
        <w:rPr>
          <w:sz w:val="12"/>
        </w:rPr>
      </w:pPr>
      <w:r>
        <w:rPr>
          <w:b/>
          <w:color w:val="0092C7"/>
          <w:sz w:val="20"/>
        </w:rPr>
        <w:t>Imports and domestic demand</w:t>
      </w:r>
      <w:r>
        <w:rPr>
          <w:position w:val="4"/>
          <w:sz w:val="12"/>
        </w:rPr>
        <w:t>(a)</w:t>
      </w:r>
    </w:p>
    <w:p>
      <w:pPr>
        <w:spacing w:line="121" w:lineRule="exact" w:before="130"/>
        <w:ind w:left="1523" w:right="0" w:firstLine="0"/>
        <w:jc w:val="left"/>
        <w:rPr>
          <w:sz w:val="12"/>
        </w:rPr>
      </w:pPr>
      <w:r>
        <w:rPr>
          <w:sz w:val="12"/>
        </w:rPr>
        <w:t>Percentage changes on previous quarter</w:t>
      </w:r>
    </w:p>
    <w:p>
      <w:pPr>
        <w:spacing w:line="121" w:lineRule="exact" w:before="0"/>
        <w:ind w:left="3499" w:right="0" w:firstLine="0"/>
        <w:jc w:val="left"/>
        <w:rPr>
          <w:sz w:val="12"/>
        </w:rPr>
      </w:pPr>
      <w:r>
        <w:rPr/>
        <w:pict>
          <v:group style="position:absolute;margin-left:42.303001pt;margin-top:11.108782pt;width:159.5pt;height:128.7pt;mso-position-horizontal-relative:page;mso-position-vertical-relative:paragraph;z-index:15890432" coordorigin="846,222" coordsize="3190,2574">
            <v:line style="position:absolute" from="999,2118" to="3893,2118" stroked="true" strokeweight=".5pt" strokecolor="#000000">
              <v:stroke dashstyle="solid"/>
            </v:line>
            <v:shape style="position:absolute;left:1006;top:238;width:2883;height:2548" coordorigin="1006,238" coordsize="2883,2548" path="m1006,1633l1114,2786m1114,2786l1224,1163m1224,1163l1334,1451m1334,1451l1444,1313m1444,1313l1564,1693m1564,1693l1674,2466m1674,2466l1784,373m1784,373l1894,2756m1894,2756l2004,571m2004,571l2114,1346m2114,1346l2221,1648m2221,1648l2331,466m2331,466l2454,1723m2454,1723l2564,1313m2564,1313l2674,1346m2674,1346l2781,1511m2781,1511l2891,238m2891,238l3001,1708m3001,1708l3111,556m3111,556l3221,1693m3221,1693l3329,1086m3329,1086l3451,1298m3451,1298l3561,1693m3561,1693l3671,1451m3671,1451l3781,1966m3781,1966l3889,268e" filled="false" stroked="true" strokeweight="1pt" strokecolor="#a64991">
              <v:path arrowok="t"/>
              <v:stroke dashstyle="solid"/>
            </v:shape>
            <v:shape style="position:absolute;left:996;top:1608;width:798;height:340" type="#_x0000_t75" stroked="false">
              <v:imagedata r:id="rId69" o:title=""/>
            </v:shape>
            <v:shape style="position:absolute;left:1783;top:1466;width:2105;height:1063" coordorigin="1784,1466" coordsize="2105,1063" path="m1784,1618l1894,2528m1894,2528l2004,1466m2004,1466l2114,2118m2114,2118l2221,1906m2221,1906l2331,1526m2331,1526l2454,1966m2454,1966l2564,1816m2564,1816l2674,1846m2674,1846l2781,1753m2781,1753l2891,1496m2891,1496l3001,1816m3001,1816l3111,1526m3111,1526l3221,1783m3221,1783l3329,1738m3329,1738l3451,1693m3451,1693l3561,1798m3561,1798l3671,1603m3671,1603l3781,2088m3781,2088l3889,1906e" filled="false" stroked="true" strokeweight="1pt" strokecolor="#006caa">
              <v:path arrowok="t"/>
              <v:stroke dashstyle="solid"/>
            </v:shape>
            <v:shape style="position:absolute;left:846;top:463;width:3190;height:2062" coordorigin="846,464" coordsize="3190,2062" path="m933,464l846,464m933,1288l846,1288m933,2112l846,2112m933,876l846,876m933,1700l846,1700m933,2524l846,2524m4036,465l3949,465m4036,1289l3949,1289m4036,2113l3949,2113m4036,877l3949,877m4036,1701l3949,1701m4036,2525l3949,2525e" filled="false" stroked="true" strokeweight=".5pt" strokecolor="#000000">
              <v:path arrowok="t"/>
              <v:stroke dashstyle="solid"/>
            </v:shape>
            <v:shape style="position:absolute;left:1061;top:222;width:840;height:254" type="#_x0000_t202" filled="false" stroked="false">
              <v:textbox inset="0,0,0,0">
                <w:txbxContent>
                  <w:p>
                    <w:pPr>
                      <w:spacing w:line="208" w:lineRule="auto" w:before="9"/>
                      <w:ind w:left="90" w:right="0" w:hanging="90"/>
                      <w:jc w:val="left"/>
                      <w:rPr>
                        <w:sz w:val="12"/>
                      </w:rPr>
                    </w:pPr>
                    <w:r>
                      <w:rPr>
                        <w:sz w:val="12"/>
                      </w:rPr>
                      <w:t>Imports of goods and services</w:t>
                    </w:r>
                  </w:p>
                </w:txbxContent>
              </v:textbox>
              <w10:wrap type="none"/>
            </v:shape>
            <v:shape style="position:absolute;left:2515;top:1913;width:890;height:134" type="#_x0000_t202" filled="false" stroked="false">
              <v:textbox inset="0,0,0,0">
                <w:txbxContent>
                  <w:p>
                    <w:pPr>
                      <w:spacing w:line="133" w:lineRule="exact" w:before="0"/>
                      <w:ind w:left="0" w:right="0" w:firstLine="0"/>
                      <w:jc w:val="left"/>
                      <w:rPr>
                        <w:sz w:val="12"/>
                      </w:rPr>
                    </w:pPr>
                    <w:r>
                      <w:rPr>
                        <w:sz w:val="12"/>
                      </w:rPr>
                      <w:t>Domestic demand</w:t>
                    </w:r>
                  </w:p>
                </w:txbxContent>
              </v:textbox>
              <w10:wrap type="none"/>
            </v:shape>
            <w10:wrap type="none"/>
          </v:group>
        </w:pict>
      </w:r>
      <w:r>
        <w:rPr/>
        <w:pict>
          <v:line style="position:absolute;mso-position-horizontal-relative:page;mso-position-vertical-relative:paragraph;z-index:15890944" from="46.637001pt,2.591677pt" to="42.303001pt,2.591677pt" stroked="true" strokeweight=".5pt" strokecolor="#000000">
            <v:stroke dashstyle="solid"/>
            <w10:wrap type="none"/>
          </v:line>
        </w:pict>
      </w:r>
      <w:r>
        <w:rPr/>
        <w:pict>
          <v:line style="position:absolute;mso-position-horizontal-relative:page;mso-position-vertical-relative:paragraph;z-index:15891968" from="201.803001pt,2.622677pt" to="197.470001pt,2.622677pt" stroked="true" strokeweight=".5pt" strokecolor="#000000">
            <v:stroke dashstyle="solid"/>
            <w10:wrap type="none"/>
          </v:line>
        </w:pict>
      </w:r>
      <w:r>
        <w:rPr>
          <w:sz w:val="12"/>
        </w:rPr>
        <w:t>5</w:t>
      </w:r>
    </w:p>
    <w:p>
      <w:pPr>
        <w:pStyle w:val="BodyText"/>
        <w:rPr>
          <w:sz w:val="12"/>
        </w:rPr>
      </w:pPr>
    </w:p>
    <w:p>
      <w:pPr>
        <w:pStyle w:val="BodyText"/>
        <w:spacing w:before="9"/>
        <w:rPr>
          <w:sz w:val="11"/>
        </w:rPr>
      </w:pPr>
    </w:p>
    <w:p>
      <w:pPr>
        <w:spacing w:before="0"/>
        <w:ind w:left="0" w:right="888" w:firstLine="0"/>
        <w:jc w:val="right"/>
        <w:rPr>
          <w:sz w:val="12"/>
        </w:rPr>
      </w:pPr>
      <w:r>
        <w:rPr>
          <w:sz w:val="12"/>
        </w:rPr>
        <w:t>4</w:t>
      </w:r>
    </w:p>
    <w:p>
      <w:pPr>
        <w:pStyle w:val="BodyText"/>
        <w:rPr>
          <w:sz w:val="12"/>
        </w:rPr>
      </w:pPr>
    </w:p>
    <w:p>
      <w:pPr>
        <w:pStyle w:val="BodyText"/>
        <w:spacing w:before="9"/>
        <w:rPr>
          <w:sz w:val="11"/>
        </w:rPr>
      </w:pPr>
    </w:p>
    <w:p>
      <w:pPr>
        <w:spacing w:before="0"/>
        <w:ind w:left="0" w:right="888" w:firstLine="0"/>
        <w:jc w:val="right"/>
        <w:rPr>
          <w:sz w:val="12"/>
        </w:rPr>
      </w:pPr>
      <w:r>
        <w:rPr>
          <w:sz w:val="12"/>
        </w:rPr>
        <w:t>3</w:t>
      </w:r>
    </w:p>
    <w:p>
      <w:pPr>
        <w:pStyle w:val="BodyText"/>
        <w:rPr>
          <w:sz w:val="12"/>
        </w:rPr>
      </w:pPr>
    </w:p>
    <w:p>
      <w:pPr>
        <w:pStyle w:val="BodyText"/>
        <w:spacing w:before="9"/>
        <w:rPr>
          <w:sz w:val="11"/>
        </w:rPr>
      </w:pPr>
    </w:p>
    <w:p>
      <w:pPr>
        <w:spacing w:before="0"/>
        <w:ind w:left="0" w:right="888" w:firstLine="0"/>
        <w:jc w:val="right"/>
        <w:rPr>
          <w:sz w:val="12"/>
        </w:rPr>
      </w:pPr>
      <w:r>
        <w:rPr>
          <w:sz w:val="12"/>
        </w:rPr>
        <w:t>2</w:t>
      </w:r>
    </w:p>
    <w:p>
      <w:pPr>
        <w:pStyle w:val="BodyText"/>
        <w:rPr>
          <w:sz w:val="12"/>
        </w:rPr>
      </w:pPr>
    </w:p>
    <w:p>
      <w:pPr>
        <w:pStyle w:val="BodyText"/>
        <w:spacing w:before="9"/>
        <w:rPr>
          <w:sz w:val="11"/>
        </w:rPr>
      </w:pPr>
    </w:p>
    <w:p>
      <w:pPr>
        <w:spacing w:before="0"/>
        <w:ind w:left="0" w:right="888" w:firstLine="0"/>
        <w:jc w:val="right"/>
        <w:rPr>
          <w:sz w:val="12"/>
        </w:rPr>
      </w:pPr>
      <w:r>
        <w:rPr>
          <w:sz w:val="12"/>
        </w:rPr>
        <w:t>1</w:t>
      </w:r>
    </w:p>
    <w:p>
      <w:pPr>
        <w:spacing w:before="29"/>
        <w:ind w:left="3412" w:right="0" w:firstLine="0"/>
        <w:jc w:val="left"/>
        <w:rPr>
          <w:sz w:val="16"/>
        </w:rPr>
      </w:pPr>
      <w:r>
        <w:rPr>
          <w:sz w:val="16"/>
        </w:rPr>
        <w:t>+</w:t>
      </w:r>
    </w:p>
    <w:p>
      <w:pPr>
        <w:spacing w:before="60"/>
        <w:ind w:left="0" w:right="888" w:firstLine="0"/>
        <w:jc w:val="right"/>
        <w:rPr>
          <w:sz w:val="12"/>
        </w:rPr>
      </w:pPr>
      <w:r>
        <w:rPr>
          <w:sz w:val="12"/>
        </w:rPr>
        <w:t>0</w:t>
      </w:r>
    </w:p>
    <w:p>
      <w:pPr>
        <w:spacing w:before="15"/>
        <w:ind w:left="3417" w:right="0" w:firstLine="0"/>
        <w:jc w:val="left"/>
        <w:rPr>
          <w:sz w:val="16"/>
        </w:rPr>
      </w:pPr>
      <w:r>
        <w:rPr>
          <w:sz w:val="16"/>
        </w:rPr>
        <w:t>–</w:t>
      </w:r>
    </w:p>
    <w:p>
      <w:pPr>
        <w:spacing w:before="75"/>
        <w:ind w:left="0" w:right="888" w:firstLine="0"/>
        <w:jc w:val="right"/>
        <w:rPr>
          <w:sz w:val="12"/>
        </w:rPr>
      </w:pPr>
      <w:r>
        <w:rPr>
          <w:sz w:val="12"/>
        </w:rPr>
        <w:t>1</w:t>
      </w:r>
    </w:p>
    <w:p>
      <w:pPr>
        <w:pStyle w:val="BodyText"/>
        <w:rPr>
          <w:sz w:val="12"/>
        </w:rPr>
      </w:pPr>
    </w:p>
    <w:p>
      <w:pPr>
        <w:pStyle w:val="BodyText"/>
        <w:spacing w:before="9"/>
        <w:rPr>
          <w:sz w:val="11"/>
        </w:rPr>
      </w:pPr>
    </w:p>
    <w:p>
      <w:pPr>
        <w:spacing w:line="120" w:lineRule="exact" w:before="0"/>
        <w:ind w:left="3499" w:right="0" w:firstLine="0"/>
        <w:jc w:val="left"/>
        <w:rPr>
          <w:sz w:val="12"/>
        </w:rPr>
      </w:pPr>
      <w:r>
        <w:rPr/>
        <w:pict>
          <v:shape style="position:absolute;margin-left:42.303001pt;margin-top:1.018565pt;width:159.5pt;height:2.7pt;mso-position-horizontal-relative:page;mso-position-vertical-relative:paragraph;z-index:15891456" coordorigin="846,20" coordsize="3190,54" path="m933,73l846,73m1001,74l3893,74m999,20l999,74m1886,20l1886,74m3216,20l3216,74m1442,20l1442,74m2329,20l2329,74m2773,20l2773,74m3659,20l3659,74m4036,74l3949,74e" filled="false" stroked="true" strokeweight=".5pt" strokecolor="#000000">
            <v:path arrowok="t"/>
            <v:stroke dashstyle="solid"/>
            <w10:wrap type="none"/>
          </v:shape>
        </w:pict>
      </w:r>
      <w:r>
        <w:rPr>
          <w:sz w:val="12"/>
        </w:rPr>
        <w:t>2</w:t>
      </w:r>
    </w:p>
    <w:p>
      <w:pPr>
        <w:tabs>
          <w:tab w:pos="1005" w:val="left" w:leader="none"/>
          <w:tab w:pos="1450" w:val="left" w:leader="none"/>
          <w:tab w:pos="1894" w:val="left" w:leader="none"/>
          <w:tab w:pos="2339" w:val="left" w:leader="none"/>
          <w:tab w:pos="2783" w:val="left" w:leader="none"/>
          <w:tab w:pos="3143" w:val="left" w:leader="none"/>
        </w:tabs>
        <w:spacing w:line="120" w:lineRule="exact" w:before="0"/>
        <w:ind w:left="478" w:right="0" w:firstLine="0"/>
        <w:jc w:val="left"/>
        <w:rPr>
          <w:sz w:val="12"/>
        </w:rPr>
      </w:pPr>
      <w:r>
        <w:rPr>
          <w:sz w:val="12"/>
        </w:rPr>
        <w:t>1993</w:t>
        <w:tab/>
        <w:t>94</w:t>
        <w:tab/>
        <w:t>95</w:t>
        <w:tab/>
        <w:t>96</w:t>
        <w:tab/>
        <w:t>97</w:t>
        <w:tab/>
        <w:t>98</w:t>
        <w:tab/>
        <w:t>99</w:t>
      </w:r>
    </w:p>
    <w:p>
      <w:pPr>
        <w:pStyle w:val="BodyText"/>
        <w:rPr>
          <w:sz w:val="12"/>
        </w:rPr>
      </w:pPr>
    </w:p>
    <w:p>
      <w:pPr>
        <w:spacing w:before="0"/>
        <w:ind w:left="170" w:right="0" w:firstLine="0"/>
        <w:jc w:val="left"/>
        <w:rPr>
          <w:sz w:val="12"/>
        </w:rPr>
      </w:pPr>
      <w:r>
        <w:rPr>
          <w:sz w:val="12"/>
        </w:rPr>
        <w:t>(a) At constant 1995 prices.</w:t>
      </w:r>
    </w:p>
    <w:p>
      <w:pPr>
        <w:pStyle w:val="Heading6"/>
        <w:spacing w:line="242" w:lineRule="auto" w:before="227"/>
        <w:ind w:left="170" w:right="208"/>
      </w:pPr>
      <w:r>
        <w:rPr/>
        <w:br w:type="column"/>
      </w:r>
      <w:r>
        <w:rPr/>
        <w:t>growth of 2.6% in Q2, with a steep increase in goods exports outweighing a small decline in services exports. That exceptionally sharp increase was partly reversed in the autumn, and monthly data suggest that total exports were weaker in Q4. However, exports strengthened over 1999 as a whole (see Chart 2.2). The pick-up in UK goods exports in 1999 occurred across a broad range of countries, though the strong growth in exports in July and August was most marked in sales to countries outside the European Union.</w:t>
      </w:r>
    </w:p>
    <w:p>
      <w:pPr>
        <w:pStyle w:val="BodyText"/>
        <w:spacing w:before="5"/>
        <w:rPr>
          <w:sz w:val="25"/>
        </w:rPr>
      </w:pPr>
    </w:p>
    <w:p>
      <w:pPr>
        <w:spacing w:line="242" w:lineRule="auto" w:before="0"/>
        <w:ind w:left="170" w:right="240" w:firstLine="0"/>
        <w:jc w:val="left"/>
        <w:rPr>
          <w:sz w:val="24"/>
        </w:rPr>
      </w:pPr>
      <w:r>
        <w:rPr>
          <w:sz w:val="24"/>
        </w:rPr>
        <w:t>As Chart 2.1 shows, the improvement in the United </w:t>
      </w:r>
      <w:r>
        <w:rPr>
          <w:spacing w:val="-3"/>
          <w:sz w:val="24"/>
        </w:rPr>
        <w:t>Kingdom’s </w:t>
      </w:r>
      <w:r>
        <w:rPr>
          <w:sz w:val="24"/>
        </w:rPr>
        <w:t>export performance in recent quarters has broadly matched the growth of UK export markets, despite the continued appreciation of sterling, particularly against the euro. Survey data also suggest that firms remain more optimistic about their export prospects than in the first half of 1999 (see </w:t>
      </w:r>
      <w:r>
        <w:rPr>
          <w:spacing w:val="-5"/>
          <w:sz w:val="24"/>
        </w:rPr>
        <w:t>Table </w:t>
      </w:r>
      <w:r>
        <w:rPr>
          <w:sz w:val="24"/>
        </w:rPr>
        <w:t>2.A). Some producers may </w:t>
      </w:r>
      <w:r>
        <w:rPr>
          <w:spacing w:val="-3"/>
          <w:sz w:val="24"/>
        </w:rPr>
        <w:t>have </w:t>
      </w:r>
      <w:r>
        <w:rPr>
          <w:sz w:val="24"/>
        </w:rPr>
        <w:t>sought to retain their share of export markets in the face of the exchange rate appreciation by not passing on its effects to their foreign-currency export prices. Consistent with this, sterling prices of UK non-oil exports fell by around 2% in the first three quarters of 1999. A recent survey by the </w:t>
      </w:r>
      <w:r>
        <w:rPr>
          <w:spacing w:val="-3"/>
          <w:sz w:val="24"/>
        </w:rPr>
        <w:t>Bank’s </w:t>
      </w:r>
      <w:r>
        <w:rPr>
          <w:sz w:val="24"/>
        </w:rPr>
        <w:t>regional Agents also suggested that exporters’ acceptance of lower profit margins was an important influence on recent export growth. </w:t>
      </w:r>
      <w:r>
        <w:rPr>
          <w:spacing w:val="-4"/>
          <w:sz w:val="24"/>
        </w:rPr>
        <w:t>However, </w:t>
      </w:r>
      <w:r>
        <w:rPr>
          <w:sz w:val="24"/>
        </w:rPr>
        <w:t>the proportion of firms citing the exchange rate as a causal factor in weaker-than-expected profits appears to </w:t>
      </w:r>
      <w:r>
        <w:rPr>
          <w:spacing w:val="-3"/>
          <w:sz w:val="24"/>
        </w:rPr>
        <w:t>have </w:t>
      </w:r>
      <w:r>
        <w:rPr>
          <w:sz w:val="24"/>
        </w:rPr>
        <w:t>decreased since the end of 1998 (see Chart</w:t>
      </w:r>
      <w:r>
        <w:rPr>
          <w:spacing w:val="-25"/>
          <w:sz w:val="24"/>
        </w:rPr>
        <w:t> </w:t>
      </w:r>
      <w:r>
        <w:rPr>
          <w:sz w:val="24"/>
        </w:rPr>
        <w:t>2.3).</w:t>
      </w:r>
    </w:p>
    <w:p>
      <w:pPr>
        <w:spacing w:line="242" w:lineRule="auto" w:before="24"/>
        <w:ind w:left="170" w:right="133" w:firstLine="0"/>
        <w:jc w:val="left"/>
        <w:rPr>
          <w:sz w:val="24"/>
        </w:rPr>
      </w:pPr>
      <w:r>
        <w:rPr>
          <w:sz w:val="24"/>
        </w:rPr>
        <w:t>Furthermore, manufacturing productivity growth has risen substantially since the beginning of 1999, as output growth has strengthened and firms have shed labour. So some firms may have found efficiencies in production techniques that have helped them to adapt to the higher exchange rate.</w:t>
      </w:r>
    </w:p>
    <w:p>
      <w:pPr>
        <w:pStyle w:val="BodyText"/>
        <w:rPr>
          <w:sz w:val="25"/>
        </w:rPr>
      </w:pPr>
    </w:p>
    <w:p>
      <w:pPr>
        <w:spacing w:line="242" w:lineRule="auto" w:before="1"/>
        <w:ind w:left="170" w:right="264" w:firstLine="0"/>
        <w:jc w:val="left"/>
        <w:rPr>
          <w:sz w:val="24"/>
        </w:rPr>
      </w:pPr>
      <w:r>
        <w:rPr>
          <w:sz w:val="24"/>
        </w:rPr>
        <w:t>Net trade contributed 0.3 percentage points to GDP growth in 1999 Q3. Despite the robust growth of exports in 1999 Q3, this contribution to GDP growth was</w:t>
      </w:r>
      <w:r>
        <w:rPr>
          <w:spacing w:val="-6"/>
          <w:sz w:val="24"/>
        </w:rPr>
        <w:t> </w:t>
      </w:r>
      <w:r>
        <w:rPr>
          <w:sz w:val="24"/>
        </w:rPr>
        <w:t>smaller</w:t>
      </w:r>
      <w:r>
        <w:rPr>
          <w:spacing w:val="-5"/>
          <w:sz w:val="24"/>
        </w:rPr>
        <w:t> </w:t>
      </w:r>
      <w:r>
        <w:rPr>
          <w:sz w:val="24"/>
        </w:rPr>
        <w:t>than</w:t>
      </w:r>
      <w:r>
        <w:rPr>
          <w:spacing w:val="-5"/>
          <w:sz w:val="24"/>
        </w:rPr>
        <w:t> </w:t>
      </w:r>
      <w:r>
        <w:rPr>
          <w:sz w:val="24"/>
        </w:rPr>
        <w:t>in</w:t>
      </w:r>
      <w:r>
        <w:rPr>
          <w:spacing w:val="-5"/>
          <w:sz w:val="24"/>
        </w:rPr>
        <w:t> </w:t>
      </w:r>
      <w:r>
        <w:rPr>
          <w:sz w:val="24"/>
        </w:rPr>
        <w:t>Q2,</w:t>
      </w:r>
      <w:r>
        <w:rPr>
          <w:spacing w:val="-5"/>
          <w:sz w:val="24"/>
        </w:rPr>
        <w:t> </w:t>
      </w:r>
      <w:r>
        <w:rPr>
          <w:sz w:val="24"/>
        </w:rPr>
        <w:t>as</w:t>
      </w:r>
      <w:r>
        <w:rPr>
          <w:spacing w:val="-5"/>
          <w:sz w:val="24"/>
        </w:rPr>
        <w:t> </w:t>
      </w:r>
      <w:r>
        <w:rPr>
          <w:sz w:val="24"/>
        </w:rPr>
        <w:t>import</w:t>
      </w:r>
      <w:r>
        <w:rPr>
          <w:spacing w:val="-5"/>
          <w:sz w:val="24"/>
        </w:rPr>
        <w:t> </w:t>
      </w:r>
      <w:r>
        <w:rPr>
          <w:sz w:val="24"/>
        </w:rPr>
        <w:t>growth</w:t>
      </w:r>
      <w:r>
        <w:rPr>
          <w:spacing w:val="-5"/>
          <w:sz w:val="24"/>
        </w:rPr>
        <w:t> </w:t>
      </w:r>
      <w:r>
        <w:rPr>
          <w:sz w:val="24"/>
        </w:rPr>
        <w:t>also</w:t>
      </w:r>
      <w:r>
        <w:rPr>
          <w:spacing w:val="-5"/>
          <w:sz w:val="24"/>
        </w:rPr>
        <w:t> </w:t>
      </w:r>
      <w:r>
        <w:rPr>
          <w:sz w:val="24"/>
        </w:rPr>
        <w:t>picked</w:t>
      </w:r>
      <w:r>
        <w:rPr>
          <w:spacing w:val="-5"/>
          <w:sz w:val="24"/>
        </w:rPr>
        <w:t> </w:t>
      </w:r>
      <w:r>
        <w:rPr>
          <w:sz w:val="24"/>
        </w:rPr>
        <w:t>up </w:t>
      </w:r>
      <w:r>
        <w:rPr>
          <w:spacing w:val="-3"/>
          <w:sz w:val="24"/>
        </w:rPr>
        <w:t>strongly. </w:t>
      </w:r>
      <w:r>
        <w:rPr>
          <w:sz w:val="24"/>
        </w:rPr>
        <w:t>Changes in import growth tend to reflect movements in domestic demand growth, which was stronger in Q3 than in Q2 (see Chart 2.4), largely on account of the rebuilding of inventories in Q3. Previous </w:t>
      </w:r>
      <w:r>
        <w:rPr>
          <w:i/>
          <w:sz w:val="24"/>
        </w:rPr>
        <w:t>Reports </w:t>
      </w:r>
      <w:r>
        <w:rPr>
          <w:spacing w:val="-3"/>
          <w:sz w:val="24"/>
        </w:rPr>
        <w:t>have </w:t>
      </w:r>
      <w:r>
        <w:rPr>
          <w:sz w:val="24"/>
        </w:rPr>
        <w:t>noted that the </w:t>
      </w:r>
      <w:r>
        <w:rPr>
          <w:spacing w:val="-3"/>
          <w:sz w:val="24"/>
        </w:rPr>
        <w:t>slowdown </w:t>
      </w:r>
      <w:r>
        <w:rPr>
          <w:sz w:val="24"/>
        </w:rPr>
        <w:t>in import growth during early 1999 might correspondingly </w:t>
      </w:r>
      <w:r>
        <w:rPr>
          <w:spacing w:val="-3"/>
          <w:sz w:val="24"/>
        </w:rPr>
        <w:t>have </w:t>
      </w:r>
      <w:r>
        <w:rPr>
          <w:sz w:val="24"/>
        </w:rPr>
        <w:t>reflected reductions in </w:t>
      </w:r>
      <w:r>
        <w:rPr>
          <w:spacing w:val="-3"/>
          <w:sz w:val="24"/>
        </w:rPr>
        <w:t>inventory </w:t>
      </w:r>
      <w:r>
        <w:rPr>
          <w:spacing w:val="-2"/>
          <w:sz w:val="24"/>
        </w:rPr>
        <w:t>levels </w:t>
      </w:r>
      <w:r>
        <w:rPr>
          <w:sz w:val="24"/>
        </w:rPr>
        <w:t>by UK firms at that time. The appreciation of sterling during 1999 could also </w:t>
      </w:r>
      <w:r>
        <w:rPr>
          <w:spacing w:val="-3"/>
          <w:sz w:val="24"/>
        </w:rPr>
        <w:t>have </w:t>
      </w:r>
      <w:r>
        <w:rPr>
          <w:sz w:val="24"/>
        </w:rPr>
        <w:t>tended to increase import penetration in recent quarters.</w:t>
      </w:r>
    </w:p>
    <w:p>
      <w:pPr>
        <w:spacing w:after="0" w:line="242" w:lineRule="auto"/>
        <w:jc w:val="left"/>
        <w:rPr>
          <w:sz w:val="24"/>
        </w:rPr>
        <w:sectPr>
          <w:type w:val="continuous"/>
          <w:pgSz w:w="11900" w:h="16840"/>
          <w:pgMar w:top="1220" w:bottom="280" w:left="620" w:right="640"/>
          <w:cols w:num="2" w:equalWidth="0">
            <w:col w:w="4450" w:space="368"/>
            <w:col w:w="5822"/>
          </w:cols>
        </w:sectPr>
      </w:pPr>
    </w:p>
    <w:p>
      <w:pPr>
        <w:pStyle w:val="BodyText"/>
        <w:spacing w:line="20" w:lineRule="exact"/>
        <w:ind w:left="14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spacing w:after="0"/>
        <w:rPr>
          <w:sz w:val="20"/>
        </w:rPr>
        <w:sectPr>
          <w:pgSz w:w="11900" w:h="16840"/>
          <w:pgMar w:header="586" w:footer="617" w:top="780" w:bottom="800" w:left="62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31"/>
        </w:rPr>
      </w:pPr>
    </w:p>
    <w:p>
      <w:pPr>
        <w:pStyle w:val="Heading9"/>
        <w:spacing w:before="0"/>
        <w:ind w:left="176"/>
      </w:pPr>
      <w:bookmarkStart w:name="Domestic demand" w:id="33"/>
      <w:bookmarkEnd w:id="33"/>
      <w:r>
        <w:rPr>
          <w:b w:val="0"/>
        </w:rPr>
      </w:r>
      <w:bookmarkStart w:name="Consumption" w:id="34"/>
      <w:bookmarkEnd w:id="34"/>
      <w:r>
        <w:rPr>
          <w:b w:val="0"/>
        </w:rPr>
      </w:r>
      <w:bookmarkStart w:name="_bookmark12" w:id="35"/>
      <w:bookmarkEnd w:id="35"/>
      <w:r>
        <w:rPr>
          <w:b w:val="0"/>
        </w:rPr>
      </w:r>
      <w:r>
        <w:rPr>
          <w:color w:val="0092C7"/>
        </w:rPr>
        <w:t>Table 2.B</w:t>
      </w:r>
    </w:p>
    <w:p>
      <w:pPr>
        <w:spacing w:before="10"/>
        <w:ind w:left="176" w:right="0" w:firstLine="0"/>
        <w:jc w:val="left"/>
        <w:rPr>
          <w:sz w:val="12"/>
        </w:rPr>
      </w:pPr>
      <w:r>
        <w:rPr>
          <w:b/>
          <w:color w:val="0092C7"/>
          <w:sz w:val="20"/>
        </w:rPr>
        <w:t>GDP and expenditure components</w:t>
      </w:r>
      <w:r>
        <w:rPr>
          <w:position w:val="4"/>
          <w:sz w:val="12"/>
        </w:rPr>
        <w:t>(a)</w:t>
      </w:r>
    </w:p>
    <w:p>
      <w:pPr>
        <w:spacing w:before="106"/>
        <w:ind w:left="0" w:right="1862" w:firstLine="0"/>
        <w:jc w:val="right"/>
        <w:rPr>
          <w:sz w:val="14"/>
        </w:rPr>
      </w:pPr>
      <w:r>
        <w:rPr>
          <w:sz w:val="14"/>
        </w:rPr>
        <w:t>Percentage changes on a quarter earlier</w:t>
      </w:r>
    </w:p>
    <w:p>
      <w:pPr>
        <w:pStyle w:val="BodyText"/>
        <w:spacing w:before="10"/>
        <w:rPr>
          <w:sz w:val="10"/>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50"/>
        <w:gridCol w:w="329"/>
        <w:gridCol w:w="322"/>
        <w:gridCol w:w="294"/>
        <w:gridCol w:w="247"/>
        <w:gridCol w:w="284"/>
        <w:gridCol w:w="225"/>
        <w:gridCol w:w="396"/>
      </w:tblGrid>
      <w:tr>
        <w:trPr>
          <w:trHeight w:val="160" w:hRule="atLeast"/>
        </w:trPr>
        <w:tc>
          <w:tcPr>
            <w:tcW w:w="2479" w:type="dxa"/>
            <w:gridSpan w:val="2"/>
          </w:tcPr>
          <w:p>
            <w:pPr>
              <w:pStyle w:val="TableParagraph"/>
              <w:spacing w:line="140" w:lineRule="exact"/>
              <w:ind w:right="-15"/>
              <w:jc w:val="right"/>
              <w:rPr>
                <w:sz w:val="14"/>
              </w:rPr>
            </w:pPr>
            <w:r>
              <w:rPr>
                <w:sz w:val="14"/>
                <w:u w:val="single"/>
              </w:rPr>
              <w:t>1998 </w:t>
            </w:r>
          </w:p>
        </w:tc>
        <w:tc>
          <w:tcPr>
            <w:tcW w:w="1768" w:type="dxa"/>
            <w:gridSpan w:val="6"/>
          </w:tcPr>
          <w:p>
            <w:pPr>
              <w:pStyle w:val="TableParagraph"/>
              <w:tabs>
                <w:tab w:pos="1714" w:val="left" w:leader="none"/>
              </w:tabs>
              <w:spacing w:line="140" w:lineRule="exact"/>
              <w:ind w:left="321"/>
              <w:rPr>
                <w:sz w:val="14"/>
              </w:rPr>
            </w:pPr>
            <w:r>
              <w:rPr>
                <w:sz w:val="14"/>
                <w:u w:val="single"/>
              </w:rPr>
              <w:t>1999</w:t>
              <w:tab/>
            </w:r>
          </w:p>
        </w:tc>
      </w:tr>
      <w:tr>
        <w:trPr>
          <w:trHeight w:val="175" w:hRule="atLeast"/>
        </w:trPr>
        <w:tc>
          <w:tcPr>
            <w:tcW w:w="2150" w:type="dxa"/>
          </w:tcPr>
          <w:p>
            <w:pPr>
              <w:pStyle w:val="TableParagraph"/>
              <w:rPr>
                <w:sz w:val="10"/>
              </w:rPr>
            </w:pPr>
          </w:p>
        </w:tc>
        <w:tc>
          <w:tcPr>
            <w:tcW w:w="329" w:type="dxa"/>
            <w:tcBorders>
              <w:bottom w:val="single" w:sz="2" w:space="0" w:color="000000"/>
            </w:tcBorders>
          </w:tcPr>
          <w:p>
            <w:pPr>
              <w:pStyle w:val="TableParagraph"/>
              <w:spacing w:line="155" w:lineRule="exact"/>
              <w:rPr>
                <w:sz w:val="14"/>
              </w:rPr>
            </w:pPr>
            <w:r>
              <w:rPr>
                <w:sz w:val="14"/>
              </w:rPr>
              <w:t>Q4</w:t>
            </w:r>
          </w:p>
        </w:tc>
        <w:tc>
          <w:tcPr>
            <w:tcW w:w="322" w:type="dxa"/>
          </w:tcPr>
          <w:p>
            <w:pPr>
              <w:pStyle w:val="TableParagraph"/>
              <w:rPr>
                <w:sz w:val="10"/>
              </w:rPr>
            </w:pPr>
          </w:p>
        </w:tc>
        <w:tc>
          <w:tcPr>
            <w:tcW w:w="294" w:type="dxa"/>
            <w:tcBorders>
              <w:bottom w:val="single" w:sz="2" w:space="0" w:color="000000"/>
            </w:tcBorders>
          </w:tcPr>
          <w:p>
            <w:pPr>
              <w:pStyle w:val="TableParagraph"/>
              <w:spacing w:line="152" w:lineRule="exact"/>
              <w:ind w:left="-1"/>
              <w:rPr>
                <w:sz w:val="14"/>
              </w:rPr>
            </w:pPr>
            <w:r>
              <w:rPr>
                <w:sz w:val="14"/>
              </w:rPr>
              <w:t>Q1</w:t>
            </w:r>
          </w:p>
        </w:tc>
        <w:tc>
          <w:tcPr>
            <w:tcW w:w="247" w:type="dxa"/>
          </w:tcPr>
          <w:p>
            <w:pPr>
              <w:pStyle w:val="TableParagraph"/>
              <w:rPr>
                <w:sz w:val="10"/>
              </w:rPr>
            </w:pPr>
          </w:p>
        </w:tc>
        <w:tc>
          <w:tcPr>
            <w:tcW w:w="284" w:type="dxa"/>
            <w:tcBorders>
              <w:bottom w:val="single" w:sz="2" w:space="0" w:color="000000"/>
            </w:tcBorders>
          </w:tcPr>
          <w:p>
            <w:pPr>
              <w:pStyle w:val="TableParagraph"/>
              <w:spacing w:line="155" w:lineRule="exact"/>
              <w:ind w:left="-2"/>
              <w:rPr>
                <w:sz w:val="14"/>
              </w:rPr>
            </w:pPr>
            <w:r>
              <w:rPr>
                <w:sz w:val="14"/>
              </w:rPr>
              <w:t>Q2</w:t>
            </w:r>
          </w:p>
        </w:tc>
        <w:tc>
          <w:tcPr>
            <w:tcW w:w="225" w:type="dxa"/>
          </w:tcPr>
          <w:p>
            <w:pPr>
              <w:pStyle w:val="TableParagraph"/>
              <w:rPr>
                <w:sz w:val="10"/>
              </w:rPr>
            </w:pPr>
          </w:p>
        </w:tc>
        <w:tc>
          <w:tcPr>
            <w:tcW w:w="396" w:type="dxa"/>
            <w:tcBorders>
              <w:bottom w:val="single" w:sz="2" w:space="0" w:color="000000"/>
            </w:tcBorders>
          </w:tcPr>
          <w:p>
            <w:pPr>
              <w:pStyle w:val="TableParagraph"/>
              <w:spacing w:line="155" w:lineRule="exact"/>
              <w:ind w:left="-3" w:right="164"/>
              <w:jc w:val="right"/>
              <w:rPr>
                <w:sz w:val="14"/>
              </w:rPr>
            </w:pPr>
            <w:r>
              <w:rPr>
                <w:sz w:val="14"/>
              </w:rPr>
              <w:t>Q3</w:t>
            </w:r>
          </w:p>
        </w:tc>
      </w:tr>
      <w:tr>
        <w:trPr>
          <w:trHeight w:val="387" w:hRule="atLeast"/>
        </w:trPr>
        <w:tc>
          <w:tcPr>
            <w:tcW w:w="2150" w:type="dxa"/>
          </w:tcPr>
          <w:p>
            <w:pPr>
              <w:pStyle w:val="TableParagraph"/>
              <w:spacing w:line="150" w:lineRule="exact" w:before="94"/>
              <w:ind w:left="50"/>
              <w:rPr>
                <w:sz w:val="14"/>
              </w:rPr>
            </w:pPr>
            <w:r>
              <w:rPr>
                <w:sz w:val="14"/>
              </w:rPr>
              <w:t>Consumption:</w:t>
            </w:r>
          </w:p>
          <w:p>
            <w:pPr>
              <w:pStyle w:val="TableParagraph"/>
              <w:spacing w:line="123" w:lineRule="exact"/>
              <w:ind w:left="210"/>
              <w:rPr>
                <w:sz w:val="12"/>
              </w:rPr>
            </w:pPr>
            <w:r>
              <w:rPr>
                <w:i/>
                <w:sz w:val="14"/>
              </w:rPr>
              <w:t>Households </w:t>
            </w:r>
            <w:r>
              <w:rPr>
                <w:sz w:val="12"/>
              </w:rPr>
              <w:t>(b)</w:t>
            </w:r>
          </w:p>
        </w:tc>
        <w:tc>
          <w:tcPr>
            <w:tcW w:w="329" w:type="dxa"/>
            <w:tcBorders>
              <w:top w:val="single" w:sz="2" w:space="0" w:color="000000"/>
            </w:tcBorders>
          </w:tcPr>
          <w:p>
            <w:pPr>
              <w:pStyle w:val="TableParagraph"/>
              <w:spacing w:before="1"/>
              <w:rPr>
                <w:sz w:val="20"/>
              </w:rPr>
            </w:pPr>
          </w:p>
          <w:p>
            <w:pPr>
              <w:pStyle w:val="TableParagraph"/>
              <w:spacing w:line="133" w:lineRule="exact"/>
              <w:ind w:right="36"/>
              <w:jc w:val="right"/>
              <w:rPr>
                <w:i/>
                <w:sz w:val="14"/>
              </w:rPr>
            </w:pPr>
            <w:r>
              <w:rPr>
                <w:i/>
                <w:sz w:val="14"/>
              </w:rPr>
              <w:t>0.4</w:t>
            </w:r>
          </w:p>
        </w:tc>
        <w:tc>
          <w:tcPr>
            <w:tcW w:w="322" w:type="dxa"/>
          </w:tcPr>
          <w:p>
            <w:pPr>
              <w:pStyle w:val="TableParagraph"/>
              <w:rPr>
                <w:sz w:val="20"/>
              </w:rPr>
            </w:pPr>
          </w:p>
        </w:tc>
        <w:tc>
          <w:tcPr>
            <w:tcW w:w="294" w:type="dxa"/>
            <w:tcBorders>
              <w:top w:val="single" w:sz="2" w:space="0" w:color="000000"/>
            </w:tcBorders>
          </w:tcPr>
          <w:p>
            <w:pPr>
              <w:pStyle w:val="TableParagraph"/>
              <w:spacing w:before="6"/>
              <w:rPr>
                <w:sz w:val="20"/>
              </w:rPr>
            </w:pPr>
          </w:p>
          <w:p>
            <w:pPr>
              <w:pStyle w:val="TableParagraph"/>
              <w:spacing w:line="133" w:lineRule="exact"/>
              <w:ind w:left="4"/>
              <w:rPr>
                <w:i/>
                <w:sz w:val="14"/>
              </w:rPr>
            </w:pPr>
            <w:r>
              <w:rPr>
                <w:i/>
                <w:sz w:val="14"/>
              </w:rPr>
              <w:t>1.7</w:t>
            </w:r>
          </w:p>
        </w:tc>
        <w:tc>
          <w:tcPr>
            <w:tcW w:w="247" w:type="dxa"/>
          </w:tcPr>
          <w:p>
            <w:pPr>
              <w:pStyle w:val="TableParagraph"/>
              <w:rPr>
                <w:sz w:val="20"/>
              </w:rPr>
            </w:pPr>
          </w:p>
        </w:tc>
        <w:tc>
          <w:tcPr>
            <w:tcW w:w="284" w:type="dxa"/>
            <w:tcBorders>
              <w:top w:val="single" w:sz="2" w:space="0" w:color="000000"/>
            </w:tcBorders>
          </w:tcPr>
          <w:p>
            <w:pPr>
              <w:pStyle w:val="TableParagraph"/>
              <w:spacing w:before="5"/>
              <w:rPr>
                <w:sz w:val="19"/>
              </w:rPr>
            </w:pPr>
          </w:p>
          <w:p>
            <w:pPr>
              <w:pStyle w:val="TableParagraph"/>
              <w:spacing w:line="133" w:lineRule="exact"/>
              <w:ind w:left="23"/>
              <w:rPr>
                <w:i/>
                <w:sz w:val="14"/>
              </w:rPr>
            </w:pPr>
            <w:r>
              <w:rPr>
                <w:i/>
                <w:sz w:val="14"/>
              </w:rPr>
              <w:t>0.8</w:t>
            </w:r>
          </w:p>
        </w:tc>
        <w:tc>
          <w:tcPr>
            <w:tcW w:w="225" w:type="dxa"/>
          </w:tcPr>
          <w:p>
            <w:pPr>
              <w:pStyle w:val="TableParagraph"/>
              <w:rPr>
                <w:sz w:val="20"/>
              </w:rPr>
            </w:pPr>
          </w:p>
        </w:tc>
        <w:tc>
          <w:tcPr>
            <w:tcW w:w="396" w:type="dxa"/>
            <w:tcBorders>
              <w:top w:val="single" w:sz="2" w:space="0" w:color="000000"/>
            </w:tcBorders>
          </w:tcPr>
          <w:p>
            <w:pPr>
              <w:pStyle w:val="TableParagraph"/>
              <w:spacing w:before="4"/>
              <w:rPr>
                <w:sz w:val="20"/>
              </w:rPr>
            </w:pPr>
          </w:p>
          <w:p>
            <w:pPr>
              <w:pStyle w:val="TableParagraph"/>
              <w:spacing w:line="133" w:lineRule="exact"/>
              <w:ind w:left="-3" w:right="174"/>
              <w:jc w:val="right"/>
              <w:rPr>
                <w:i/>
                <w:sz w:val="14"/>
              </w:rPr>
            </w:pPr>
            <w:r>
              <w:rPr>
                <w:i/>
                <w:sz w:val="14"/>
              </w:rPr>
              <w:t>0.6</w:t>
            </w:r>
          </w:p>
        </w:tc>
      </w:tr>
      <w:tr>
        <w:trPr>
          <w:trHeight w:val="139" w:hRule="atLeast"/>
        </w:trPr>
        <w:tc>
          <w:tcPr>
            <w:tcW w:w="2150" w:type="dxa"/>
          </w:tcPr>
          <w:p>
            <w:pPr>
              <w:pStyle w:val="TableParagraph"/>
              <w:spacing w:line="120" w:lineRule="exact"/>
              <w:ind w:left="210"/>
              <w:rPr>
                <w:i/>
                <w:sz w:val="14"/>
              </w:rPr>
            </w:pPr>
            <w:r>
              <w:rPr>
                <w:i/>
                <w:sz w:val="14"/>
              </w:rPr>
              <w:t>Government</w:t>
            </w:r>
          </w:p>
        </w:tc>
        <w:tc>
          <w:tcPr>
            <w:tcW w:w="329" w:type="dxa"/>
          </w:tcPr>
          <w:p>
            <w:pPr>
              <w:pStyle w:val="TableParagraph"/>
              <w:spacing w:line="120" w:lineRule="exact"/>
              <w:ind w:right="36"/>
              <w:jc w:val="right"/>
              <w:rPr>
                <w:i/>
                <w:sz w:val="14"/>
              </w:rPr>
            </w:pPr>
            <w:r>
              <w:rPr>
                <w:i/>
                <w:sz w:val="14"/>
              </w:rPr>
              <w:t>0.5</w:t>
            </w:r>
          </w:p>
        </w:tc>
        <w:tc>
          <w:tcPr>
            <w:tcW w:w="322" w:type="dxa"/>
          </w:tcPr>
          <w:p>
            <w:pPr>
              <w:pStyle w:val="TableParagraph"/>
              <w:rPr>
                <w:sz w:val="8"/>
              </w:rPr>
            </w:pPr>
          </w:p>
        </w:tc>
        <w:tc>
          <w:tcPr>
            <w:tcW w:w="294" w:type="dxa"/>
          </w:tcPr>
          <w:p>
            <w:pPr>
              <w:pStyle w:val="TableParagraph"/>
              <w:spacing w:line="120" w:lineRule="exact"/>
              <w:ind w:left="4"/>
              <w:rPr>
                <w:i/>
                <w:sz w:val="14"/>
              </w:rPr>
            </w:pPr>
            <w:r>
              <w:rPr>
                <w:i/>
                <w:sz w:val="14"/>
              </w:rPr>
              <w:t>1.1</w:t>
            </w:r>
          </w:p>
        </w:tc>
        <w:tc>
          <w:tcPr>
            <w:tcW w:w="247" w:type="dxa"/>
          </w:tcPr>
          <w:p>
            <w:pPr>
              <w:pStyle w:val="TableParagraph"/>
              <w:rPr>
                <w:sz w:val="8"/>
              </w:rPr>
            </w:pPr>
          </w:p>
        </w:tc>
        <w:tc>
          <w:tcPr>
            <w:tcW w:w="284" w:type="dxa"/>
          </w:tcPr>
          <w:p>
            <w:pPr>
              <w:pStyle w:val="TableParagraph"/>
              <w:spacing w:line="120" w:lineRule="exact"/>
              <w:ind w:left="23"/>
              <w:rPr>
                <w:i/>
                <w:sz w:val="14"/>
              </w:rPr>
            </w:pPr>
            <w:r>
              <w:rPr>
                <w:i/>
                <w:sz w:val="14"/>
              </w:rPr>
              <w:t>0.9</w:t>
            </w:r>
          </w:p>
        </w:tc>
        <w:tc>
          <w:tcPr>
            <w:tcW w:w="225" w:type="dxa"/>
          </w:tcPr>
          <w:p>
            <w:pPr>
              <w:pStyle w:val="TableParagraph"/>
              <w:rPr>
                <w:sz w:val="8"/>
              </w:rPr>
            </w:pPr>
          </w:p>
        </w:tc>
        <w:tc>
          <w:tcPr>
            <w:tcW w:w="396" w:type="dxa"/>
          </w:tcPr>
          <w:p>
            <w:pPr>
              <w:pStyle w:val="TableParagraph"/>
              <w:spacing w:line="120" w:lineRule="exact"/>
              <w:ind w:left="-3" w:right="175"/>
              <w:jc w:val="right"/>
              <w:rPr>
                <w:i/>
                <w:sz w:val="14"/>
              </w:rPr>
            </w:pPr>
            <w:r>
              <w:rPr>
                <w:i/>
                <w:sz w:val="14"/>
              </w:rPr>
              <w:t>0.7</w:t>
            </w:r>
          </w:p>
        </w:tc>
      </w:tr>
      <w:tr>
        <w:trPr>
          <w:trHeight w:val="140" w:hRule="atLeast"/>
        </w:trPr>
        <w:tc>
          <w:tcPr>
            <w:tcW w:w="2150" w:type="dxa"/>
          </w:tcPr>
          <w:p>
            <w:pPr>
              <w:pStyle w:val="TableParagraph"/>
              <w:spacing w:line="120" w:lineRule="exact"/>
              <w:ind w:left="50"/>
              <w:rPr>
                <w:sz w:val="14"/>
              </w:rPr>
            </w:pPr>
            <w:r>
              <w:rPr>
                <w:sz w:val="14"/>
              </w:rPr>
              <w:t>Investment</w:t>
            </w:r>
          </w:p>
        </w:tc>
        <w:tc>
          <w:tcPr>
            <w:tcW w:w="329" w:type="dxa"/>
          </w:tcPr>
          <w:p>
            <w:pPr>
              <w:pStyle w:val="TableParagraph"/>
              <w:spacing w:line="120" w:lineRule="exact"/>
              <w:ind w:right="36"/>
              <w:jc w:val="right"/>
              <w:rPr>
                <w:sz w:val="14"/>
              </w:rPr>
            </w:pPr>
            <w:r>
              <w:rPr>
                <w:sz w:val="14"/>
              </w:rPr>
              <w:t>2.0</w:t>
            </w:r>
          </w:p>
        </w:tc>
        <w:tc>
          <w:tcPr>
            <w:tcW w:w="322" w:type="dxa"/>
          </w:tcPr>
          <w:p>
            <w:pPr>
              <w:pStyle w:val="TableParagraph"/>
              <w:rPr>
                <w:sz w:val="8"/>
              </w:rPr>
            </w:pPr>
          </w:p>
        </w:tc>
        <w:tc>
          <w:tcPr>
            <w:tcW w:w="294" w:type="dxa"/>
          </w:tcPr>
          <w:p>
            <w:pPr>
              <w:pStyle w:val="TableParagraph"/>
              <w:spacing w:line="120" w:lineRule="exact"/>
              <w:ind w:left="4"/>
              <w:rPr>
                <w:sz w:val="14"/>
              </w:rPr>
            </w:pPr>
            <w:r>
              <w:rPr>
                <w:sz w:val="14"/>
              </w:rPr>
              <w:t>0.3</w:t>
            </w:r>
          </w:p>
        </w:tc>
        <w:tc>
          <w:tcPr>
            <w:tcW w:w="247" w:type="dxa"/>
          </w:tcPr>
          <w:p>
            <w:pPr>
              <w:pStyle w:val="TableParagraph"/>
              <w:rPr>
                <w:sz w:val="8"/>
              </w:rPr>
            </w:pPr>
          </w:p>
        </w:tc>
        <w:tc>
          <w:tcPr>
            <w:tcW w:w="284" w:type="dxa"/>
          </w:tcPr>
          <w:p>
            <w:pPr>
              <w:pStyle w:val="TableParagraph"/>
              <w:spacing w:line="120" w:lineRule="exact"/>
              <w:ind w:left="23"/>
              <w:rPr>
                <w:sz w:val="14"/>
              </w:rPr>
            </w:pPr>
            <w:r>
              <w:rPr>
                <w:sz w:val="14"/>
              </w:rPr>
              <w:t>0.6</w:t>
            </w:r>
          </w:p>
        </w:tc>
        <w:tc>
          <w:tcPr>
            <w:tcW w:w="225" w:type="dxa"/>
          </w:tcPr>
          <w:p>
            <w:pPr>
              <w:pStyle w:val="TableParagraph"/>
              <w:rPr>
                <w:sz w:val="8"/>
              </w:rPr>
            </w:pPr>
          </w:p>
        </w:tc>
        <w:tc>
          <w:tcPr>
            <w:tcW w:w="396" w:type="dxa"/>
          </w:tcPr>
          <w:p>
            <w:pPr>
              <w:pStyle w:val="TableParagraph"/>
              <w:spacing w:line="120" w:lineRule="exact"/>
              <w:ind w:left="-3" w:right="174"/>
              <w:jc w:val="right"/>
              <w:rPr>
                <w:sz w:val="14"/>
              </w:rPr>
            </w:pPr>
            <w:r>
              <w:rPr>
                <w:sz w:val="14"/>
              </w:rPr>
              <w:t>0.1</w:t>
            </w:r>
          </w:p>
        </w:tc>
      </w:tr>
      <w:tr>
        <w:trPr>
          <w:trHeight w:val="147" w:hRule="atLeast"/>
        </w:trPr>
        <w:tc>
          <w:tcPr>
            <w:tcW w:w="2150" w:type="dxa"/>
          </w:tcPr>
          <w:p>
            <w:pPr>
              <w:pStyle w:val="TableParagraph"/>
              <w:spacing w:line="128" w:lineRule="exact"/>
              <w:ind w:left="210"/>
              <w:rPr>
                <w:i/>
                <w:sz w:val="14"/>
              </w:rPr>
            </w:pPr>
            <w:r>
              <w:rPr>
                <w:i/>
                <w:sz w:val="14"/>
              </w:rPr>
              <w:t>of which, business investment</w:t>
            </w:r>
          </w:p>
        </w:tc>
        <w:tc>
          <w:tcPr>
            <w:tcW w:w="329" w:type="dxa"/>
          </w:tcPr>
          <w:p>
            <w:pPr>
              <w:pStyle w:val="TableParagraph"/>
              <w:spacing w:line="128" w:lineRule="exact"/>
              <w:ind w:right="37"/>
              <w:jc w:val="right"/>
              <w:rPr>
                <w:i/>
                <w:sz w:val="14"/>
              </w:rPr>
            </w:pPr>
            <w:r>
              <w:rPr>
                <w:i/>
                <w:sz w:val="14"/>
              </w:rPr>
              <w:t>3.4</w:t>
            </w:r>
          </w:p>
        </w:tc>
        <w:tc>
          <w:tcPr>
            <w:tcW w:w="322" w:type="dxa"/>
          </w:tcPr>
          <w:p>
            <w:pPr>
              <w:pStyle w:val="TableParagraph"/>
              <w:rPr>
                <w:sz w:val="8"/>
              </w:rPr>
            </w:pPr>
          </w:p>
        </w:tc>
        <w:tc>
          <w:tcPr>
            <w:tcW w:w="294" w:type="dxa"/>
          </w:tcPr>
          <w:p>
            <w:pPr>
              <w:pStyle w:val="TableParagraph"/>
              <w:spacing w:line="128" w:lineRule="exact"/>
              <w:ind w:left="3"/>
              <w:rPr>
                <w:i/>
                <w:sz w:val="14"/>
              </w:rPr>
            </w:pPr>
            <w:r>
              <w:rPr>
                <w:i/>
                <w:sz w:val="14"/>
              </w:rPr>
              <w:t>0.4</w:t>
            </w:r>
          </w:p>
        </w:tc>
        <w:tc>
          <w:tcPr>
            <w:tcW w:w="247" w:type="dxa"/>
          </w:tcPr>
          <w:p>
            <w:pPr>
              <w:pStyle w:val="TableParagraph"/>
              <w:rPr>
                <w:sz w:val="8"/>
              </w:rPr>
            </w:pPr>
          </w:p>
        </w:tc>
        <w:tc>
          <w:tcPr>
            <w:tcW w:w="284" w:type="dxa"/>
          </w:tcPr>
          <w:p>
            <w:pPr>
              <w:pStyle w:val="TableParagraph"/>
              <w:spacing w:line="128" w:lineRule="exact"/>
              <w:ind w:left="22"/>
              <w:rPr>
                <w:i/>
                <w:sz w:val="14"/>
              </w:rPr>
            </w:pPr>
            <w:r>
              <w:rPr>
                <w:i/>
                <w:sz w:val="14"/>
              </w:rPr>
              <w:t>3.0</w:t>
            </w:r>
          </w:p>
        </w:tc>
        <w:tc>
          <w:tcPr>
            <w:tcW w:w="225" w:type="dxa"/>
          </w:tcPr>
          <w:p>
            <w:pPr>
              <w:pStyle w:val="TableParagraph"/>
              <w:rPr>
                <w:sz w:val="8"/>
              </w:rPr>
            </w:pPr>
          </w:p>
        </w:tc>
        <w:tc>
          <w:tcPr>
            <w:tcW w:w="396" w:type="dxa"/>
          </w:tcPr>
          <w:p>
            <w:pPr>
              <w:pStyle w:val="TableParagraph"/>
              <w:spacing w:line="128" w:lineRule="exact"/>
              <w:ind w:left="-3" w:right="175"/>
              <w:jc w:val="right"/>
              <w:rPr>
                <w:i/>
                <w:sz w:val="14"/>
              </w:rPr>
            </w:pPr>
            <w:r>
              <w:rPr>
                <w:i/>
                <w:spacing w:val="-1"/>
                <w:sz w:val="14"/>
              </w:rPr>
              <w:t>-1.0</w:t>
            </w:r>
          </w:p>
        </w:tc>
      </w:tr>
    </w:tbl>
    <w:p>
      <w:pPr>
        <w:tabs>
          <w:tab w:pos="2391" w:val="left" w:leader="none"/>
          <w:tab w:pos="2931" w:val="left" w:leader="none"/>
          <w:tab w:pos="3491" w:val="left" w:leader="none"/>
          <w:tab w:pos="4196" w:val="right" w:leader="none"/>
        </w:tabs>
        <w:spacing w:line="129" w:lineRule="exact" w:before="0"/>
        <w:ind w:left="176" w:right="0" w:firstLine="0"/>
        <w:jc w:val="left"/>
        <w:rPr>
          <w:b/>
          <w:sz w:val="14"/>
        </w:rPr>
      </w:pPr>
      <w:r>
        <w:rPr>
          <w:b/>
          <w:sz w:val="14"/>
        </w:rPr>
        <w:t>Final</w:t>
      </w:r>
      <w:r>
        <w:rPr>
          <w:b/>
          <w:spacing w:val="-5"/>
          <w:sz w:val="14"/>
        </w:rPr>
        <w:t> </w:t>
      </w:r>
      <w:r>
        <w:rPr>
          <w:b/>
          <w:sz w:val="14"/>
        </w:rPr>
        <w:t>domestic</w:t>
      </w:r>
      <w:r>
        <w:rPr>
          <w:b/>
          <w:spacing w:val="-5"/>
          <w:sz w:val="14"/>
        </w:rPr>
        <w:t> </w:t>
      </w:r>
      <w:r>
        <w:rPr>
          <w:b/>
          <w:sz w:val="14"/>
        </w:rPr>
        <w:t>demand</w:t>
        <w:tab/>
        <w:t>0.7</w:t>
        <w:tab/>
        <w:t>1.2</w:t>
        <w:tab/>
        <w:t>0.8</w:t>
        <w:tab/>
        <w:t>0.4</w:t>
      </w:r>
    </w:p>
    <w:p>
      <w:pPr>
        <w:tabs>
          <w:tab w:pos="2391" w:val="left" w:leader="none"/>
          <w:tab w:pos="2931" w:val="left" w:leader="none"/>
          <w:tab w:pos="3444" w:val="left" w:leader="none"/>
          <w:tab w:pos="4196" w:val="right" w:leader="none"/>
        </w:tabs>
        <w:spacing w:line="140" w:lineRule="exact" w:before="0"/>
        <w:ind w:left="176" w:right="0" w:firstLine="0"/>
        <w:jc w:val="left"/>
        <w:rPr>
          <w:sz w:val="14"/>
        </w:rPr>
      </w:pPr>
      <w:r>
        <w:rPr>
          <w:sz w:val="14"/>
        </w:rPr>
        <w:t>Change in</w:t>
      </w:r>
      <w:r>
        <w:rPr>
          <w:spacing w:val="-8"/>
          <w:sz w:val="14"/>
        </w:rPr>
        <w:t> </w:t>
      </w:r>
      <w:r>
        <w:rPr>
          <w:sz w:val="14"/>
        </w:rPr>
        <w:t>inventories</w:t>
      </w:r>
      <w:r>
        <w:rPr>
          <w:spacing w:val="-3"/>
          <w:sz w:val="14"/>
        </w:rPr>
        <w:t> </w:t>
      </w:r>
      <w:r>
        <w:rPr>
          <w:sz w:val="12"/>
        </w:rPr>
        <w:t>(c)</w:t>
        <w:tab/>
      </w:r>
      <w:r>
        <w:rPr>
          <w:sz w:val="14"/>
        </w:rPr>
        <w:t>0.1</w:t>
        <w:tab/>
        <w:t>0.0</w:t>
        <w:tab/>
        <w:t>-0.8</w:t>
        <w:tab/>
        <w:t>0.1</w:t>
      </w:r>
    </w:p>
    <w:p>
      <w:pPr>
        <w:tabs>
          <w:tab w:pos="2884" w:val="left" w:leader="none"/>
          <w:tab w:pos="3444" w:val="left" w:leader="none"/>
          <w:tab w:pos="4196" w:val="right" w:leader="none"/>
        </w:tabs>
        <w:spacing w:line="140" w:lineRule="exact" w:before="0"/>
        <w:ind w:left="336" w:right="0" w:firstLine="0"/>
        <w:jc w:val="left"/>
        <w:rPr>
          <w:i/>
          <w:sz w:val="14"/>
        </w:rPr>
      </w:pPr>
      <w:r>
        <w:rPr>
          <w:i/>
          <w:sz w:val="14"/>
        </w:rPr>
        <w:t>excluding alignment adjustment</w:t>
      </w:r>
      <w:r>
        <w:rPr>
          <w:i/>
          <w:spacing w:val="-12"/>
          <w:sz w:val="14"/>
        </w:rPr>
        <w:t> </w:t>
      </w:r>
      <w:r>
        <w:rPr>
          <w:sz w:val="12"/>
        </w:rPr>
        <w:t>(c)   </w:t>
      </w:r>
      <w:r>
        <w:rPr>
          <w:i/>
          <w:sz w:val="14"/>
        </w:rPr>
        <w:t>0.3</w:t>
        <w:tab/>
        <w:t>-0.6</w:t>
        <w:tab/>
        <w:t>-0.6</w:t>
        <w:tab/>
        <w:t>0.7</w:t>
      </w:r>
    </w:p>
    <w:p>
      <w:pPr>
        <w:tabs>
          <w:tab w:pos="2391" w:val="left" w:leader="none"/>
          <w:tab w:pos="2931" w:val="left" w:leader="none"/>
          <w:tab w:pos="3491" w:val="left" w:leader="none"/>
          <w:tab w:pos="4196" w:val="right" w:leader="none"/>
        </w:tabs>
        <w:spacing w:line="140" w:lineRule="exact" w:before="0"/>
        <w:ind w:left="176" w:right="0" w:firstLine="0"/>
        <w:jc w:val="left"/>
        <w:rPr>
          <w:b/>
          <w:sz w:val="14"/>
        </w:rPr>
      </w:pPr>
      <w:r>
        <w:rPr>
          <w:b/>
          <w:sz w:val="14"/>
        </w:rPr>
        <w:t>Domestic</w:t>
      </w:r>
      <w:r>
        <w:rPr>
          <w:b/>
          <w:spacing w:val="-5"/>
          <w:sz w:val="14"/>
        </w:rPr>
        <w:t> </w:t>
      </w:r>
      <w:r>
        <w:rPr>
          <w:b/>
          <w:sz w:val="14"/>
        </w:rPr>
        <w:t>demand</w:t>
        <w:tab/>
        <w:t>0.8</w:t>
        <w:tab/>
        <w:t>1.2</w:t>
        <w:tab/>
        <w:t>0.1</w:t>
        <w:tab/>
        <w:t>0.5</w:t>
      </w:r>
    </w:p>
    <w:p>
      <w:pPr>
        <w:tabs>
          <w:tab w:pos="2344" w:val="left" w:leader="none"/>
          <w:tab w:pos="2884" w:val="left" w:leader="none"/>
          <w:tab w:pos="3491" w:val="left" w:leader="none"/>
          <w:tab w:pos="4196" w:val="right" w:leader="none"/>
        </w:tabs>
        <w:spacing w:line="140" w:lineRule="exact" w:before="0"/>
        <w:ind w:left="176" w:right="0" w:firstLine="0"/>
        <w:jc w:val="left"/>
        <w:rPr>
          <w:sz w:val="14"/>
        </w:rPr>
      </w:pPr>
      <w:r>
        <w:rPr>
          <w:sz w:val="14"/>
        </w:rPr>
        <w:t>Net</w:t>
      </w:r>
      <w:r>
        <w:rPr>
          <w:spacing w:val="-3"/>
          <w:sz w:val="14"/>
        </w:rPr>
        <w:t> </w:t>
      </w:r>
      <w:r>
        <w:rPr>
          <w:sz w:val="14"/>
        </w:rPr>
        <w:t>trade</w:t>
      </w:r>
      <w:r>
        <w:rPr>
          <w:spacing w:val="-1"/>
          <w:sz w:val="14"/>
        </w:rPr>
        <w:t> </w:t>
      </w:r>
      <w:r>
        <w:rPr>
          <w:sz w:val="12"/>
        </w:rPr>
        <w:t>(c)</w:t>
        <w:tab/>
      </w:r>
      <w:r>
        <w:rPr>
          <w:sz w:val="14"/>
        </w:rPr>
        <w:t>-0.8</w:t>
        <w:tab/>
        <w:t>-0.9</w:t>
        <w:tab/>
        <w:t>0.7</w:t>
        <w:tab/>
        <w:t>0.3</w:t>
      </w:r>
    </w:p>
    <w:p>
      <w:pPr>
        <w:tabs>
          <w:tab w:pos="2391" w:val="left" w:leader="none"/>
          <w:tab w:pos="2931" w:val="left" w:leader="none"/>
          <w:tab w:pos="3491" w:val="left" w:leader="none"/>
          <w:tab w:pos="4196" w:val="right" w:leader="none"/>
        </w:tabs>
        <w:spacing w:line="150" w:lineRule="exact" w:before="0"/>
        <w:ind w:left="176" w:right="0" w:firstLine="0"/>
        <w:jc w:val="left"/>
        <w:rPr>
          <w:b/>
          <w:sz w:val="14"/>
        </w:rPr>
      </w:pPr>
      <w:r>
        <w:rPr>
          <w:b/>
          <w:sz w:val="14"/>
        </w:rPr>
        <w:t>GDP at</w:t>
      </w:r>
      <w:r>
        <w:rPr>
          <w:b/>
          <w:spacing w:val="-7"/>
          <w:sz w:val="14"/>
        </w:rPr>
        <w:t> </w:t>
      </w:r>
      <w:r>
        <w:rPr>
          <w:b/>
          <w:sz w:val="14"/>
        </w:rPr>
        <w:t>market</w:t>
      </w:r>
      <w:r>
        <w:rPr>
          <w:b/>
          <w:spacing w:val="-4"/>
          <w:sz w:val="14"/>
        </w:rPr>
        <w:t> </w:t>
      </w:r>
      <w:r>
        <w:rPr>
          <w:b/>
          <w:sz w:val="14"/>
        </w:rPr>
        <w:t>prices</w:t>
        <w:tab/>
        <w:t>0.0</w:t>
        <w:tab/>
        <w:t>0.4</w:t>
        <w:tab/>
        <w:t>0.7</w:t>
        <w:tab/>
        <w:t>0.8</w:t>
      </w:r>
    </w:p>
    <w:p>
      <w:pPr>
        <w:pStyle w:val="ListParagraph"/>
        <w:numPr>
          <w:ilvl w:val="0"/>
          <w:numId w:val="11"/>
        </w:numPr>
        <w:tabs>
          <w:tab w:pos="417" w:val="left" w:leader="none"/>
        </w:tabs>
        <w:spacing w:line="129" w:lineRule="exact" w:before="117" w:after="0"/>
        <w:ind w:left="416" w:right="0" w:hanging="241"/>
        <w:jc w:val="left"/>
        <w:rPr>
          <w:sz w:val="12"/>
        </w:rPr>
      </w:pPr>
      <w:r>
        <w:rPr>
          <w:sz w:val="12"/>
        </w:rPr>
        <w:t>At constant 1995 market</w:t>
      </w:r>
      <w:r>
        <w:rPr>
          <w:spacing w:val="-6"/>
          <w:sz w:val="12"/>
        </w:rPr>
        <w:t> </w:t>
      </w:r>
      <w:r>
        <w:rPr>
          <w:sz w:val="12"/>
        </w:rPr>
        <w:t>prices.</w:t>
      </w:r>
    </w:p>
    <w:p>
      <w:pPr>
        <w:pStyle w:val="ListParagraph"/>
        <w:numPr>
          <w:ilvl w:val="0"/>
          <w:numId w:val="11"/>
        </w:numPr>
        <w:tabs>
          <w:tab w:pos="417" w:val="left" w:leader="none"/>
        </w:tabs>
        <w:spacing w:line="120" w:lineRule="exact" w:before="0" w:after="0"/>
        <w:ind w:left="416" w:right="0" w:hanging="241"/>
        <w:jc w:val="left"/>
        <w:rPr>
          <w:sz w:val="12"/>
        </w:rPr>
      </w:pPr>
      <w:r>
        <w:rPr>
          <w:sz w:val="12"/>
        </w:rPr>
        <w:t>Includes non profit making institutions serving</w:t>
      </w:r>
      <w:r>
        <w:rPr>
          <w:spacing w:val="-13"/>
          <w:sz w:val="12"/>
        </w:rPr>
        <w:t> </w:t>
      </w:r>
      <w:r>
        <w:rPr>
          <w:sz w:val="12"/>
        </w:rPr>
        <w:t>households.</w:t>
      </w:r>
    </w:p>
    <w:p>
      <w:pPr>
        <w:pStyle w:val="ListParagraph"/>
        <w:numPr>
          <w:ilvl w:val="0"/>
          <w:numId w:val="11"/>
        </w:numPr>
        <w:tabs>
          <w:tab w:pos="417" w:val="left" w:leader="none"/>
        </w:tabs>
        <w:spacing w:line="129" w:lineRule="exact" w:before="0" w:after="0"/>
        <w:ind w:left="416" w:right="0" w:hanging="241"/>
        <w:jc w:val="left"/>
        <w:rPr>
          <w:sz w:val="12"/>
        </w:rPr>
      </w:pPr>
      <w:r>
        <w:rPr>
          <w:sz w:val="12"/>
        </w:rPr>
        <w:t>Contribution to quarterly</w:t>
      </w:r>
      <w:r>
        <w:rPr>
          <w:spacing w:val="-4"/>
          <w:sz w:val="12"/>
        </w:rPr>
        <w:t> </w:t>
      </w:r>
      <w:r>
        <w:rPr>
          <w:sz w:val="12"/>
        </w:rPr>
        <w:t>growth.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6"/>
        </w:rPr>
      </w:pPr>
    </w:p>
    <w:p>
      <w:pPr>
        <w:pStyle w:val="Heading9"/>
        <w:spacing w:before="0"/>
        <w:ind w:left="186"/>
      </w:pPr>
      <w:r>
        <w:rPr>
          <w:color w:val="0092C7"/>
        </w:rPr>
        <w:t>Chart 2.5</w:t>
      </w:r>
    </w:p>
    <w:p>
      <w:pPr>
        <w:spacing w:before="10"/>
        <w:ind w:left="186" w:right="0" w:firstLine="0"/>
        <w:jc w:val="left"/>
        <w:rPr>
          <w:sz w:val="12"/>
        </w:rPr>
      </w:pPr>
      <w:r>
        <w:rPr>
          <w:b/>
          <w:color w:val="0092C7"/>
          <w:sz w:val="20"/>
        </w:rPr>
        <w:t>Consumers’ expenditure growth</w:t>
      </w:r>
      <w:r>
        <w:rPr>
          <w:position w:val="4"/>
          <w:sz w:val="12"/>
        </w:rPr>
        <w:t>(a)</w:t>
      </w:r>
    </w:p>
    <w:p>
      <w:pPr>
        <w:tabs>
          <w:tab w:pos="1010" w:val="left" w:leader="none"/>
        </w:tabs>
        <w:spacing w:before="144"/>
        <w:ind w:left="0" w:right="1880" w:firstLine="0"/>
        <w:jc w:val="right"/>
        <w:rPr>
          <w:sz w:val="12"/>
        </w:rPr>
      </w:pPr>
      <w:r>
        <w:rPr/>
        <w:pict>
          <v:group style="position:absolute;margin-left:41.862pt;margin-top:7.010311pt;width:7.85pt;height:15.2pt;mso-position-horizontal-relative:page;mso-position-vertical-relative:paragraph;z-index:15900160" coordorigin="837,140" coordsize="157,304">
            <v:rect style="position:absolute;left:842;top:145;width:147;height:147" filled="true" fillcolor="#f6bd61" stroked="false">
              <v:fill type="solid"/>
            </v:rect>
            <v:rect style="position:absolute;left:842;top:145;width:147;height:147" filled="false" stroked="true" strokeweight=".5pt" strokecolor="#000000">
              <v:stroke dashstyle="solid"/>
            </v:rect>
            <v:rect style="position:absolute;left:842;top:292;width:147;height:147" filled="true" fillcolor="#006caa" stroked="false">
              <v:fill type="solid"/>
            </v:rect>
            <v:rect style="position:absolute;left:842;top:292;width:147;height:147" filled="false" stroked="true" strokeweight=".5pt" strokecolor="#000000">
              <v:stroke dashstyle="solid"/>
            </v:rect>
            <w10:wrap type="none"/>
          </v:group>
        </w:pict>
      </w:r>
      <w:r>
        <w:rPr/>
        <w:pict>
          <v:group style="position:absolute;margin-left:102.403pt;margin-top:7.010311pt;width:7.85pt;height:7.85pt;mso-position-horizontal-relative:page;mso-position-vertical-relative:paragraph;z-index:-22244352" coordorigin="2048,140" coordsize="157,157">
            <v:rect style="position:absolute;left:2053;top:145;width:147;height:147" filled="true" fillcolor="#c7c7c7" stroked="false">
              <v:fill type="solid"/>
            </v:rect>
            <v:rect style="position:absolute;left:2053;top:145;width:147;height:147" filled="false" stroked="true" strokeweight=".5pt" strokecolor="#000000">
              <v:stroke dashstyle="solid"/>
            </v:rect>
            <w10:wrap type="none"/>
          </v:group>
        </w:pict>
      </w:r>
      <w:r>
        <w:rPr>
          <w:sz w:val="12"/>
        </w:rPr>
        <w:t>Services</w:t>
        <w:tab/>
      </w:r>
      <w:r>
        <w:rPr>
          <w:sz w:val="12"/>
          <w:u w:val="single" w:color="DE0035"/>
        </w:rPr>
        <w:t> </w:t>
      </w:r>
      <w:r>
        <w:rPr>
          <w:sz w:val="12"/>
        </w:rPr>
        <w:t>Durable goods</w:t>
      </w:r>
    </w:p>
    <w:p>
      <w:pPr>
        <w:pStyle w:val="Heading6"/>
        <w:spacing w:line="242" w:lineRule="auto" w:before="207"/>
        <w:ind w:left="176" w:right="180"/>
      </w:pPr>
      <w:r>
        <w:rPr/>
        <w:br w:type="column"/>
      </w:r>
      <w:r>
        <w:rPr/>
        <w:t>The</w:t>
      </w:r>
      <w:r>
        <w:rPr>
          <w:spacing w:val="-8"/>
        </w:rPr>
        <w:t> </w:t>
      </w:r>
      <w:r>
        <w:rPr/>
        <w:t>particularly</w:t>
      </w:r>
      <w:r>
        <w:rPr>
          <w:spacing w:val="-7"/>
        </w:rPr>
        <w:t> </w:t>
      </w:r>
      <w:r>
        <w:rPr/>
        <w:t>marked</w:t>
      </w:r>
      <w:r>
        <w:rPr>
          <w:spacing w:val="-7"/>
        </w:rPr>
        <w:t> </w:t>
      </w:r>
      <w:r>
        <w:rPr/>
        <w:t>strength</w:t>
      </w:r>
      <w:r>
        <w:rPr>
          <w:spacing w:val="-8"/>
        </w:rPr>
        <w:t> </w:t>
      </w:r>
      <w:r>
        <w:rPr/>
        <w:t>of</w:t>
      </w:r>
      <w:r>
        <w:rPr>
          <w:spacing w:val="-7"/>
        </w:rPr>
        <w:t> </w:t>
      </w:r>
      <w:r>
        <w:rPr/>
        <w:t>recent</w:t>
      </w:r>
      <w:r>
        <w:rPr>
          <w:spacing w:val="-7"/>
        </w:rPr>
        <w:t> </w:t>
      </w:r>
      <w:r>
        <w:rPr/>
        <w:t>import</w:t>
      </w:r>
      <w:r>
        <w:rPr>
          <w:spacing w:val="-7"/>
        </w:rPr>
        <w:t> </w:t>
      </w:r>
      <w:r>
        <w:rPr/>
        <w:t>growth may exaggerate the trend. Survey data indicate weaker </w:t>
      </w:r>
      <w:r>
        <w:rPr>
          <w:spacing w:val="-3"/>
        </w:rPr>
        <w:t>inventory investment </w:t>
      </w:r>
      <w:r>
        <w:rPr/>
        <w:t>in early 2000, as firms run </w:t>
      </w:r>
      <w:r>
        <w:rPr>
          <w:spacing w:val="-3"/>
        </w:rPr>
        <w:t>down </w:t>
      </w:r>
      <w:r>
        <w:rPr/>
        <w:t>any precautionary holdings built up before the </w:t>
      </w:r>
      <w:r>
        <w:rPr>
          <w:spacing w:val="-3"/>
        </w:rPr>
        <w:t>new </w:t>
      </w:r>
      <w:r>
        <w:rPr/>
        <w:t>millennium, and this may weaken demand for</w:t>
      </w:r>
      <w:r>
        <w:rPr>
          <w:spacing w:val="-31"/>
        </w:rPr>
        <w:t> </w:t>
      </w:r>
      <w:r>
        <w:rPr/>
        <w:t>imports.</w:t>
      </w:r>
    </w:p>
    <w:p>
      <w:pPr>
        <w:spacing w:line="242" w:lineRule="auto" w:before="6"/>
        <w:ind w:left="176" w:right="233" w:firstLine="0"/>
        <w:jc w:val="left"/>
        <w:rPr>
          <w:sz w:val="24"/>
        </w:rPr>
      </w:pPr>
      <w:r>
        <w:rPr>
          <w:sz w:val="24"/>
        </w:rPr>
        <w:t>But underlying growth in imports is likely to remain strong over the next two years, as domestic demand growth continues above trend. Reflecting the positive outlook for prospective overseas demand, the MPC judges that exports will grow steadily throughout the forecast period, although the recent appreciation of sterling has lowered the projection relative to the November </w:t>
      </w:r>
      <w:r>
        <w:rPr>
          <w:i/>
          <w:sz w:val="24"/>
        </w:rPr>
        <w:t>Report</w:t>
      </w:r>
      <w:r>
        <w:rPr>
          <w:sz w:val="24"/>
        </w:rPr>
        <w:t>. On balance, the MPC’s central assumptions imply that the contribution of net trade to GDP growth will be significantly negative during the forecast period. While the overall prospects for the world economy have continued to improve, the MPC also judges that the balance of risks around the central projection for world activity remains on the downside. One risk identified by the Committee was the possibility of a sharper-than-expected slowdown in the United States.</w:t>
      </w:r>
    </w:p>
    <w:p>
      <w:pPr>
        <w:pStyle w:val="BodyText"/>
        <w:spacing w:before="5"/>
        <w:rPr>
          <w:sz w:val="26"/>
        </w:rPr>
      </w:pPr>
    </w:p>
    <w:p>
      <w:pPr>
        <w:pStyle w:val="ListParagraph"/>
        <w:numPr>
          <w:ilvl w:val="1"/>
          <w:numId w:val="9"/>
        </w:numPr>
        <w:tabs>
          <w:tab w:pos="3318" w:val="left" w:leader="none"/>
          <w:tab w:pos="3319" w:val="left" w:leader="none"/>
          <w:tab w:pos="5677" w:val="left" w:leader="none"/>
        </w:tabs>
        <w:spacing w:line="240" w:lineRule="auto" w:before="1" w:after="0"/>
        <w:ind w:left="3318" w:right="0" w:hanging="3143"/>
        <w:jc w:val="left"/>
        <w:rPr>
          <w:b/>
          <w:color w:val="009391"/>
          <w:sz w:val="28"/>
        </w:rPr>
      </w:pPr>
      <w:r>
        <w:rPr>
          <w:b/>
          <w:color w:val="009391"/>
          <w:sz w:val="28"/>
          <w:u w:val="thick" w:color="0092C7"/>
        </w:rPr>
        <w:t>Domestic</w:t>
      </w:r>
      <w:r>
        <w:rPr>
          <w:b/>
          <w:color w:val="009391"/>
          <w:spacing w:val="-13"/>
          <w:sz w:val="28"/>
          <w:u w:val="thick" w:color="0092C7"/>
        </w:rPr>
        <w:t> </w:t>
      </w:r>
      <w:r>
        <w:rPr>
          <w:b/>
          <w:color w:val="009391"/>
          <w:sz w:val="28"/>
          <w:u w:val="thick" w:color="0092C7"/>
        </w:rPr>
        <w:t>demand</w:t>
        <w:tab/>
      </w:r>
    </w:p>
    <w:p>
      <w:pPr>
        <w:spacing w:line="242" w:lineRule="auto" w:before="263"/>
        <w:ind w:left="176" w:right="86" w:firstLine="0"/>
        <w:jc w:val="left"/>
        <w:rPr>
          <w:sz w:val="24"/>
        </w:rPr>
      </w:pPr>
      <w:r>
        <w:rPr>
          <w:sz w:val="24"/>
        </w:rPr>
        <w:t>Domestic demand grew by 0.5% in the third quarter of 1999, compared with growth of 0.1% in the previous quarter, largely owing to a recovery in inventory investment in Q3. Growth of final domestic demand— which excludes inventory investment—remained moderate, although it was slower than in the first half of the year. That reflected slightly weaker growth in both public and private sector consumption, as well as a marked slowdown in business investment growth (see Table 2.B).</w:t>
      </w:r>
    </w:p>
    <w:p>
      <w:pPr>
        <w:pStyle w:val="BodyText"/>
        <w:rPr>
          <w:sz w:val="22"/>
        </w:rPr>
      </w:pPr>
    </w:p>
    <w:p>
      <w:pPr>
        <w:spacing w:line="168" w:lineRule="exact" w:before="0"/>
        <w:ind w:left="176" w:right="0" w:firstLine="0"/>
        <w:jc w:val="left"/>
        <w:rPr>
          <w:sz w:val="24"/>
        </w:rPr>
      </w:pPr>
      <w:r>
        <w:rPr>
          <w:sz w:val="24"/>
        </w:rPr>
        <w:t>Revisions to the National Accounts, which were</w:t>
      </w:r>
    </w:p>
    <w:p>
      <w:pPr>
        <w:spacing w:after="0" w:line="168" w:lineRule="exact"/>
        <w:jc w:val="left"/>
        <w:rPr>
          <w:sz w:val="24"/>
        </w:rPr>
        <w:sectPr>
          <w:type w:val="continuous"/>
          <w:pgSz w:w="11900" w:h="16840"/>
          <w:pgMar w:top="1220" w:bottom="280" w:left="620" w:right="640"/>
          <w:cols w:num="2" w:equalWidth="0">
            <w:col w:w="4237" w:space="556"/>
            <w:col w:w="5847"/>
          </w:cols>
        </w:sectPr>
      </w:pPr>
    </w:p>
    <w:p>
      <w:pPr>
        <w:spacing w:line="133" w:lineRule="exact" w:before="0"/>
        <w:ind w:left="417" w:right="0" w:firstLine="0"/>
        <w:jc w:val="left"/>
        <w:rPr>
          <w:sz w:val="12"/>
        </w:rPr>
      </w:pPr>
      <w:r>
        <w:rPr>
          <w:sz w:val="12"/>
        </w:rPr>
        <w:t>Non-durable goods</w:t>
      </w:r>
    </w:p>
    <w:p>
      <w:pPr>
        <w:pStyle w:val="BodyText"/>
        <w:spacing w:before="4" w:after="39"/>
        <w:rPr>
          <w:sz w:val="19"/>
        </w:rPr>
      </w:pPr>
    </w:p>
    <w:p>
      <w:pPr>
        <w:pStyle w:val="BodyText"/>
        <w:spacing w:line="20" w:lineRule="exact"/>
        <w:ind w:left="21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9"/>
        <w:rPr>
          <w:sz w:val="24"/>
        </w:rPr>
      </w:pPr>
      <w:r>
        <w:rPr/>
        <w:pict>
          <v:shape style="position:absolute;margin-left:41.862pt;margin-top:16.492977pt;width:4.350pt;height:.1pt;mso-position-horizontal-relative:page;mso-position-vertical-relative:paragraph;z-index:-15563776;mso-wrap-distance-left:0;mso-wrap-distance-right:0" coordorigin="837,330" coordsize="87,0" path="m924,330l837,330e" filled="false" stroked="true" strokeweight=".5pt" strokecolor="#000000">
            <v:path arrowok="t"/>
            <v:stroke dashstyle="solid"/>
            <w10:wrap type="topAndBottom"/>
          </v:shape>
        </w:pict>
      </w:r>
    </w:p>
    <w:p>
      <w:pPr>
        <w:pStyle w:val="BodyText"/>
        <w:rPr>
          <w:sz w:val="20"/>
        </w:rPr>
      </w:pPr>
    </w:p>
    <w:p>
      <w:pPr>
        <w:pStyle w:val="BodyText"/>
        <w:spacing w:before="2"/>
        <w:rPr>
          <w:sz w:val="23"/>
        </w:rPr>
      </w:pPr>
      <w:r>
        <w:rPr/>
        <w:pict>
          <v:shape style="position:absolute;margin-left:41.862pt;margin-top:15.541977pt;width:4.350pt;height:.1pt;mso-position-horizontal-relative:page;mso-position-vertical-relative:paragraph;z-index:-15563264;mso-wrap-distance-left:0;mso-wrap-distance-right:0" coordorigin="837,311" coordsize="87,0" path="m924,311l837,311e" filled="false" stroked="true" strokeweight=".5pt" strokecolor="#000000">
            <v:path arrowok="t"/>
            <v:stroke dashstyle="solid"/>
            <w10:wrap type="topAndBottom"/>
          </v:shape>
        </w:pict>
      </w:r>
    </w:p>
    <w:p>
      <w:pPr>
        <w:pStyle w:val="BodyText"/>
        <w:rPr>
          <w:sz w:val="20"/>
        </w:rPr>
      </w:pPr>
    </w:p>
    <w:p>
      <w:pPr>
        <w:pStyle w:val="BodyText"/>
        <w:spacing w:before="2"/>
        <w:rPr>
          <w:sz w:val="23"/>
        </w:rPr>
      </w:pPr>
      <w:r>
        <w:rPr/>
        <w:pict>
          <v:shape style="position:absolute;margin-left:41.862pt;margin-top:15.542976pt;width:4.350pt;height:.1pt;mso-position-horizontal-relative:page;mso-position-vertical-relative:paragraph;z-index:-15562752;mso-wrap-distance-left:0;mso-wrap-distance-right:0" coordorigin="837,311" coordsize="87,0" path="m924,311l837,311e" filled="false" stroked="true" strokeweight=".5pt" strokecolor="#000000">
            <v:path arrowok="t"/>
            <v:stroke dashstyle="solid"/>
            <w10:wrap type="topAndBottom"/>
          </v:shape>
        </w:pict>
      </w:r>
    </w:p>
    <w:p>
      <w:pPr>
        <w:spacing w:line="133" w:lineRule="exact" w:before="0"/>
        <w:ind w:left="270" w:right="0" w:firstLine="0"/>
        <w:jc w:val="left"/>
        <w:rPr>
          <w:sz w:val="12"/>
        </w:rPr>
      </w:pPr>
      <w:r>
        <w:rPr/>
        <w:br w:type="column"/>
      </w:r>
      <w:r>
        <w:rPr>
          <w:sz w:val="12"/>
        </w:rPr>
        <w:t>Total consumption</w:t>
      </w:r>
    </w:p>
    <w:p>
      <w:pPr>
        <w:spacing w:before="96"/>
        <w:ind w:left="466" w:right="0" w:firstLine="0"/>
        <w:jc w:val="left"/>
        <w:rPr>
          <w:sz w:val="12"/>
        </w:rPr>
      </w:pPr>
      <w:r>
        <w:rPr>
          <w:sz w:val="12"/>
        </w:rPr>
        <w:t>Contributions to quarterly growth</w:t>
      </w:r>
    </w:p>
    <w:p>
      <w:pPr>
        <w:pStyle w:val="BodyText"/>
        <w:spacing w:before="4"/>
        <w:rPr>
          <w:sz w:val="2"/>
        </w:rPr>
      </w:pPr>
    </w:p>
    <w:p>
      <w:pPr>
        <w:pStyle w:val="BodyText"/>
        <w:spacing w:line="20" w:lineRule="exact"/>
        <w:ind w:left="1977" w:right="-58"/>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10"/>
        <w:rPr>
          <w:sz w:val="24"/>
        </w:rPr>
      </w:pPr>
      <w:r>
        <w:rPr/>
        <w:pict>
          <v:shape style="position:absolute;margin-left:199.153pt;margin-top:16.54187pt;width:4.350pt;height:.1pt;mso-position-horizontal-relative:page;mso-position-vertical-relative:paragraph;z-index:-15561728;mso-wrap-distance-left:0;mso-wrap-distance-right:0" coordorigin="3983,331" coordsize="87,0" path="m4070,331l3983,331e" filled="false" stroked="true" strokeweight=".5pt" strokecolor="#000000">
            <v:path arrowok="t"/>
            <v:stroke dashstyle="solid"/>
            <w10:wrap type="topAndBottom"/>
          </v:shape>
        </w:pict>
      </w:r>
    </w:p>
    <w:p>
      <w:pPr>
        <w:pStyle w:val="BodyText"/>
        <w:rPr>
          <w:sz w:val="20"/>
        </w:rPr>
      </w:pPr>
    </w:p>
    <w:p>
      <w:pPr>
        <w:pStyle w:val="BodyText"/>
        <w:spacing w:before="2"/>
        <w:rPr>
          <w:sz w:val="23"/>
        </w:rPr>
      </w:pPr>
      <w:r>
        <w:rPr/>
        <w:pict>
          <v:shape style="position:absolute;margin-left:199.153pt;margin-top:15.541977pt;width:4.350pt;height:.1pt;mso-position-horizontal-relative:page;mso-position-vertical-relative:paragraph;z-index:-15561216;mso-wrap-distance-left:0;mso-wrap-distance-right:0" coordorigin="3983,311" coordsize="87,0" path="m4070,311l3983,311e" filled="false" stroked="true" strokeweight=".5pt" strokecolor="#000000">
            <v:path arrowok="t"/>
            <v:stroke dashstyle="solid"/>
            <w10:wrap type="topAndBottom"/>
          </v:shape>
        </w:pict>
      </w:r>
    </w:p>
    <w:p>
      <w:pPr>
        <w:pStyle w:val="BodyText"/>
        <w:rPr>
          <w:sz w:val="20"/>
        </w:rPr>
      </w:pPr>
    </w:p>
    <w:p>
      <w:pPr>
        <w:pStyle w:val="BodyText"/>
        <w:spacing w:before="2"/>
        <w:rPr>
          <w:sz w:val="23"/>
        </w:rPr>
      </w:pPr>
      <w:r>
        <w:rPr/>
        <w:pict>
          <v:shape style="position:absolute;margin-left:199.153pt;margin-top:15.542976pt;width:4.350pt;height:.1pt;mso-position-horizontal-relative:page;mso-position-vertical-relative:paragraph;z-index:-15560704;mso-wrap-distance-left:0;mso-wrap-distance-right:0" coordorigin="3983,311" coordsize="87,0" path="m4070,311l3983,311e" filled="false" stroked="true" strokeweight=".5pt" strokecolor="#000000">
            <v:path arrowok="t"/>
            <v:stroke dashstyle="solid"/>
            <w10:wrap type="topAndBottom"/>
          </v:shape>
        </w:pict>
      </w:r>
    </w:p>
    <w:p>
      <w:pPr>
        <w:pStyle w:val="BodyText"/>
        <w:rPr>
          <w:sz w:val="12"/>
        </w:rPr>
      </w:pPr>
      <w:r>
        <w:rPr/>
        <w:br w:type="column"/>
      </w:r>
      <w:r>
        <w:rPr>
          <w:sz w:val="12"/>
        </w:rPr>
      </w:r>
    </w:p>
    <w:p>
      <w:pPr>
        <w:pStyle w:val="BodyText"/>
        <w:spacing w:before="11"/>
        <w:rPr>
          <w:sz w:val="14"/>
        </w:rPr>
      </w:pPr>
    </w:p>
    <w:p>
      <w:pPr>
        <w:spacing w:before="0"/>
        <w:ind w:left="0" w:right="0" w:firstLine="0"/>
        <w:jc w:val="left"/>
        <w:rPr>
          <w:sz w:val="12"/>
        </w:rPr>
      </w:pPr>
      <w:r>
        <w:rPr>
          <w:sz w:val="12"/>
        </w:rPr>
        <w:t>2.0</w:t>
      </w:r>
    </w:p>
    <w:p>
      <w:pPr>
        <w:pStyle w:val="BodyText"/>
        <w:rPr>
          <w:sz w:val="12"/>
        </w:rPr>
      </w:pPr>
    </w:p>
    <w:p>
      <w:pPr>
        <w:pStyle w:val="BodyText"/>
        <w:rPr>
          <w:sz w:val="12"/>
        </w:rPr>
      </w:pPr>
    </w:p>
    <w:p>
      <w:pPr>
        <w:pStyle w:val="BodyText"/>
        <w:rPr>
          <w:sz w:val="14"/>
        </w:rPr>
      </w:pPr>
    </w:p>
    <w:p>
      <w:pPr>
        <w:spacing w:before="0"/>
        <w:ind w:left="0" w:right="0" w:firstLine="0"/>
        <w:jc w:val="left"/>
        <w:rPr>
          <w:sz w:val="12"/>
        </w:rPr>
      </w:pPr>
      <w:r>
        <w:rPr>
          <w:sz w:val="12"/>
        </w:rPr>
        <w:t>1.5</w:t>
      </w:r>
    </w:p>
    <w:p>
      <w:pPr>
        <w:pStyle w:val="BodyText"/>
        <w:rPr>
          <w:sz w:val="12"/>
        </w:rPr>
      </w:pPr>
    </w:p>
    <w:p>
      <w:pPr>
        <w:pStyle w:val="BodyText"/>
        <w:rPr>
          <w:sz w:val="12"/>
        </w:rPr>
      </w:pPr>
    </w:p>
    <w:p>
      <w:pPr>
        <w:pStyle w:val="BodyText"/>
        <w:spacing w:before="11"/>
        <w:rPr>
          <w:sz w:val="13"/>
        </w:rPr>
      </w:pPr>
    </w:p>
    <w:p>
      <w:pPr>
        <w:spacing w:before="0"/>
        <w:ind w:left="0" w:right="0" w:firstLine="0"/>
        <w:jc w:val="left"/>
        <w:rPr>
          <w:sz w:val="12"/>
        </w:rPr>
      </w:pPr>
      <w:r>
        <w:rPr>
          <w:sz w:val="12"/>
        </w:rPr>
        <w:t>1.0</w:t>
      </w:r>
    </w:p>
    <w:p>
      <w:pPr>
        <w:pStyle w:val="BodyText"/>
        <w:rPr>
          <w:sz w:val="12"/>
        </w:rPr>
      </w:pPr>
    </w:p>
    <w:p>
      <w:pPr>
        <w:pStyle w:val="BodyText"/>
        <w:rPr>
          <w:sz w:val="12"/>
        </w:rPr>
      </w:pPr>
    </w:p>
    <w:p>
      <w:pPr>
        <w:pStyle w:val="BodyText"/>
        <w:spacing w:before="11"/>
        <w:rPr>
          <w:sz w:val="13"/>
        </w:rPr>
      </w:pPr>
    </w:p>
    <w:p>
      <w:pPr>
        <w:spacing w:before="0"/>
        <w:ind w:left="0" w:right="0" w:firstLine="0"/>
        <w:jc w:val="left"/>
        <w:rPr>
          <w:sz w:val="12"/>
        </w:rPr>
      </w:pPr>
      <w:r>
        <w:rPr>
          <w:sz w:val="12"/>
        </w:rPr>
        <w:t>0.5</w:t>
      </w:r>
    </w:p>
    <w:p>
      <w:pPr>
        <w:pStyle w:val="Heading6"/>
        <w:spacing w:line="242" w:lineRule="auto" w:before="112"/>
        <w:ind w:left="417" w:right="259"/>
      </w:pPr>
      <w:r>
        <w:rPr/>
        <w:br w:type="column"/>
      </w:r>
      <w:r>
        <w:rPr/>
        <w:t>published in December, have affected the estimated pattern of expenditure growth in 1998 and the first three quarters of 1999. Domestic demand growth was revised up in 1998, and revised down in 1999. On balance, the level of domestic demand in 1999 Q3 is slightly lower than previously reported, as an upward revision to the level of business investment was more than offset by reductions in the levels of public and private</w:t>
      </w:r>
    </w:p>
    <w:p>
      <w:pPr>
        <w:spacing w:after="0" w:line="242" w:lineRule="auto"/>
        <w:sectPr>
          <w:type w:val="continuous"/>
          <w:pgSz w:w="11900" w:h="16840"/>
          <w:pgMar w:top="1220" w:bottom="280" w:left="620" w:right="640"/>
          <w:cols w:num="4" w:equalWidth="0">
            <w:col w:w="1341" w:space="40"/>
            <w:col w:w="2083" w:space="39"/>
            <w:col w:w="191" w:space="858"/>
            <w:col w:w="6088"/>
          </w:cols>
        </w:sectPr>
      </w:pPr>
    </w:p>
    <w:p>
      <w:pPr>
        <w:pStyle w:val="BodyText"/>
        <w:rPr>
          <w:sz w:val="20"/>
        </w:rPr>
      </w:pPr>
    </w:p>
    <w:p>
      <w:pPr>
        <w:pStyle w:val="BodyText"/>
        <w:spacing w:before="7"/>
        <w:rPr>
          <w:sz w:val="10"/>
        </w:rPr>
      </w:pPr>
    </w:p>
    <w:p>
      <w:pPr>
        <w:pStyle w:val="BodyText"/>
        <w:spacing w:line="20" w:lineRule="exact"/>
        <w:ind w:left="21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9"/>
        <w:rPr>
          <w:sz w:val="24"/>
        </w:rPr>
      </w:pPr>
      <w:r>
        <w:rPr/>
        <w:pict>
          <v:shape style="position:absolute;margin-left:41.862pt;margin-top:16.491976pt;width:4.350pt;height:.1pt;mso-position-horizontal-relative:page;mso-position-vertical-relative:paragraph;z-index:-15559680;mso-wrap-distance-left:0;mso-wrap-distance-right:0" coordorigin="837,330" coordsize="87,0" path="m924,330l837,330e" filled="false" stroked="true" strokeweight=".5pt" strokecolor="#000000">
            <v:path arrowok="t"/>
            <v:stroke dashstyle="solid"/>
            <w10:wrap type="topAndBottom"/>
          </v:shape>
        </w:pict>
      </w:r>
    </w:p>
    <w:p>
      <w:pPr>
        <w:tabs>
          <w:tab w:pos="1940" w:val="left" w:leader="none"/>
        </w:tabs>
        <w:spacing w:before="10"/>
        <w:ind w:left="843" w:right="0" w:firstLine="0"/>
        <w:jc w:val="left"/>
        <w:rPr>
          <w:sz w:val="12"/>
        </w:rPr>
      </w:pPr>
      <w:r>
        <w:rPr>
          <w:sz w:val="12"/>
        </w:rPr>
        <w:t>1997</w:t>
        <w:tab/>
        <w:t>98</w:t>
      </w:r>
    </w:p>
    <w:p>
      <w:pPr>
        <w:pStyle w:val="BodyText"/>
        <w:spacing w:before="4"/>
        <w:rPr>
          <w:sz w:val="14"/>
        </w:rPr>
      </w:pPr>
    </w:p>
    <w:p>
      <w:pPr>
        <w:pStyle w:val="ListParagraph"/>
        <w:numPr>
          <w:ilvl w:val="0"/>
          <w:numId w:val="12"/>
        </w:numPr>
        <w:tabs>
          <w:tab w:pos="430" w:val="left" w:leader="none"/>
        </w:tabs>
        <w:spacing w:line="240" w:lineRule="auto" w:before="0" w:after="0"/>
        <w:ind w:left="429" w:right="0" w:hanging="240"/>
        <w:jc w:val="left"/>
        <w:rPr>
          <w:sz w:val="12"/>
        </w:rPr>
      </w:pPr>
      <w:r>
        <w:rPr>
          <w:sz w:val="12"/>
        </w:rPr>
        <w:t>At constant 1995</w:t>
      </w:r>
      <w:r>
        <w:rPr>
          <w:spacing w:val="-3"/>
          <w:sz w:val="12"/>
        </w:rPr>
        <w:t> </w:t>
      </w:r>
      <w:r>
        <w:rPr>
          <w:sz w:val="12"/>
        </w:rPr>
        <w:t>prices.</w:t>
      </w:r>
    </w:p>
    <w:p>
      <w:pPr>
        <w:spacing w:before="13"/>
        <w:ind w:left="623" w:right="0" w:firstLine="0"/>
        <w:jc w:val="left"/>
        <w:rPr>
          <w:sz w:val="16"/>
        </w:rPr>
      </w:pPr>
      <w:r>
        <w:rPr/>
        <w:br w:type="column"/>
      </w:r>
      <w:r>
        <w:rPr>
          <w:sz w:val="16"/>
        </w:rPr>
        <w:t>+</w:t>
      </w:r>
    </w:p>
    <w:p>
      <w:pPr>
        <w:spacing w:before="69"/>
        <w:ind w:left="702" w:right="0" w:firstLine="0"/>
        <w:jc w:val="left"/>
        <w:rPr>
          <w:sz w:val="12"/>
        </w:rPr>
      </w:pPr>
      <w:r>
        <w:rPr/>
        <w:pict>
          <v:group style="position:absolute;margin-left:51.32pt;margin-top:-85.265434pt;width:144pt;height:106.4pt;mso-position-horizontal-relative:page;mso-position-vertical-relative:paragraph;z-index:15898112" coordorigin="1026,-1705" coordsize="2880,2128">
            <v:rect style="position:absolute;left:1358;top:-686;width:105;height:833" filled="true" fillcolor="#c7c7c7" stroked="false">
              <v:fill type="solid"/>
            </v:rect>
            <v:rect style="position:absolute;left:1358;top:-686;width:105;height:833" filled="false" stroked="true" strokeweight=".5pt" strokecolor="#000000">
              <v:stroke dashstyle="solid"/>
            </v:rect>
            <v:rect style="position:absolute;left:1358;top:-846;width:105;height:168" filled="true" fillcolor="#006caa" stroked="false">
              <v:fill type="solid"/>
            </v:rect>
            <v:rect style="position:absolute;left:1358;top:-848;width:105;height:170" filled="false" stroked="true" strokeweight=".5pt" strokecolor="#000000">
              <v:stroke dashstyle="solid"/>
            </v:rect>
            <v:rect style="position:absolute;left:1358;top:-1596;width:105;height:750" filled="true" fillcolor="#f6bd61" stroked="false">
              <v:fill type="solid"/>
            </v:rect>
            <v:rect style="position:absolute;left:1358;top:-1596;width:105;height:750" filled="false" stroked="true" strokeweight=".5pt" strokecolor="#000000">
              <v:stroke dashstyle="solid"/>
            </v:rect>
            <v:rect style="position:absolute;left:1098;top:-98;width:105;height:245" filled="true" fillcolor="#006caa" stroked="false">
              <v:fill type="solid"/>
            </v:rect>
            <v:rect style="position:absolute;left:1098;top:-106;width:105;height:253" filled="false" stroked="true" strokeweight=".5pt" strokecolor="#000000">
              <v:stroke dashstyle="solid"/>
            </v:rect>
            <v:rect style="position:absolute;left:1098;top:-681;width:105;height:583" filled="true" fillcolor="#f6bd61" stroked="false">
              <v:fill type="solid"/>
            </v:rect>
            <v:rect style="position:absolute;left:1098;top:-681;width:105;height:583" filled="false" stroked="true" strokeweight=".5pt" strokecolor="#000000">
              <v:stroke dashstyle="solid"/>
            </v:rect>
            <v:line style="position:absolute" from="1161,-680" to="1421,-1628" stroked="true" strokeweight="1pt" strokecolor="#de0035">
              <v:stroke dashstyle="solid"/>
            </v:line>
            <v:rect style="position:absolute;left:1618;top:-383;width:115;height:535" filled="true" fillcolor="#c7c7c7" stroked="false">
              <v:fill type="solid"/>
            </v:rect>
            <v:rect style="position:absolute;left:1618;top:-383;width:115;height:535" filled="false" stroked="true" strokeweight=".5pt" strokecolor="#000000">
              <v:stroke dashstyle="solid"/>
            </v:rect>
            <v:rect style="position:absolute;left:1618;top:149;width:115;height:135" filled="true" fillcolor="#006caa" stroked="false">
              <v:fill type="solid"/>
            </v:rect>
            <v:rect style="position:absolute;left:1618;top:149;width:115;height:135" filled="false" stroked="true" strokeweight=".5pt" strokecolor="#000000">
              <v:stroke dashstyle="solid"/>
            </v:rect>
            <v:rect style="position:absolute;left:1618;top:-898;width:115;height:518" filled="true" fillcolor="#f6bd61" stroked="false">
              <v:fill type="solid"/>
            </v:rect>
            <v:rect style="position:absolute;left:1618;top:-898;width:115;height:518" filled="false" stroked="true" strokeweight=".5pt" strokecolor="#000000">
              <v:stroke dashstyle="solid"/>
            </v:rect>
            <v:line style="position:absolute" from="1421,-1628" to="1679,-813" stroked="true" strokeweight="1pt" strokecolor="#de0035">
              <v:stroke dashstyle="solid"/>
            </v:line>
            <v:rect style="position:absolute;left:1888;top:-263;width:105;height:410" filled="true" fillcolor="#c7c7c7" stroked="false">
              <v:fill type="solid"/>
            </v:rect>
            <v:rect style="position:absolute;left:1888;top:-271;width:105;height:418" filled="false" stroked="true" strokeweight=".5pt" strokecolor="#000000">
              <v:stroke dashstyle="solid"/>
            </v:rect>
            <v:rect style="position:absolute;left:1888;top:-881;width:105;height:618" filled="true" fillcolor="#006caa" stroked="false">
              <v:fill type="solid"/>
            </v:rect>
            <v:rect style="position:absolute;left:1888;top:-881;width:105;height:618" filled="false" stroked="true" strokeweight=".5pt" strokecolor="#000000">
              <v:stroke dashstyle="solid"/>
            </v:rect>
            <v:rect style="position:absolute;left:1888;top:-1081;width:105;height:203" filled="true" fillcolor="#f6bd61" stroked="false">
              <v:fill type="solid"/>
            </v:rect>
            <v:rect style="position:absolute;left:1888;top:-1081;width:105;height:203" filled="false" stroked="true" strokeweight=".5pt" strokecolor="#000000">
              <v:stroke dashstyle="solid"/>
            </v:rect>
            <v:line style="position:absolute" from="1679,-813" to="1939,-1113" stroked="true" strokeweight="1pt" strokecolor="#de0035">
              <v:stroke dashstyle="solid"/>
            </v:line>
            <v:rect style="position:absolute;left:2146;top:119;width:108;height:33" filled="true" fillcolor="#c7c7c7" stroked="false">
              <v:fill type="solid"/>
            </v:rect>
            <v:rect style="position:absolute;left:2146;top:117;width:108;height:35" filled="false" stroked="true" strokeweight=".5pt" strokecolor="#000000">
              <v:stroke dashstyle="solid"/>
            </v:rect>
            <v:rect style="position:absolute;left:2146;top:149;width:108;height:35" filled="true" fillcolor="#006caa" stroked="false">
              <v:fill type="solid"/>
            </v:rect>
            <v:rect style="position:absolute;left:2146;top:149;width:108;height:35" filled="false" stroked="true" strokeweight=".5pt" strokecolor="#000000">
              <v:stroke dashstyle="solid"/>
            </v:rect>
            <v:rect style="position:absolute;left:2146;top:-516;width:108;height:635" filled="true" fillcolor="#f6bd61" stroked="false">
              <v:fill type="solid"/>
            </v:rect>
            <v:rect style="position:absolute;left:2146;top:-516;width:108;height:635" filled="false" stroked="true" strokeweight=".5pt" strokecolor="#000000">
              <v:stroke dashstyle="solid"/>
            </v:rect>
            <v:line style="position:absolute" from="1939,-1113" to="2199,-548" stroked="true" strokeweight="1pt" strokecolor="#de0035">
              <v:stroke dashstyle="solid"/>
            </v:line>
            <v:rect style="position:absolute;left:2406;top:152;width:108;height:183" filled="true" fillcolor="#c7c7c7" stroked="false">
              <v:fill type="solid"/>
            </v:rect>
            <v:rect style="position:absolute;left:2406;top:149;width:108;height:185" filled="false" stroked="true" strokeweight=".5pt" strokecolor="#000000">
              <v:stroke dashstyle="solid"/>
            </v:rect>
            <v:rect style="position:absolute;left:2406;top:-366;width:108;height:518" filled="true" fillcolor="#006caa" stroked="false">
              <v:fill type="solid"/>
            </v:rect>
            <v:rect style="position:absolute;left:2406;top:-366;width:108;height:518" filled="false" stroked="true" strokeweight=".5pt" strokecolor="#000000">
              <v:stroke dashstyle="solid"/>
            </v:rect>
            <v:rect style="position:absolute;left:2406;top:-963;width:108;height:600" filled="true" fillcolor="#f6bd61" stroked="false">
              <v:fill type="solid"/>
            </v:rect>
            <v:rect style="position:absolute;left:2406;top:-963;width:108;height:600" filled="false" stroked="true" strokeweight=".5pt" strokecolor="#000000">
              <v:stroke dashstyle="solid"/>
            </v:rect>
            <v:line style="position:absolute" from="2199,-548" to="2469,-813" stroked="true" strokeweight="1pt" strokecolor="#de0035">
              <v:stroke dashstyle="solid"/>
            </v:line>
            <v:rect style="position:absolute;left:2666;top:119;width:108;height:30" filled="true" fillcolor="#c7c7c7" stroked="false">
              <v:fill type="solid"/>
            </v:rect>
            <v:rect style="position:absolute;left:2666;top:117;width:108;height:35" filled="false" stroked="true" strokeweight=".5pt" strokecolor="#000000">
              <v:stroke dashstyle="solid"/>
            </v:rect>
            <v:rect style="position:absolute;left:2666;top:149;width:108;height:185" filled="true" fillcolor="#006caa" stroked="false">
              <v:fill type="solid"/>
            </v:rect>
            <v:rect style="position:absolute;left:2666;top:149;width:108;height:185" filled="false" stroked="true" strokeweight=".5pt" strokecolor="#000000">
              <v:stroke dashstyle="solid"/>
            </v:rect>
            <v:rect style="position:absolute;left:2666;top:-548;width:108;height:668" filled="true" fillcolor="#f6bd61" stroked="false">
              <v:fill type="solid"/>
            </v:rect>
            <v:rect style="position:absolute;left:2666;top:-548;width:108;height:668" filled="false" stroked="true" strokeweight=".5pt" strokecolor="#000000">
              <v:stroke dashstyle="solid"/>
            </v:rect>
            <v:line style="position:absolute" from="2469,-813" to="2729,-398" stroked="true" strokeweight="1pt" strokecolor="#de0035">
              <v:stroke dashstyle="solid"/>
            </v:line>
            <v:rect style="position:absolute;left:2926;top:34;width:105;height:115" filled="true" fillcolor="#c7c7c7" stroked="false">
              <v:fill type="solid"/>
            </v:rect>
            <v:rect style="position:absolute;left:2926;top:32;width:105;height:120" filled="false" stroked="true" strokeweight=".5pt" strokecolor="#000000">
              <v:stroke dashstyle="solid"/>
            </v:rect>
            <v:rect style="position:absolute;left:2926;top:149;width:105;height:268" filled="true" fillcolor="#006caa" stroked="false">
              <v:fill type="solid"/>
            </v:rect>
            <v:rect style="position:absolute;left:2926;top:149;width:105;height:268" filled="false" stroked="true" strokeweight=".5pt" strokecolor="#000000">
              <v:stroke dashstyle="solid"/>
            </v:rect>
            <v:rect style="position:absolute;left:2926;top:-498;width:105;height:533" filled="true" fillcolor="#f6bd61" stroked="false">
              <v:fill type="solid"/>
            </v:rect>
            <v:rect style="position:absolute;left:2926;top:-498;width:105;height:533" filled="false" stroked="true" strokeweight=".5pt" strokecolor="#000000">
              <v:stroke dashstyle="solid"/>
            </v:rect>
            <v:line style="position:absolute" from="2729,-398" to="2989,-265" stroked="true" strokeweight="1pt" strokecolor="#de0035">
              <v:stroke dashstyle="solid"/>
            </v:line>
            <v:rect style="position:absolute;left:3186;top:-198;width:115;height:345" filled="true" fillcolor="#c7c7c7" stroked="false">
              <v:fill type="solid"/>
            </v:rect>
            <v:rect style="position:absolute;left:3186;top:-206;width:115;height:353" filled="false" stroked="true" strokeweight=".5pt" strokecolor="#000000">
              <v:stroke dashstyle="solid"/>
            </v:rect>
            <v:rect style="position:absolute;left:3186;top:-666;width:115;height:468" filled="true" fillcolor="#006caa" stroked="false">
              <v:fill type="solid"/>
            </v:rect>
            <v:rect style="position:absolute;left:3186;top:-666;width:115;height:468" filled="false" stroked="true" strokeweight=".5pt" strokecolor="#000000">
              <v:stroke dashstyle="solid"/>
            </v:rect>
            <v:rect style="position:absolute;left:3186;top:-1678;width:115;height:1015" filled="true" fillcolor="#f6bd61" stroked="false">
              <v:fill type="solid"/>
            </v:rect>
            <v:rect style="position:absolute;left:3186;top:-1678;width:115;height:1015" filled="false" stroked="true" strokeweight=".5pt" strokecolor="#000000">
              <v:stroke dashstyle="solid"/>
            </v:rect>
            <v:line style="position:absolute" from="2989,-265" to="3249,-1695" stroked="true" strokeweight="1pt" strokecolor="#de0035">
              <v:stroke dashstyle="solid"/>
            </v:line>
            <v:rect style="position:absolute;left:3456;top:34;width:105;height:113" filled="true" fillcolor="#c7c7c7" stroked="false">
              <v:fill type="solid"/>
            </v:rect>
            <v:rect style="position:absolute;left:3456;top:27;width:105;height:120" filled="false" stroked="true" strokeweight=".5pt" strokecolor="#000000">
              <v:stroke dashstyle="solid"/>
            </v:rect>
            <v:rect style="position:absolute;left:3456;top:-616;width:105;height:650" filled="true" fillcolor="#006caa" stroked="false">
              <v:fill type="solid"/>
            </v:rect>
            <v:rect style="position:absolute;left:3456;top:-616;width:105;height:650" filled="false" stroked="true" strokeweight=".5pt" strokecolor="#000000">
              <v:stroke dashstyle="solid"/>
            </v:rect>
            <v:rect style="position:absolute;left:3456;top:-748;width:105;height:135" filled="true" fillcolor="#f6bd61" stroked="false">
              <v:fill type="solid"/>
            </v:rect>
            <v:rect style="position:absolute;left:3456;top:-748;width:105;height:135" filled="false" stroked="true" strokeweight=".5pt" strokecolor="#000000">
              <v:stroke dashstyle="solid"/>
            </v:rect>
            <v:line style="position:absolute" from="3249,-1695" to="3509,-780" stroked="true" strokeweight="1pt" strokecolor="#de0035">
              <v:stroke dashstyle="solid"/>
            </v:line>
            <v:rect style="position:absolute;left:3716;top:34;width:105;height:113" filled="true" fillcolor="#c7c7c7" stroked="false">
              <v:fill type="solid"/>
            </v:rect>
            <v:rect style="position:absolute;left:3716;top:27;width:105;height:120" filled="false" stroked="true" strokeweight=".5pt" strokecolor="#000000">
              <v:stroke dashstyle="solid"/>
            </v:rect>
            <v:rect style="position:absolute;left:3716;top:-163;width:105;height:198" filled="true" fillcolor="#006caa" stroked="false">
              <v:fill type="solid"/>
            </v:rect>
            <v:rect style="position:absolute;left:3716;top:-166;width:105;height:200" filled="false" stroked="true" strokeweight=".5pt" strokecolor="#000000">
              <v:stroke dashstyle="solid"/>
            </v:rect>
            <v:rect style="position:absolute;left:3716;top:-533;width:105;height:370" filled="true" fillcolor="#f6bd61" stroked="false">
              <v:fill type="solid"/>
            </v:rect>
            <v:rect style="position:absolute;left:3716;top:-533;width:105;height:370" filled="false" stroked="true" strokeweight=".5pt" strokecolor="#000000">
              <v:stroke dashstyle="solid"/>
            </v:rect>
            <v:line style="position:absolute" from="3509,-780" to="3766,-548" stroked="true" strokeweight="1pt" strokecolor="#de0035">
              <v:stroke dashstyle="solid"/>
            </v:line>
            <v:line style="position:absolute" from="1026,147" to="3906,147" stroked="true" strokeweight=".5pt" strokecolor="#000000">
              <v:stroke dashstyle="solid"/>
            </v:line>
            <w10:wrap type="none"/>
          </v:group>
        </w:pict>
      </w:r>
      <w:r>
        <w:rPr/>
        <w:pict>
          <v:line style="position:absolute;mso-position-horizontal-relative:page;mso-position-vertical-relative:paragraph;z-index:15899648" from="203.487pt,8.013569pt" to="199.153pt,8.013569pt" stroked="true" strokeweight=".5pt" strokecolor="#000000">
            <v:stroke dashstyle="solid"/>
            <w10:wrap type="none"/>
          </v:line>
        </w:pict>
      </w:r>
      <w:r>
        <w:rPr>
          <w:sz w:val="12"/>
        </w:rPr>
        <w:t>0.0</w:t>
      </w:r>
    </w:p>
    <w:p>
      <w:pPr>
        <w:spacing w:before="84"/>
        <w:ind w:left="628" w:right="0" w:firstLine="0"/>
        <w:jc w:val="left"/>
        <w:rPr>
          <w:sz w:val="16"/>
        </w:rPr>
      </w:pPr>
      <w:r>
        <w:rPr>
          <w:sz w:val="16"/>
        </w:rPr>
        <w:t>–</w:t>
      </w:r>
    </w:p>
    <w:p>
      <w:pPr>
        <w:pStyle w:val="BodyText"/>
        <w:spacing w:before="8"/>
        <w:rPr>
          <w:sz w:val="14"/>
        </w:rPr>
      </w:pPr>
    </w:p>
    <w:p>
      <w:pPr>
        <w:spacing w:line="136" w:lineRule="exact" w:before="0"/>
        <w:ind w:left="702" w:right="0" w:firstLine="0"/>
        <w:jc w:val="left"/>
        <w:rPr>
          <w:sz w:val="12"/>
        </w:rPr>
      </w:pPr>
      <w:r>
        <w:rPr/>
        <w:pict>
          <v:shape style="position:absolute;margin-left:51.629002pt;margin-top:-.481438pt;width:143.7pt;height:5.1pt;mso-position-horizontal-relative:page;mso-position-vertical-relative:paragraph;z-index:15898624" coordorigin="1033,-10" coordsize="2874,102" path="m1035,92l3906,92m1033,-10l1033,91m1555,38l1555,91m2339,38l2339,91m3906,38l3906,91m2861,38l2861,91m1294,38l1294,91m1816,38l1816,91m3123,-10l3123,91m3384,38l3384,91m2078,-10l2078,91m3645,38l3645,91m2600,38l2600,91e" filled="false" stroked="true" strokeweight=".5pt" strokecolor="#000000">
            <v:path arrowok="t"/>
            <v:stroke dashstyle="solid"/>
            <w10:wrap type="none"/>
          </v:shape>
        </w:pict>
      </w:r>
      <w:r>
        <w:rPr/>
        <w:pict>
          <v:line style="position:absolute;mso-position-horizontal-relative:page;mso-position-vertical-relative:paragraph;z-index:15899136" from="203.487pt,4.580563pt" to="199.153pt,4.580563pt" stroked="true" strokeweight=".5pt" strokecolor="#000000">
            <v:stroke dashstyle="solid"/>
            <w10:wrap type="none"/>
          </v:line>
        </w:pict>
      </w:r>
      <w:r>
        <w:rPr>
          <w:sz w:val="12"/>
        </w:rPr>
        <w:t>0.5</w:t>
      </w:r>
    </w:p>
    <w:p>
      <w:pPr>
        <w:spacing w:line="136" w:lineRule="exact" w:before="0"/>
        <w:ind w:left="190" w:right="0" w:firstLine="0"/>
        <w:jc w:val="left"/>
        <w:rPr>
          <w:sz w:val="12"/>
        </w:rPr>
      </w:pPr>
      <w:r>
        <w:rPr>
          <w:sz w:val="12"/>
        </w:rPr>
        <w:t>99</w:t>
      </w:r>
    </w:p>
    <w:p>
      <w:pPr>
        <w:pStyle w:val="Heading6"/>
        <w:spacing w:before="10"/>
      </w:pPr>
      <w:r>
        <w:rPr/>
        <w:br w:type="column"/>
      </w:r>
      <w:r>
        <w:rPr/>
        <w:t>consumption.</w:t>
      </w:r>
    </w:p>
    <w:p>
      <w:pPr>
        <w:pStyle w:val="BodyText"/>
        <w:spacing w:before="2"/>
        <w:rPr>
          <w:sz w:val="21"/>
        </w:rPr>
      </w:pPr>
    </w:p>
    <w:p>
      <w:pPr>
        <w:spacing w:before="1"/>
        <w:ind w:left="190" w:right="0" w:firstLine="0"/>
        <w:jc w:val="left"/>
        <w:rPr>
          <w:i/>
          <w:sz w:val="24"/>
        </w:rPr>
      </w:pPr>
      <w:r>
        <w:rPr>
          <w:i/>
          <w:color w:val="009391"/>
          <w:sz w:val="24"/>
        </w:rPr>
        <w:t>Consumption</w:t>
      </w:r>
    </w:p>
    <w:p>
      <w:pPr>
        <w:spacing w:line="242" w:lineRule="auto" w:before="124"/>
        <w:ind w:left="190" w:right="148" w:firstLine="0"/>
        <w:jc w:val="left"/>
        <w:rPr>
          <w:sz w:val="24"/>
        </w:rPr>
      </w:pPr>
      <w:r>
        <w:rPr>
          <w:sz w:val="24"/>
        </w:rPr>
        <w:t>Consumers’ expenditure remained robust in 1999 Q3</w:t>
      </w:r>
      <w:r>
        <w:rPr>
          <w:i/>
          <w:sz w:val="24"/>
        </w:rPr>
        <w:t>, </w:t>
      </w:r>
      <w:r>
        <w:rPr>
          <w:sz w:val="24"/>
        </w:rPr>
        <w:t>though growth was slower than at the beginning of 1999 (see Chart 2.5). One category of expenditure where</w:t>
      </w:r>
    </w:p>
    <w:p>
      <w:pPr>
        <w:spacing w:after="0" w:line="242" w:lineRule="auto"/>
        <w:jc w:val="left"/>
        <w:rPr>
          <w:sz w:val="24"/>
        </w:rPr>
        <w:sectPr>
          <w:type w:val="continuous"/>
          <w:pgSz w:w="11900" w:h="16840"/>
          <w:pgMar w:top="1220" w:bottom="280" w:left="620" w:right="640"/>
          <w:cols w:num="3" w:equalWidth="0">
            <w:col w:w="2101" w:space="699"/>
            <w:col w:w="893" w:space="1086"/>
            <w:col w:w="5861"/>
          </w:cols>
        </w:sectPr>
      </w:pPr>
    </w:p>
    <w:p>
      <w:pPr>
        <w:pStyle w:val="BodyText"/>
        <w:rPr>
          <w:sz w:val="20"/>
        </w:rPr>
      </w:pPr>
    </w:p>
    <w:p>
      <w:pPr>
        <w:spacing w:before="208"/>
        <w:ind w:left="1831" w:right="1859" w:firstLine="0"/>
        <w:jc w:val="center"/>
        <w:rPr>
          <w:b/>
          <w:sz w:val="28"/>
        </w:rPr>
      </w:pPr>
      <w:bookmarkStart w:name="Consumer spending on cars in the United " w:id="36"/>
      <w:bookmarkEnd w:id="36"/>
      <w:r>
        <w:rPr/>
      </w:r>
      <w:bookmarkStart w:name="_bookmark13" w:id="37"/>
      <w:bookmarkEnd w:id="37"/>
      <w:r>
        <w:rPr/>
      </w:r>
      <w:r>
        <w:rPr>
          <w:b/>
          <w:color w:val="009391"/>
          <w:sz w:val="28"/>
        </w:rPr>
        <w:t>Consumer spending on cars in the United Kingdom</w:t>
      </w:r>
    </w:p>
    <w:p>
      <w:pPr>
        <w:pStyle w:val="BodyText"/>
        <w:spacing w:before="6"/>
        <w:rPr>
          <w:b/>
          <w:sz w:val="21"/>
        </w:rPr>
      </w:pPr>
    </w:p>
    <w:p>
      <w:pPr>
        <w:spacing w:after="0"/>
        <w:rPr>
          <w:sz w:val="21"/>
        </w:rPr>
        <w:sectPr>
          <w:headerReference w:type="even" r:id="rId70"/>
          <w:headerReference w:type="default" r:id="rId71"/>
          <w:footerReference w:type="even" r:id="rId72"/>
          <w:footerReference w:type="default" r:id="rId73"/>
          <w:pgSz w:w="11900" w:h="16840"/>
          <w:pgMar w:header="586" w:footer="597" w:top="780" w:bottom="780" w:left="620" w:right="640"/>
          <w:pgNumType w:start="16"/>
        </w:sectPr>
      </w:pPr>
    </w:p>
    <w:p>
      <w:pPr>
        <w:spacing w:line="242" w:lineRule="auto" w:before="90"/>
        <w:ind w:left="414" w:right="99" w:firstLine="0"/>
        <w:jc w:val="left"/>
        <w:rPr>
          <w:sz w:val="24"/>
        </w:rPr>
      </w:pPr>
      <w:r>
        <w:rPr/>
        <w:pict>
          <v:group style="position:absolute;margin-left:37.720001pt;margin-top:40pt;width:519pt;height:740pt;mso-position-horizontal-relative:page;mso-position-vertical-relative:page;z-index:-22239744" coordorigin="754,800" coordsize="10380,14800">
            <v:shape style="position:absolute;left:774;top:820;width:10341;height:14760" coordorigin="774,820" coordsize="10341,14760" path="m11114,820l5958,820,5930,820,774,820,774,8172,774,8228,774,15580,5930,15580,5958,15580,11114,15580,11114,820xe" filled="true" fillcolor="#d7e8e7" stroked="false">
              <v:path arrowok="t"/>
              <v:fill type="solid"/>
            </v:shape>
            <v:shape style="position:absolute;left:854;top:942;width:10181;height:14516" coordorigin="854,942" coordsize="10181,14516" path="m5944,942l854,8200,5944,15458,11034,8200,5944,942xe" filled="true" fillcolor="#d9e8e7" stroked="false">
              <v:path arrowok="t"/>
              <v:fill type="solid"/>
            </v:shape>
            <v:shape style="position:absolute;left:954;top:1084;width:9981;height:14231" coordorigin="954,1085" coordsize="9981,14231" path="m5944,1085l954,8200,5944,15315,10935,8200,5944,1085xe" filled="true" fillcolor="#dae9e8" stroked="false">
              <v:path arrowok="t"/>
              <v:fill type="solid"/>
            </v:shape>
            <v:shape style="position:absolute;left:1053;top:1227;width:9781;height:13947" coordorigin="1054,1227" coordsize="9781,13947" path="m5944,1227l1054,8200,5944,15173,10835,8200,5944,1227xe" filled="true" fillcolor="#daeae8" stroked="false">
              <v:path arrowok="t"/>
              <v:fill type="solid"/>
            </v:shape>
            <v:shape style="position:absolute;left:1153;top:1369;width:9582;height:13662" coordorigin="1154,1369" coordsize="9582,13662" path="m5944,1369l1154,8200,5944,15031,10735,8200,5944,1369xe" filled="true" fillcolor="#dbeae8" stroked="false">
              <v:path arrowok="t"/>
              <v:fill type="solid"/>
            </v:shape>
            <v:shape style="position:absolute;left:1253;top:1511;width:9382;height:13377" coordorigin="1254,1512" coordsize="9382,13377" path="m5944,1512l1254,8200,5944,14888,10635,8200,5944,1512xe" filled="true" fillcolor="#dcebe9" stroked="false">
              <v:path arrowok="t"/>
              <v:fill type="solid"/>
            </v:shape>
            <v:shape style="position:absolute;left:1353;top:1653;width:9183;height:13093" coordorigin="1353,1654" coordsize="9183,13093" path="m5944,1654l1353,8200,5944,14746,10535,8200,5944,1654xe" filled="true" fillcolor="#ddebe9" stroked="false">
              <v:path arrowok="t"/>
              <v:fill type="solid"/>
            </v:shape>
            <v:shape style="position:absolute;left:1453;top:1796;width:8983;height:12808" coordorigin="1453,1796" coordsize="8983,12808" path="m5944,1796l1453,8200,5944,14604,10436,8200,5944,1796xe" filled="true" fillcolor="#ddebea" stroked="false">
              <v:path arrowok="t"/>
              <v:fill type="solid"/>
            </v:shape>
            <v:shape style="position:absolute;left:1552;top:1938;width:8783;height:12523" coordorigin="1553,1939" coordsize="8783,12523" path="m5944,1939l1553,8200,5944,14462,10336,8200,5944,1939xe" filled="true" fillcolor="#dfebea" stroked="false">
              <v:path arrowok="t"/>
              <v:fill type="solid"/>
            </v:shape>
            <v:shape style="position:absolute;left:1652;top:2080;width:8584;height:12239" coordorigin="1653,2081" coordsize="8584,12239" path="m10236,8200l5944,2081,1653,8200,5944,14319,10236,8200xe" filled="true" fillcolor="#dfeceb" stroked="false">
              <v:path arrowok="t"/>
              <v:fill type="solid"/>
            </v:shape>
            <v:shape style="position:absolute;left:1852;top:2365;width:8185;height:11670" coordorigin="1852,2366" coordsize="8185,11670" path="m5944,2366l1852,8200,5944,14035,10036,8200,5944,2366xe" filled="true" fillcolor="#e0eceb" stroked="false">
              <v:path arrowok="t"/>
              <v:fill type="solid"/>
            </v:shape>
            <v:shape style="position:absolute;left:1952;top:2507;width:7985;height:11385" coordorigin="1952,2508" coordsize="7985,11385" path="m5944,2508l1952,8200,5944,13892,9937,8200,5944,2508xe" filled="true" fillcolor="#e0edeb" stroked="false">
              <v:path arrowok="t"/>
              <v:fill type="solid"/>
            </v:shape>
            <v:shape style="position:absolute;left:2051;top:2650;width:7785;height:11100" coordorigin="2052,2650" coordsize="7785,11100" path="m5944,2650l2052,8200,5944,13750,9837,8200,5944,2650xe" filled="true" fillcolor="#e1edeb" stroked="false">
              <v:path arrowok="t"/>
              <v:fill type="solid"/>
            </v:shape>
            <v:shape style="position:absolute;left:2151;top:2792;width:7586;height:10816" coordorigin="2152,2792" coordsize="7586,10816" path="m5944,2792l2152,8200,5944,13608,9737,8200,5944,2792xe" filled="true" fillcolor="#e2edec" stroked="false">
              <v:path arrowok="t"/>
              <v:fill type="solid"/>
            </v:shape>
            <v:shape style="position:absolute;left:2251;top:2934;width:7386;height:10531" coordorigin="2252,2935" coordsize="7386,10531" path="m5944,2935l2252,8200,5944,13465,9637,8200,5944,2935xe" filled="true" fillcolor="#e3eeec" stroked="false">
              <v:path arrowok="t"/>
              <v:fill type="solid"/>
            </v:shape>
            <v:shape style="position:absolute;left:2351;top:3077;width:7186;height:10247" coordorigin="2351,3077" coordsize="7186,10247" path="m5944,3077l2351,8200,5944,13323,9537,8200,5944,3077xe" filled="true" fillcolor="#e4efed" stroked="false">
              <v:path arrowok="t"/>
              <v:fill type="solid"/>
            </v:shape>
            <v:shape style="position:absolute;left:2451;top:3219;width:6987;height:9962" coordorigin="2451,3219" coordsize="6987,9962" path="m5944,3219l2451,8200,5944,13181,9438,8200,5944,3219xe" filled="true" fillcolor="#e6efed" stroked="false">
              <v:path arrowok="t"/>
              <v:fill type="solid"/>
            </v:shape>
            <v:shape style="position:absolute;left:2550;top:3361;width:6787;height:9677" coordorigin="2551,3362" coordsize="6787,9677" path="m5944,3362l2551,8200,5944,13038,9338,8200,5944,3362xe" filled="true" fillcolor="#e6efee" stroked="false">
              <v:path arrowok="t"/>
              <v:fill type="solid"/>
            </v:shape>
            <v:shape style="position:absolute;left:2650;top:3503;width:6588;height:9393" coordorigin="2651,3504" coordsize="6588,9393" path="m5944,3504l2651,8200,5944,12896,9238,8200,5944,3504xe" filled="true" fillcolor="#e7f0ee" stroked="false">
              <v:path arrowok="t"/>
              <v:fill type="solid"/>
            </v:shape>
            <v:shape style="position:absolute;left:2750;top:3646;width:6388;height:9108" coordorigin="2751,3646" coordsize="6388,9108" path="m9138,8200l5944,3646,2751,8200,5944,12754,9138,8200xe" filled="true" fillcolor="#e8f0ee" stroked="false">
              <v:path arrowok="t"/>
              <v:fill type="solid"/>
            </v:shape>
            <v:shape style="position:absolute;left:2950;top:3930;width:5989;height:8539" coordorigin="2950,3931" coordsize="5989,8539" path="m5944,3931l2950,8200,5944,12469,8939,8200,5944,3931xe" filled="true" fillcolor="#eaf1f0" stroked="false">
              <v:path arrowok="t"/>
              <v:fill type="solid"/>
            </v:shape>
            <v:shape style="position:absolute;left:3050;top:4073;width:5789;height:8254" coordorigin="3050,4073" coordsize="5789,8254" path="m8839,8200l5944,4073,3050,8200,5944,12327,8839,8200xe" filled="true" fillcolor="#ebf3f0" stroked="false">
              <v:path arrowok="t"/>
              <v:fill type="solid"/>
            </v:shape>
            <v:shape style="position:absolute;left:3249;top:4357;width:5390;height:7685" coordorigin="3250,4358" coordsize="5390,7685" path="m5944,4358l3250,8200,5944,12042,8639,8200,5944,4358xe" filled="true" fillcolor="#ebf4f1" stroked="false">
              <v:path arrowok="t"/>
              <v:fill type="solid"/>
            </v:shape>
            <v:shape style="position:absolute;left:3349;top:4500;width:5190;height:7400" coordorigin="3349,4500" coordsize="5190,7400" path="m5944,4500l3349,8200,5944,11900,8539,8200,5944,4500xe" filled="true" fillcolor="#ecf4f1" stroked="false">
              <v:path arrowok="t"/>
              <v:fill type="solid"/>
            </v:shape>
            <v:shape style="position:absolute;left:3449;top:4642;width:4991;height:7116" coordorigin="3449,4642" coordsize="4991,7116" path="m5944,4642l3449,8200,5944,11758,8440,8200,5944,4642xe" filled="true" fillcolor="#ecf4f3" stroked="false">
              <v:path arrowok="t"/>
              <v:fill type="solid"/>
            </v:shape>
            <v:shape style="position:absolute;left:3549;top:4784;width:4791;height:6831" coordorigin="3549,4785" coordsize="4791,6831" path="m5944,4785l3549,8200,5944,11615,8340,8200,5944,4785xe" filled="true" fillcolor="#edf5f3" stroked="false">
              <v:path arrowok="t"/>
              <v:fill type="solid"/>
            </v:shape>
            <v:shape style="position:absolute;left:3648;top:4927;width:4592;height:6547" coordorigin="3649,4927" coordsize="4592,6547" path="m5944,4927l3649,8200,5944,11473,8240,8200,5944,4927xe" filled="true" fillcolor="#eef5f4" stroked="false">
              <v:path arrowok="t"/>
              <v:fill type="solid"/>
            </v:shape>
            <v:shape style="position:absolute;left:3748;top:5069;width:4392;height:6262" coordorigin="3749,5069" coordsize="4392,6262" path="m5944,5069l3749,8200,5944,11331,8140,8200,5944,5069xe" filled="true" fillcolor="#eff6f4" stroked="false">
              <v:path arrowok="t"/>
              <v:fill type="solid"/>
            </v:shape>
            <v:shape style="position:absolute;left:3848;top:5211;width:4192;height:5977" coordorigin="3848,5212" coordsize="4192,5977" path="m5944,5212l3848,8200,5944,11189,8040,8200,5944,5212xe" filled="true" fillcolor="#eff6f5" stroked="false">
              <v:path arrowok="t"/>
              <v:fill type="solid"/>
            </v:shape>
            <v:shape style="position:absolute;left:3948;top:5353;width:3993;height:5693" coordorigin="3948,5354" coordsize="3993,5693" path="m5944,5354l3948,8200,5944,11046,7940,8200,5944,5354xe" filled="true" fillcolor="#f0f7f6" stroked="false">
              <v:path arrowok="t"/>
              <v:fill type="solid"/>
            </v:shape>
            <v:shape style="position:absolute;left:4048;top:5496;width:3793;height:5408" coordorigin="4048,5496" coordsize="3793,5408" path="m7841,8200l5944,5496,4048,8200,5944,10904,7841,8200xe" filled="true" fillcolor="#f1f7f6" stroked="false">
              <v:path arrowok="t"/>
              <v:fill type="solid"/>
            </v:shape>
            <v:shape style="position:absolute;left:4247;top:5780;width:3394;height:4839" coordorigin="4248,5781" coordsize="3394,4839" path="m5944,5781l4248,8200,5944,10619,7641,8200,5944,5781xe" filled="true" fillcolor="#f4f8f7" stroked="false">
              <v:path arrowok="t"/>
              <v:fill type="solid"/>
            </v:shape>
            <v:shape style="position:absolute;left:4347;top:5923;width:3194;height:4554" coordorigin="4347,5923" coordsize="3194,4554" path="m5944,5923l4347,8200,5944,10477,7541,8200,5944,5923xe" filled="true" fillcolor="#f4f8f8" stroked="false">
              <v:path arrowok="t"/>
              <v:fill type="solid"/>
            </v:shape>
            <v:shape style="position:absolute;left:4447;top:6065;width:2995;height:4270" coordorigin="4447,6065" coordsize="2995,4270" path="m5944,6065l4447,8200,5944,10335,7441,8200,5944,6065xe" filled="true" fillcolor="#f5f8f8" stroked="false">
              <v:path arrowok="t"/>
              <v:fill type="solid"/>
            </v:shape>
            <v:shape style="position:absolute;left:4547;top:6207;width:2795;height:3985" coordorigin="4547,6208" coordsize="2795,3985" path="m7342,8200l5944,6208,4547,8200,5944,10192,7342,8200xe" filled="true" fillcolor="#f6f8f8" stroked="false">
              <v:path arrowok="t"/>
              <v:fill type="solid"/>
            </v:shape>
            <v:shape style="position:absolute;left:4746;top:6492;width:2396;height:3416" coordorigin="4747,6492" coordsize="2396,3416" path="m5944,6492l4747,8200,5944,9908,7142,8200,5944,6492xe" filled="true" fillcolor="#f7f9f8" stroked="false">
              <v:path arrowok="t"/>
              <v:fill type="solid"/>
            </v:shape>
            <v:shape style="position:absolute;left:4846;top:6634;width:2196;height:3131" coordorigin="4847,6635" coordsize="2196,3131" path="m5944,6635l4847,8200,5944,9765,7042,8200,5944,6635xe" filled="true" fillcolor="#f8f9f8" stroked="false">
              <v:path arrowok="t"/>
              <v:fill type="solid"/>
            </v:shape>
            <v:shape style="position:absolute;left:4946;top:6777;width:1997;height:2847" coordorigin="4946,6777" coordsize="1997,2847" path="m5944,6777l4946,8200,5944,9623,6942,8200,5944,6777xe" filled="true" fillcolor="#f8fafa" stroked="false">
              <v:path arrowok="t"/>
              <v:fill type="solid"/>
            </v:shape>
            <v:shape style="position:absolute;left:5046;top:6919;width:1797;height:2562" coordorigin="5046,6919" coordsize="1797,2562" path="m5944,6919l5046,8200,5944,9481,6843,8200,5944,6919xe" filled="true" fillcolor="#f8fbfa" stroked="false">
              <v:path arrowok="t"/>
              <v:fill type="solid"/>
            </v:shape>
            <v:shape style="position:absolute;left:5145;top:7061;width:1597;height:2277" coordorigin="5146,7062" coordsize="1597,2277" path="m5944,7062l5146,8200,5944,9339,6743,8200,5944,7062xe" filled="true" fillcolor="#f9fbfa" stroked="false">
              <v:path arrowok="t"/>
              <v:fill type="solid"/>
            </v:shape>
            <v:shape style="position:absolute;left:5245;top:7203;width:1398;height:1993" coordorigin="5246,7204" coordsize="1398,1993" path="m5944,7204l5246,8200,5944,9196,6643,8200,5944,7204xe" filled="true" fillcolor="#fafbfb" stroked="false">
              <v:path arrowok="t"/>
              <v:fill type="solid"/>
            </v:shape>
            <v:shape style="position:absolute;left:5345;top:7346;width:1198;height:1708" coordorigin="5346,7346" coordsize="1198,1708" path="m5944,7346l5346,8200,5944,9054,6543,8200,5944,7346xe" filled="true" fillcolor="#fafcfb" stroked="false">
              <v:path arrowok="t"/>
              <v:fill type="solid"/>
            </v:shape>
            <v:shape style="position:absolute;left:5445;top:7488;width:999;height:1424" coordorigin="5445,7489" coordsize="999,1424" path="m5944,7489l5445,8200,5944,8912,6443,8200,5944,7489xe" filled="true" fillcolor="#fbfcfc" stroked="false">
              <v:path arrowok="t"/>
              <v:fill type="solid"/>
            </v:shape>
            <v:shape style="position:absolute;left:5545;top:7630;width:799;height:1139" coordorigin="5545,7631" coordsize="799,1139" path="m5944,7631l5545,8200,5944,8769,6344,8200,5944,7631xe" filled="true" fillcolor="#fcfdfd" stroked="false">
              <v:path arrowok="t"/>
              <v:fill type="solid"/>
            </v:shape>
            <v:shape style="position:absolute;left:5644;top:7773;width:599;height:854" coordorigin="5645,7773" coordsize="599,854" path="m5944,7773l5645,8200,5944,8627,6244,8200,5944,7773xe" filled="true" fillcolor="#fdfdfd" stroked="false">
              <v:path arrowok="t"/>
              <v:fill type="solid"/>
            </v:shape>
            <v:shape style="position:absolute;left:5744;top:7915;width:400;height:570" coordorigin="5745,7915" coordsize="400,570" path="m5944,7915l5745,8200,5944,8485,6144,8200,5944,7915xe" filled="true" fillcolor="#fdfffd" stroked="false">
              <v:path arrowok="t"/>
              <v:fill type="solid"/>
            </v:shape>
            <v:shape style="position:absolute;left:5844;top:8057;width:200;height:285" coordorigin="5845,8058" coordsize="200,285" path="m5944,8058l5845,8200,5944,8342,6044,8200,5944,8058xe" filled="true" fillcolor="#ffffff" stroked="false">
              <v:path arrowok="t"/>
              <v:fill type="solid"/>
            </v:shape>
            <v:rect style="position:absolute;left:764;top:810;width:10360;height:14780" filled="false" stroked="true" strokeweight="1pt" strokecolor="#009391">
              <v:stroke dashstyle="solid"/>
            </v:rect>
            <v:shape style="position:absolute;left:1018;top:7580;width:4557;height:3980" coordorigin="1018,7580" coordsize="4557,3980" path="m5575,8060l5565,8060,5565,7580,1018,7580,1018,8100,1026,8100,1026,11560,5575,11560,5575,8060xe" filled="true" fillcolor="#ffffff" stroked="false">
              <v:path arrowok="t"/>
              <v:fill type="solid"/>
            </v:shape>
            <v:shape style="position:absolute;left:1331;top:9717;width:1610;height:730" coordorigin="1332,9718" coordsize="1610,730" path="m1332,9718l1429,9748m1429,9748l1524,9910m1524,9910l1622,10000m1622,10000l1704,10045m1704,10045l1799,10283m1799,10283l1897,10180m1897,10180l1992,10403m1992,10403l2089,10448m2089,10448l2184,10343m2184,10343l2282,10298m2282,10298l2377,10283m2377,10283l2459,10268m2459,10268l2557,10283m2557,10283l2652,10120m2652,10120l2749,10060m2749,10060l2844,10015m2844,10015l2942,10060e" filled="false" stroked="true" strokeweight="1pt" strokecolor="#de0035">
              <v:path arrowok="t"/>
              <v:stroke dashstyle="solid"/>
            </v:shape>
            <v:line style="position:absolute" from="2932,10061" to="3047,10061" stroked="true" strokeweight="1.125pt" strokecolor="#de0035">
              <v:stroke dashstyle="solid"/>
            </v:line>
            <v:shape style="position:absolute;left:3036;top:9405;width:1225;height:670" coordorigin="3037,9405" coordsize="1225,670" path="m3037,10060l3134,10075m3134,10075l3217,9985m3217,9985l3312,10045m3312,10045l3409,9970m3409,9970l3504,10060m3504,10060l3602,9925m3602,9925l3697,9733m3697,9733l3794,9838m3794,9838l3877,9793m3877,9793l3972,9910m3972,9910l4069,9673m4069,9673l4164,9508m4164,9508l4262,9405e" filled="false" stroked="true" strokeweight="1pt" strokecolor="#de0035">
              <v:path arrowok="t"/>
              <v:stroke dashstyle="solid"/>
            </v:shape>
            <v:line style="position:absolute" from="4252,9406" to="4367,9406" stroked="true" strokeweight="1.125pt" strokecolor="#de0035">
              <v:stroke dashstyle="solid"/>
            </v:line>
            <v:shape style="position:absolute;left:4356;top:9405;width:565;height:133" coordorigin="4357,9405" coordsize="565,133" path="m4357,9405l4454,9523m4454,9523l4549,9538m4549,9538l4632,9493m4632,9493l4729,9435m4729,9435l4824,9420m4824,9420l4922,9448e" filled="false" stroked="true" strokeweight="1pt" strokecolor="#de0035">
              <v:path arrowok="t"/>
              <v:stroke dashstyle="solid"/>
            </v:shape>
            <v:shape style="position:absolute;left:1331;top:8525;width:3590;height:2370" coordorigin="1332,8525" coordsize="3590,2370" path="m1332,9583l1429,9970m1429,9970l1524,9240m1524,9240l1622,10598m1622,10598l1704,9955m1704,9955l1799,10523m1799,10523l1897,9538m1897,9538l1992,10895m1992,10895l2089,10358m2089,10358l2184,10598m2184,10598l2282,9598m2282,9598l2377,10835m2377,10835l2459,10165m2459,10165l2557,10583m2557,10583l2652,9315m2652,9315l2749,10685m2749,10685l2844,9910m2844,9910l2942,10388m2942,10388l3037,9240m3037,9240l3134,10685m3134,10685l3217,9895m3217,9895l3312,10373m3312,10373l3409,9105m3409,9105l3504,10685m3504,10685l3602,9808m3602,9808l3697,10090m3697,10090l3794,8898m3794,8898l3877,10478m3877,10478l3972,9748m3972,9748l4069,10015m4069,10015l4164,8525m4164,8525l4262,10210m4262,10210l4357,9255m4357,9255l4454,9823m4454,9823l4549,8630m4549,8630l4632,10253m4632,10253l4729,9135m4729,9135l4824,9375m4824,9375l4922,9033e" filled="false" stroked="true" strokeweight="1pt" strokecolor="#00a2a0">
              <v:path arrowok="t"/>
              <v:stroke dashstyle="solid"/>
            </v:shape>
            <v:shape style="position:absolute;left:1107;top:8366;width:3817;height:2863" coordorigin="1108,8366" coordsize="3817,2863" path="m1194,9195l1108,9195m1194,9605l1108,9605m1194,10015l1108,10015m1194,10425l1108,10425m1194,10831l1108,10831m1194,11220l1108,11220m1323,11175l1323,11228m1694,11175l1694,11228m2074,11175l2074,11228m2445,11175l2445,11228m1194,8366l1108,8366m1194,8775l1108,8775m1323,11220l4924,11220m2833,11175l2833,11228m3203,11175l3203,11228m3593,11175l3593,11228m3963,11175l3963,11228m4353,11175l4353,11228m4713,11175l4713,11228m4255,10883l4255,10303e" filled="false" stroked="true" strokeweight=".5pt" strokecolor="#000000">
              <v:path arrowok="t"/>
              <v:stroke dashstyle="solid"/>
            </v:shape>
            <v:shape style="position:absolute;left:4230;top:10235;width:51;height:85" coordorigin="4230,10236" coordsize="51,85" path="m4255,10236l4230,10320,4281,10320,4259,10255,4257,10244,4255,10236xe" filled="true" fillcolor="#000000" stroked="false">
              <v:path arrowok="t"/>
              <v:fill type="solid"/>
            </v:shape>
            <v:shape style="position:absolute;left:5041;top:8378;width:87;height:2842" coordorigin="5042,8379" coordsize="87,2842" path="m5129,9208l5042,9208m5129,9617l5042,9617m5129,10028l5042,10028m5129,10438l5042,10438m5129,10843l5042,10843m5129,11220l5042,11220m5129,8379l5042,8379m5129,8788l5042,8788e" filled="false" stroked="true" strokeweight=".5pt" strokecolor="#000000">
              <v:path arrowok="t"/>
              <v:stroke dashstyle="solid"/>
            </v:shape>
            <v:line style="position:absolute" from="1644,9920" to="1644,9000" stroked="true" strokeweight=".5pt" strokecolor="#000000">
              <v:stroke dashstyle="solid"/>
            </v:line>
            <v:shape style="position:absolute;left:1619;top:9903;width:51;height:85" coordorigin="1619,9903" coordsize="51,85" path="m1670,9903l1619,9903,1626,9919,1630,9931,1644,9988,1646,9979,1648,9968,1651,9957,1655,9944,1658,9932,1670,9903xe" filled="true" fillcolor="#000000" stroked="false">
              <v:path arrowok="t"/>
              <v:fill type="solid"/>
            </v:shape>
            <v:shape style="position:absolute;left:1024;top:8820;width:9830;height:3880" coordorigin="1024,8820" coordsize="9830,3880" path="m5577,11530l1024,11530,1024,11820,5577,11820,5577,11530xm10854,8820l6174,8820,6174,9330,6164,9330,6164,12700,10854,12700,10854,9340,10854,9330,10854,8820xe" filled="true" fillcolor="#ffffff" stroked="false">
              <v:path arrowok="t"/>
              <v:fill type="solid"/>
            </v:shape>
            <v:shape style="position:absolute;left:6404;top:10440;width:3603;height:938" coordorigin="6404,10440" coordsize="3603,938" path="m6404,11015l6497,11000m6497,11000l6592,11163m6592,11163l6684,11015m6684,11015l6777,10918m6777,10918l6872,11000m6872,11000l6964,10983m6964,10983l7074,10605m7074,10605l7167,10818m7167,10818l7262,10753m7262,10753l7354,10670m7354,10670l7449,11378m7449,11378l7542,10835m7542,10835l7637,11115m7637,11115l7729,10850m7729,10850l7824,11000m7824,11000l7917,10588m7917,10588l8012,11000m8012,11000l8104,10868m8104,10868l8214,10735m8214,10735l8307,11230m8307,11230l8402,10850m8402,10850l8494,10818m8494,10818l8587,10835m8587,10835l8682,10900m8682,10900l8774,10850m8774,10850l8869,10785m8869,10785l8962,10735m8962,10735l9057,10440m9057,10440l9149,10505m9149,10505l9244,10753m9244,10753l9337,10670m9337,10670l9447,10933m9447,10933l9539,10850m9539,10850l9634,10868m9634,10868l9727,11000m9727,11000l9822,10638m9822,10638l9914,10850m9914,10850l10007,10688e" filled="false" stroked="true" strokeweight="1pt" strokecolor="#efa900">
              <v:path arrowok="t"/>
              <v:stroke dashstyle="solid"/>
            </v:shape>
            <v:shape style="position:absolute;left:6404;top:9947;width:3323;height:2185" coordorigin="6404,9948" coordsize="3323,2185" path="m6404,11328l6497,11130m6497,11130l6592,11640m6592,11640l6684,11425m6684,11425l6777,11213m6777,11213l6872,12115m6872,12115l6964,10408m6964,10408l7074,12133m7074,12133l7167,11295m7167,11295l7262,10390m7262,10390l7354,10735m7354,10735l7449,10900m7449,10900l7542,10918m7542,10918l7637,11098m7637,11098l7729,10113m7729,10113l7824,10688m7824,10688l7917,10818m7917,10818l8012,11180m8012,11180l8104,11033m8104,11033l8214,11015m8214,11015l8307,10588m8307,10588l8402,11278m8402,11278l8494,10620m8494,10620l8587,11443m8587,11443l8682,10358m8682,10358l8774,10145m8774,10145l8869,11443m8869,11443l8962,10785m8962,10785l9057,11493m9057,11493l9149,9948m9149,9948l9244,10325m9244,10325l9337,10620m9337,10620l9447,11000m9447,11000l9539,11425m9539,11425l9634,11080m9634,11080l9727,10785e" filled="false" stroked="true" strokeweight="1pt" strokecolor="#00a2a0">
              <v:path arrowok="t"/>
              <v:stroke dashstyle="solid"/>
            </v:shape>
            <v:line style="position:absolute" from="9717,10786" to="9832,10786" stroked="true" strokeweight="1.125pt" strokecolor="#00a2a0">
              <v:stroke dashstyle="solid"/>
            </v:line>
            <v:shape style="position:absolute;left:9821;top:10785;width:185;height:313" coordorigin="9822,10785" coordsize="185,313" path="m9822,10785l9914,10950m9914,10950l10007,11098e" filled="false" stroked="true" strokeweight="1pt" strokecolor="#00a2a0">
              <v:path arrowok="t"/>
              <v:stroke dashstyle="solid"/>
            </v:shape>
            <v:shape style="position:absolute;left:6224;top:9566;width:3780;height:2874" coordorigin="6224,9566" coordsize="3780,2874" path="m6311,10525l6224,10525m6311,11015l6224,11015m6311,11465l6224,11465m6311,11971l6224,11971m6311,12440l6224,12440m6394,12367l6394,12420m6765,12367l6765,12420m7146,12367l7146,12420m7517,12367l7517,12420m6311,9566l6224,9566m6311,10035l6224,10035m6403,12430l10004,12430m7895,12367l7895,12420m8285,12367l8285,12420m8655,12367l8655,12420m9045,12367l9045,12420m9435,12367l9435,12420m9805,12367l9805,12420m7085,9966l7085,10546e" filled="false" stroked="true" strokeweight=".5pt" strokecolor="#000000">
              <v:path arrowok="t"/>
              <v:stroke dashstyle="solid"/>
            </v:shape>
            <v:shape style="position:absolute;left:7060;top:10528;width:51;height:85" coordorigin="7060,10529" coordsize="51,85" path="m7111,10529l7060,10529,7066,10545,7071,10557,7085,10613,7087,10605,7089,10594,7092,10582,7096,10569,7099,10558,7111,10529xe" filled="true" fillcolor="#000000" stroked="false">
              <v:path arrowok="t"/>
              <v:fill type="solid"/>
            </v:shape>
            <v:shape style="position:absolute;left:10107;top:9556;width:87;height:2874" coordorigin="10108,9556" coordsize="87,2874" path="m10194,10515l10108,10515m10194,11015l10108,11015m10194,11455l10108,11455m10194,11961l10108,11961m10194,12430l10108,12430m10194,9556l10108,9556m10194,10025l10108,10025e" filled="false" stroked="true" strokeweight=".5pt" strokecolor="#000000">
              <v:path arrowok="t"/>
              <v:stroke dashstyle="solid"/>
            </v:shape>
            <v:rect style="position:absolute;left:6154;top:12690;width:4700;height:199" filled="true" fillcolor="#ffffff" stroked="false">
              <v:fill type="solid"/>
            </v:rect>
            <v:shape style="position:absolute;left:1015;top:7572;width:9835;height:7588" coordorigin="1015,7572" coordsize="9835,7588" path="m1017,7572l5570,7572m1027,11820l5592,11820m6145,8820l10815,8820m6155,12900l10825,12900m1015,15160l10850,15160e" filled="false" stroked="true" strokeweight=".125pt" strokecolor="#000000">
              <v:path arrowok="t"/>
              <v:stroke dashstyle="solid"/>
            </v:shape>
            <v:shape style="position:absolute;left:1038;top:7561;width:4107;height:725" type="#_x0000_t202" filled="false" stroked="false">
              <v:textbox inset="0,0,0,0">
                <w:txbxContent>
                  <w:p>
                    <w:pPr>
                      <w:spacing w:line="221" w:lineRule="exact" w:before="0"/>
                      <w:ind w:left="0" w:right="0" w:firstLine="0"/>
                      <w:jc w:val="left"/>
                      <w:rPr>
                        <w:b/>
                        <w:sz w:val="20"/>
                      </w:rPr>
                    </w:pPr>
                    <w:r>
                      <w:rPr>
                        <w:b/>
                        <w:color w:val="0092C7"/>
                        <w:sz w:val="20"/>
                      </w:rPr>
                      <w:t>Chart A</w:t>
                    </w:r>
                  </w:p>
                  <w:p>
                    <w:pPr>
                      <w:spacing w:before="10"/>
                      <w:ind w:left="0" w:right="0" w:firstLine="0"/>
                      <w:jc w:val="left"/>
                      <w:rPr>
                        <w:sz w:val="12"/>
                      </w:rPr>
                    </w:pPr>
                    <w:r>
                      <w:rPr>
                        <w:b/>
                        <w:color w:val="0092C7"/>
                        <w:sz w:val="20"/>
                      </w:rPr>
                      <w:t>Household expenditure on vehicles</w:t>
                    </w:r>
                    <w:r>
                      <w:rPr>
                        <w:position w:val="4"/>
                        <w:sz w:val="12"/>
                      </w:rPr>
                      <w:t>(a)</w:t>
                    </w:r>
                  </w:p>
                  <w:p>
                    <w:pPr>
                      <w:spacing w:before="125"/>
                      <w:ind w:left="2466" w:right="0" w:firstLine="0"/>
                      <w:jc w:val="left"/>
                      <w:rPr>
                        <w:sz w:val="12"/>
                      </w:rPr>
                    </w:pPr>
                    <w:r>
                      <w:rPr>
                        <w:sz w:val="12"/>
                      </w:rPr>
                      <w:t>Constant 1995 prices, 1995 = 100</w:t>
                    </w:r>
                  </w:p>
                </w:txbxContent>
              </v:textbox>
              <w10:wrap type="none"/>
            </v:shape>
            <v:shape style="position:absolute;left:5211;top:8305;width:200;height:133" type="#_x0000_t202" filled="false" stroked="false">
              <v:textbox inset="0,0,0,0">
                <w:txbxContent>
                  <w:p>
                    <w:pPr>
                      <w:spacing w:line="133" w:lineRule="exact" w:before="0"/>
                      <w:ind w:left="0" w:right="0" w:firstLine="0"/>
                      <w:jc w:val="left"/>
                      <w:rPr>
                        <w:sz w:val="12"/>
                      </w:rPr>
                    </w:pPr>
                    <w:r>
                      <w:rPr>
                        <w:sz w:val="12"/>
                      </w:rPr>
                      <w:t>180</w:t>
                    </w:r>
                  </w:p>
                </w:txbxContent>
              </v:textbox>
              <w10:wrap type="none"/>
            </v:shape>
            <v:shape style="position:absolute;left:1569;top:8690;width:764;height:266" type="#_x0000_t202" filled="false" stroked="false">
              <v:textbox inset="0,0,0,0">
                <w:txbxContent>
                  <w:p>
                    <w:pPr>
                      <w:spacing w:line="230" w:lineRule="auto" w:before="0"/>
                      <w:ind w:left="39" w:right="1" w:hanging="40"/>
                      <w:jc w:val="left"/>
                      <w:rPr>
                        <w:sz w:val="12"/>
                      </w:rPr>
                    </w:pPr>
                    <w:r>
                      <w:rPr>
                        <w:sz w:val="12"/>
                      </w:rPr>
                      <w:t>Seasonally adjusted series</w:t>
                    </w:r>
                  </w:p>
                </w:txbxContent>
              </v:textbox>
              <w10:wrap type="none"/>
            </v:shape>
            <v:shape style="position:absolute;left:5211;top:8722;width:200;height:2191" type="#_x0000_t202" filled="false" stroked="false">
              <v:textbox inset="0,0,0,0">
                <w:txbxContent>
                  <w:p>
                    <w:pPr>
                      <w:spacing w:line="133" w:lineRule="exact" w:before="0"/>
                      <w:ind w:left="0" w:right="0" w:firstLine="0"/>
                      <w:jc w:val="left"/>
                      <w:rPr>
                        <w:sz w:val="12"/>
                      </w:rPr>
                    </w:pPr>
                    <w:r>
                      <w:rPr>
                        <w:sz w:val="12"/>
                      </w:rPr>
                      <w:t>160</w:t>
                    </w:r>
                  </w:p>
                  <w:p>
                    <w:pPr>
                      <w:spacing w:line="240" w:lineRule="auto" w:before="0"/>
                      <w:rPr>
                        <w:sz w:val="12"/>
                      </w:rPr>
                    </w:pPr>
                  </w:p>
                  <w:p>
                    <w:pPr>
                      <w:spacing w:line="240" w:lineRule="auto" w:before="0"/>
                      <w:rPr>
                        <w:sz w:val="11"/>
                      </w:rPr>
                    </w:pPr>
                  </w:p>
                  <w:p>
                    <w:pPr>
                      <w:spacing w:before="0"/>
                      <w:ind w:left="0" w:right="0" w:firstLine="0"/>
                      <w:jc w:val="left"/>
                      <w:rPr>
                        <w:sz w:val="12"/>
                      </w:rPr>
                    </w:pPr>
                    <w:r>
                      <w:rPr>
                        <w:sz w:val="12"/>
                      </w:rPr>
                      <w:t>140</w:t>
                    </w:r>
                  </w:p>
                  <w:p>
                    <w:pPr>
                      <w:spacing w:line="240" w:lineRule="auto" w:before="0"/>
                      <w:rPr>
                        <w:sz w:val="12"/>
                      </w:rPr>
                    </w:pPr>
                  </w:p>
                  <w:p>
                    <w:pPr>
                      <w:spacing w:line="240" w:lineRule="auto" w:before="3"/>
                      <w:rPr>
                        <w:sz w:val="12"/>
                      </w:rPr>
                    </w:pPr>
                  </w:p>
                  <w:p>
                    <w:pPr>
                      <w:spacing w:before="0"/>
                      <w:ind w:left="0" w:right="0" w:firstLine="0"/>
                      <w:jc w:val="left"/>
                      <w:rPr>
                        <w:sz w:val="12"/>
                      </w:rPr>
                    </w:pPr>
                    <w:r>
                      <w:rPr>
                        <w:sz w:val="12"/>
                      </w:rPr>
                      <w:t>120</w:t>
                    </w:r>
                  </w:p>
                  <w:p>
                    <w:pPr>
                      <w:spacing w:line="240" w:lineRule="auto" w:before="0"/>
                      <w:rPr>
                        <w:sz w:val="12"/>
                      </w:rPr>
                    </w:pPr>
                  </w:p>
                  <w:p>
                    <w:pPr>
                      <w:spacing w:line="240" w:lineRule="auto" w:before="4"/>
                      <w:rPr>
                        <w:sz w:val="12"/>
                      </w:rPr>
                    </w:pPr>
                  </w:p>
                  <w:p>
                    <w:pPr>
                      <w:spacing w:before="0"/>
                      <w:ind w:left="0" w:right="0" w:firstLine="0"/>
                      <w:jc w:val="left"/>
                      <w:rPr>
                        <w:sz w:val="12"/>
                      </w:rPr>
                    </w:pPr>
                    <w:r>
                      <w:rPr>
                        <w:sz w:val="12"/>
                      </w:rPr>
                      <w:t>100</w:t>
                    </w:r>
                  </w:p>
                  <w:p>
                    <w:pPr>
                      <w:spacing w:line="240" w:lineRule="auto" w:before="0"/>
                      <w:rPr>
                        <w:sz w:val="12"/>
                      </w:rPr>
                    </w:pPr>
                  </w:p>
                  <w:p>
                    <w:pPr>
                      <w:spacing w:line="240" w:lineRule="auto" w:before="3"/>
                      <w:rPr>
                        <w:sz w:val="12"/>
                      </w:rPr>
                    </w:pPr>
                  </w:p>
                  <w:p>
                    <w:pPr>
                      <w:spacing w:before="0"/>
                      <w:ind w:left="60" w:right="0" w:firstLine="0"/>
                      <w:jc w:val="left"/>
                      <w:rPr>
                        <w:sz w:val="12"/>
                      </w:rPr>
                    </w:pPr>
                    <w:r>
                      <w:rPr>
                        <w:sz w:val="12"/>
                      </w:rPr>
                      <w:t>80</w:t>
                    </w:r>
                  </w:p>
                  <w:p>
                    <w:pPr>
                      <w:spacing w:line="240" w:lineRule="auto" w:before="0"/>
                      <w:rPr>
                        <w:sz w:val="12"/>
                      </w:rPr>
                    </w:pPr>
                  </w:p>
                  <w:p>
                    <w:pPr>
                      <w:spacing w:line="240" w:lineRule="auto" w:before="0"/>
                      <w:rPr>
                        <w:sz w:val="11"/>
                      </w:rPr>
                    </w:pPr>
                  </w:p>
                  <w:p>
                    <w:pPr>
                      <w:spacing w:before="0"/>
                      <w:ind w:left="60" w:right="0" w:firstLine="0"/>
                      <w:jc w:val="left"/>
                      <w:rPr>
                        <w:sz w:val="12"/>
                      </w:rPr>
                    </w:pPr>
                    <w:r>
                      <w:rPr>
                        <w:sz w:val="12"/>
                      </w:rPr>
                      <w:t>60</w:t>
                    </w:r>
                  </w:p>
                </w:txbxContent>
              </v:textbox>
              <w10:wrap type="none"/>
            </v:shape>
            <v:shape style="position:absolute;left:3796;top:10905;width:870;height:134" type="#_x0000_t202" filled="false" stroked="false">
              <v:textbox inset="0,0,0,0">
                <w:txbxContent>
                  <w:p>
                    <w:pPr>
                      <w:spacing w:line="133" w:lineRule="exact" w:before="0"/>
                      <w:ind w:left="0" w:right="0" w:firstLine="0"/>
                      <w:jc w:val="left"/>
                      <w:rPr>
                        <w:sz w:val="12"/>
                      </w:rPr>
                    </w:pPr>
                    <w:r>
                      <w:rPr>
                        <w:sz w:val="12"/>
                      </w:rPr>
                      <w:t>Unadjusted series</w:t>
                    </w:r>
                  </w:p>
                </w:txbxContent>
              </v:textbox>
              <w10:wrap type="none"/>
            </v:shape>
            <v:shape style="position:absolute;left:5271;top:11198;width:140;height:133" type="#_x0000_t202" filled="false" stroked="false">
              <v:textbox inset="0,0,0,0">
                <w:txbxContent>
                  <w:p>
                    <w:pPr>
                      <w:spacing w:line="133" w:lineRule="exact" w:before="0"/>
                      <w:ind w:left="0" w:right="0" w:firstLine="0"/>
                      <w:jc w:val="left"/>
                      <w:rPr>
                        <w:sz w:val="12"/>
                      </w:rPr>
                    </w:pPr>
                    <w:r>
                      <w:rPr>
                        <w:sz w:val="12"/>
                      </w:rPr>
                      <w:t>40</w:t>
                    </w:r>
                  </w:p>
                </w:txbxContent>
              </v:textbox>
              <w10:wrap type="none"/>
            </v:shape>
            <v:shape style="position:absolute;left:1044;top:11327;width:3908;height:332" type="#_x0000_t202" filled="false" stroked="false">
              <v:textbox inset="0,0,0,0">
                <w:txbxContent>
                  <w:p>
                    <w:pPr>
                      <w:tabs>
                        <w:tab w:pos="829" w:val="left" w:leader="none"/>
                        <w:tab w:pos="1194" w:val="left" w:leader="none"/>
                        <w:tab w:pos="1549" w:val="left" w:leader="none"/>
                        <w:tab w:pos="1929" w:val="left" w:leader="none"/>
                        <w:tab w:pos="2309" w:val="left" w:leader="none"/>
                        <w:tab w:pos="2697" w:val="left" w:leader="none"/>
                        <w:tab w:pos="3079" w:val="left" w:leader="none"/>
                        <w:tab w:pos="3437" w:val="left" w:leader="none"/>
                        <w:tab w:pos="3767" w:val="left" w:leader="none"/>
                      </w:tabs>
                      <w:spacing w:line="133" w:lineRule="exact" w:before="0"/>
                      <w:ind w:left="357" w:right="0" w:firstLine="0"/>
                      <w:jc w:val="left"/>
                      <w:rPr>
                        <w:sz w:val="12"/>
                      </w:rPr>
                    </w:pPr>
                    <w:r>
                      <w:rPr>
                        <w:sz w:val="12"/>
                      </w:rPr>
                      <w:t>1990</w:t>
                      <w:tab/>
                      <w:t>91</w:t>
                      <w:tab/>
                      <w:t>92</w:t>
                      <w:tab/>
                      <w:t>93</w:t>
                      <w:tab/>
                      <w:t>94</w:t>
                      <w:tab/>
                      <w:t>95</w:t>
                      <w:tab/>
                      <w:t>96</w:t>
                      <w:tab/>
                      <w:t>97</w:t>
                      <w:tab/>
                      <w:t>98</w:t>
                      <w:tab/>
                      <w:t>99</w:t>
                    </w:r>
                  </w:p>
                  <w:p>
                    <w:pPr>
                      <w:spacing w:before="61"/>
                      <w:ind w:left="0" w:right="0" w:firstLine="0"/>
                      <w:jc w:val="left"/>
                      <w:rPr>
                        <w:sz w:val="12"/>
                      </w:rPr>
                    </w:pPr>
                    <w:r>
                      <w:rPr>
                        <w:sz w:val="12"/>
                      </w:rPr>
                      <w:t>(a) Includes cars, aeroplanes, boats and caravans.</w:t>
                    </w:r>
                  </w:p>
                </w:txbxContent>
              </v:textbox>
              <w10:wrap type="none"/>
            </v:shape>
            <w10:wrap type="none"/>
          </v:group>
        </w:pict>
      </w:r>
      <w:r>
        <w:rPr>
          <w:sz w:val="24"/>
        </w:rPr>
        <w:t>Household expenditure on vehicles in the United Kingdom totalled more than £28 billion in 1998. That accounted for half of consumer spending on durable goods, and around 5% of total household consumption.</w:t>
      </w:r>
    </w:p>
    <w:p>
      <w:pPr>
        <w:pStyle w:val="BodyText"/>
        <w:spacing w:before="10"/>
        <w:rPr>
          <w:sz w:val="24"/>
        </w:rPr>
      </w:pPr>
    </w:p>
    <w:p>
      <w:pPr>
        <w:spacing w:line="242" w:lineRule="auto" w:before="0"/>
        <w:ind w:left="414" w:right="0" w:firstLine="0"/>
        <w:jc w:val="left"/>
        <w:rPr>
          <w:sz w:val="24"/>
        </w:rPr>
      </w:pPr>
      <w:r>
        <w:rPr>
          <w:sz w:val="24"/>
        </w:rPr>
        <w:t>Before 1999, a clear seasonal pattern in this expenditure had been observed. The ‘letter’ prefix to car registration numbers was changed each year in August, and there was a preference amongst buyers of new cars for models with registration plates displaying the new prefix. As a result, vehicle spending typically rose sharply in the third quarter of each year, before falling back in the fourth quarter. Seasonal adjustment of consumption data in the National Accounts took account of this well-established pattern, smoothing the profile of vehicle spending over the year (see Chart 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5"/>
        </w:rPr>
      </w:pPr>
    </w:p>
    <w:p>
      <w:pPr>
        <w:spacing w:line="242" w:lineRule="auto" w:before="0"/>
        <w:ind w:left="414" w:right="0" w:firstLine="0"/>
        <w:jc w:val="left"/>
        <w:rPr>
          <w:sz w:val="24"/>
        </w:rPr>
      </w:pPr>
      <w:r>
        <w:rPr>
          <w:spacing w:val="-4"/>
          <w:sz w:val="24"/>
        </w:rPr>
        <w:t>However, </w:t>
      </w:r>
      <w:r>
        <w:rPr>
          <w:sz w:val="24"/>
        </w:rPr>
        <w:t>the timing of registration plate changes was altered in 1999, with new prefixes introduced twice a </w:t>
      </w:r>
      <w:r>
        <w:rPr>
          <w:spacing w:val="-3"/>
          <w:sz w:val="24"/>
        </w:rPr>
        <w:t>year, </w:t>
      </w:r>
      <w:r>
        <w:rPr>
          <w:sz w:val="24"/>
        </w:rPr>
        <w:t>in March and </w:t>
      </w:r>
      <w:r>
        <w:rPr>
          <w:spacing w:val="-3"/>
          <w:sz w:val="24"/>
        </w:rPr>
        <w:t>September.  </w:t>
      </w:r>
      <w:r>
        <w:rPr>
          <w:sz w:val="24"/>
        </w:rPr>
        <w:t>Correspondingly, unadjusted vehicle expenditure rose markedly in the first as well as the third quarter of 1999, rendering the old pattern of seasonal adjustments inappropriate. The introduction of </w:t>
      </w:r>
      <w:r>
        <w:rPr>
          <w:spacing w:val="-3"/>
          <w:sz w:val="24"/>
        </w:rPr>
        <w:t>new </w:t>
      </w:r>
      <w:r>
        <w:rPr>
          <w:sz w:val="24"/>
        </w:rPr>
        <w:t>seasonal adjustment factors for vehicles in</w:t>
      </w:r>
      <w:r>
        <w:rPr>
          <w:spacing w:val="-12"/>
          <w:sz w:val="24"/>
        </w:rPr>
        <w:t> </w:t>
      </w:r>
      <w:r>
        <w:rPr>
          <w:sz w:val="24"/>
        </w:rPr>
        <w:t>the</w:t>
      </w:r>
    </w:p>
    <w:p>
      <w:pPr>
        <w:spacing w:line="242" w:lineRule="auto" w:before="12"/>
        <w:ind w:left="414" w:right="220" w:firstLine="0"/>
        <w:jc w:val="left"/>
        <w:rPr>
          <w:sz w:val="24"/>
        </w:rPr>
      </w:pPr>
      <w:r>
        <w:rPr>
          <w:sz w:val="24"/>
        </w:rPr>
        <w:t>December 1999 National Accounts accounted for a significant proportion of the downward</w:t>
      </w:r>
    </w:p>
    <w:p>
      <w:pPr>
        <w:pStyle w:val="ListParagraph"/>
        <w:numPr>
          <w:ilvl w:val="2"/>
          <w:numId w:val="9"/>
        </w:numPr>
        <w:tabs>
          <w:tab w:pos="655" w:val="left" w:leader="none"/>
        </w:tabs>
        <w:spacing w:line="240" w:lineRule="auto" w:before="121" w:after="0"/>
        <w:ind w:left="654" w:right="0" w:hanging="241"/>
        <w:jc w:val="left"/>
        <w:rPr>
          <w:sz w:val="16"/>
        </w:rPr>
      </w:pPr>
      <w:r>
        <w:rPr>
          <w:sz w:val="16"/>
        </w:rPr>
        <w:t>Source: Society of Motor Manufacturers and</w:t>
      </w:r>
      <w:r>
        <w:rPr>
          <w:spacing w:val="-15"/>
          <w:sz w:val="16"/>
        </w:rPr>
        <w:t> </w:t>
      </w:r>
      <w:r>
        <w:rPr>
          <w:sz w:val="16"/>
        </w:rPr>
        <w:t>Traders.</w:t>
      </w:r>
    </w:p>
    <w:p>
      <w:pPr>
        <w:pStyle w:val="Heading6"/>
        <w:spacing w:line="242" w:lineRule="auto" w:before="90"/>
        <w:ind w:left="414" w:right="438"/>
      </w:pPr>
      <w:r>
        <w:rPr/>
        <w:br w:type="column"/>
      </w:r>
      <w:r>
        <w:rPr/>
        <w:t>revision made to household consumption data</w:t>
      </w:r>
      <w:r>
        <w:rPr>
          <w:spacing w:val="-42"/>
        </w:rPr>
        <w:t> </w:t>
      </w:r>
      <w:r>
        <w:rPr/>
        <w:t>in the first half of 1999.  In real terms, the revisions left the seasonally adjusted </w:t>
      </w:r>
      <w:r>
        <w:rPr>
          <w:spacing w:val="-3"/>
        </w:rPr>
        <w:t>level </w:t>
      </w:r>
      <w:r>
        <w:rPr/>
        <w:t>of spending on vehicles 8% lower in 1999 Q2 than had been previously</w:t>
      </w:r>
      <w:r>
        <w:rPr>
          <w:spacing w:val="-6"/>
        </w:rPr>
        <w:t> </w:t>
      </w:r>
      <w:r>
        <w:rPr/>
        <w:t>estimated.</w:t>
      </w:r>
    </w:p>
    <w:p>
      <w:pPr>
        <w:pStyle w:val="BodyText"/>
        <w:spacing w:before="10"/>
        <w:rPr>
          <w:sz w:val="24"/>
        </w:rPr>
      </w:pPr>
    </w:p>
    <w:p>
      <w:pPr>
        <w:spacing w:line="242" w:lineRule="auto" w:before="0"/>
        <w:ind w:left="414" w:right="413" w:firstLine="0"/>
        <w:jc w:val="left"/>
        <w:rPr>
          <w:sz w:val="24"/>
        </w:rPr>
      </w:pPr>
      <w:r>
        <w:rPr>
          <w:sz w:val="24"/>
        </w:rPr>
        <w:t>As the economic upturn and consumer confidence have strengthened since the end of 1998, spending on durable goods other than cars has picked up. Historically, purchases of cars move broadly in line with the economic cycle.</w:t>
      </w:r>
    </w:p>
    <w:p>
      <w:pPr>
        <w:spacing w:line="242" w:lineRule="auto" w:before="7"/>
        <w:ind w:left="414" w:right="433" w:firstLine="0"/>
        <w:jc w:val="left"/>
        <w:rPr>
          <w:sz w:val="16"/>
        </w:rPr>
      </w:pPr>
      <w:r>
        <w:rPr>
          <w:spacing w:val="-4"/>
          <w:sz w:val="24"/>
        </w:rPr>
        <w:t>However, </w:t>
      </w:r>
      <w:r>
        <w:rPr>
          <w:sz w:val="24"/>
        </w:rPr>
        <w:t>sales of cars to households did not strengthen</w:t>
      </w:r>
      <w:r>
        <w:rPr>
          <w:spacing w:val="-6"/>
          <w:sz w:val="24"/>
        </w:rPr>
        <w:t> </w:t>
      </w:r>
      <w:r>
        <w:rPr>
          <w:sz w:val="24"/>
        </w:rPr>
        <w:t>in</w:t>
      </w:r>
      <w:r>
        <w:rPr>
          <w:spacing w:val="-5"/>
          <w:sz w:val="24"/>
        </w:rPr>
        <w:t> </w:t>
      </w:r>
      <w:r>
        <w:rPr>
          <w:sz w:val="24"/>
        </w:rPr>
        <w:t>the</w:t>
      </w:r>
      <w:r>
        <w:rPr>
          <w:spacing w:val="-6"/>
          <w:sz w:val="24"/>
        </w:rPr>
        <w:t> </w:t>
      </w:r>
      <w:r>
        <w:rPr>
          <w:sz w:val="24"/>
        </w:rPr>
        <w:t>first</w:t>
      </w:r>
      <w:r>
        <w:rPr>
          <w:spacing w:val="-5"/>
          <w:sz w:val="24"/>
        </w:rPr>
        <w:t> </w:t>
      </w:r>
      <w:r>
        <w:rPr>
          <w:sz w:val="24"/>
        </w:rPr>
        <w:t>three</w:t>
      </w:r>
      <w:r>
        <w:rPr>
          <w:spacing w:val="-6"/>
          <w:sz w:val="24"/>
        </w:rPr>
        <w:t> </w:t>
      </w:r>
      <w:r>
        <w:rPr>
          <w:sz w:val="24"/>
        </w:rPr>
        <w:t>quarters</w:t>
      </w:r>
      <w:r>
        <w:rPr>
          <w:spacing w:val="-5"/>
          <w:sz w:val="24"/>
        </w:rPr>
        <w:t> </w:t>
      </w:r>
      <w:r>
        <w:rPr>
          <w:sz w:val="24"/>
        </w:rPr>
        <w:t>of</w:t>
      </w:r>
      <w:r>
        <w:rPr>
          <w:spacing w:val="-6"/>
          <w:sz w:val="24"/>
        </w:rPr>
        <w:t> </w:t>
      </w:r>
      <w:r>
        <w:rPr>
          <w:sz w:val="24"/>
        </w:rPr>
        <w:t>1999</w:t>
      </w:r>
      <w:r>
        <w:rPr>
          <w:spacing w:val="-5"/>
          <w:sz w:val="24"/>
        </w:rPr>
        <w:t> </w:t>
      </w:r>
      <w:r>
        <w:rPr>
          <w:sz w:val="24"/>
        </w:rPr>
        <w:t>(see Chart B), and more recent data suggest that consumer demand for cars weakened markedly in 1999 Q4. Private new car registrations were 2.5% lower in 1999 than in 1998, and in Q4 they were 11% lower than a year</w:t>
      </w:r>
      <w:r>
        <w:rPr>
          <w:spacing w:val="-14"/>
          <w:sz w:val="24"/>
        </w:rPr>
        <w:t> </w:t>
      </w:r>
      <w:r>
        <w:rPr>
          <w:spacing w:val="-3"/>
          <w:sz w:val="24"/>
        </w:rPr>
        <w:t>earlier.</w:t>
      </w:r>
      <w:r>
        <w:rPr>
          <w:spacing w:val="-3"/>
          <w:position w:val="5"/>
          <w:sz w:val="16"/>
        </w:rPr>
        <w:t>(1)</w:t>
      </w:r>
    </w:p>
    <w:p>
      <w:pPr>
        <w:spacing w:line="242" w:lineRule="auto" w:before="8"/>
        <w:ind w:left="414" w:right="460" w:firstLine="0"/>
        <w:jc w:val="left"/>
        <w:rPr>
          <w:sz w:val="24"/>
        </w:rPr>
      </w:pPr>
      <w:r>
        <w:rPr>
          <w:sz w:val="24"/>
        </w:rPr>
        <w:t>In each month between October 1999 and January</w:t>
      </w:r>
      <w:r>
        <w:rPr>
          <w:spacing w:val="-9"/>
          <w:sz w:val="24"/>
        </w:rPr>
        <w:t> </w:t>
      </w:r>
      <w:r>
        <w:rPr>
          <w:sz w:val="24"/>
        </w:rPr>
        <w:t>2000,</w:t>
      </w:r>
      <w:r>
        <w:rPr>
          <w:spacing w:val="-9"/>
          <w:sz w:val="24"/>
        </w:rPr>
        <w:t> </w:t>
      </w:r>
      <w:r>
        <w:rPr>
          <w:sz w:val="24"/>
        </w:rPr>
        <w:t>the</w:t>
      </w:r>
      <w:r>
        <w:rPr>
          <w:spacing w:val="-9"/>
          <w:sz w:val="24"/>
        </w:rPr>
        <w:t> </w:t>
      </w:r>
      <w:r>
        <w:rPr>
          <w:sz w:val="24"/>
        </w:rPr>
        <w:t>CBI</w:t>
      </w:r>
      <w:r>
        <w:rPr>
          <w:spacing w:val="-9"/>
          <w:sz w:val="24"/>
        </w:rPr>
        <w:t> </w:t>
      </w:r>
      <w:r>
        <w:rPr>
          <w:sz w:val="24"/>
        </w:rPr>
        <w:t>distributive</w:t>
      </w:r>
      <w:r>
        <w:rPr>
          <w:spacing w:val="-9"/>
          <w:sz w:val="24"/>
        </w:rPr>
        <w:t> </w:t>
      </w:r>
      <w:r>
        <w:rPr>
          <w:sz w:val="24"/>
        </w:rPr>
        <w:t>trades</w:t>
      </w:r>
      <w:r>
        <w:rPr>
          <w:spacing w:val="-9"/>
          <w:sz w:val="24"/>
        </w:rPr>
        <w:t> </w:t>
      </w:r>
      <w:r>
        <w:rPr>
          <w:sz w:val="24"/>
        </w:rPr>
        <w:t>survey suggested that a substantial majority of motor traders were experiencing ‘poor’ unit sales </w:t>
      </w:r>
      <w:r>
        <w:rPr>
          <w:spacing w:val="-3"/>
          <w:sz w:val="24"/>
        </w:rPr>
        <w:t>given </w:t>
      </w:r>
      <w:r>
        <w:rPr>
          <w:sz w:val="24"/>
        </w:rPr>
        <w:t>the time of</w:t>
      </w:r>
      <w:r>
        <w:rPr>
          <w:spacing w:val="-1"/>
          <w:sz w:val="24"/>
        </w:rPr>
        <w:t> </w:t>
      </w:r>
      <w:r>
        <w:rPr>
          <w:spacing w:val="-4"/>
          <w:sz w:val="24"/>
        </w:rPr>
        <w:t>year.</w:t>
      </w:r>
    </w:p>
    <w:p>
      <w:pPr>
        <w:pStyle w:val="BodyText"/>
        <w:rPr>
          <w:sz w:val="20"/>
        </w:rPr>
      </w:pPr>
    </w:p>
    <w:p>
      <w:pPr>
        <w:pStyle w:val="BodyText"/>
        <w:spacing w:before="8"/>
        <w:rPr>
          <w:sz w:val="21"/>
        </w:rPr>
      </w:pPr>
      <w:r>
        <w:rPr/>
        <w:pict>
          <v:shape style="position:absolute;margin-left:307.720001pt;margin-top:13.712588pt;width:235pt;height:203.9pt;mso-position-horizontal-relative:page;mso-position-vertical-relative:paragraph;z-index:-15556096;mso-wrap-distance-left:0;mso-wrap-distance-right:0" type="#_x0000_t202" filled="false" stroked="false">
            <v:textbox inset="0,0,0,0">
              <w:txbxContent>
                <w:p>
                  <w:pPr>
                    <w:spacing w:line="202" w:lineRule="exact" w:before="0"/>
                    <w:ind w:left="40" w:right="0" w:firstLine="0"/>
                    <w:jc w:val="left"/>
                    <w:rPr>
                      <w:b/>
                      <w:sz w:val="20"/>
                    </w:rPr>
                  </w:pPr>
                  <w:r>
                    <w:rPr>
                      <w:b/>
                      <w:color w:val="0092C7"/>
                      <w:sz w:val="20"/>
                    </w:rPr>
                    <w:t>Chart B</w:t>
                  </w:r>
                </w:p>
                <w:p>
                  <w:pPr>
                    <w:spacing w:before="10"/>
                    <w:ind w:left="40" w:right="0" w:firstLine="0"/>
                    <w:jc w:val="left"/>
                    <w:rPr>
                      <w:sz w:val="12"/>
                    </w:rPr>
                  </w:pPr>
                  <w:r>
                    <w:rPr>
                      <w:b/>
                      <w:color w:val="0092C7"/>
                      <w:sz w:val="20"/>
                    </w:rPr>
                    <w:t>Household expenditure on durable goods</w:t>
                  </w:r>
                  <w:r>
                    <w:rPr>
                      <w:position w:val="4"/>
                      <w:sz w:val="12"/>
                    </w:rPr>
                    <w:t>(a)</w:t>
                  </w:r>
                </w:p>
                <w:p>
                  <w:pPr>
                    <w:spacing w:line="131" w:lineRule="exact" w:before="95"/>
                    <w:ind w:left="2175" w:right="0" w:firstLine="0"/>
                    <w:jc w:val="left"/>
                    <w:rPr>
                      <w:sz w:val="12"/>
                    </w:rPr>
                  </w:pPr>
                  <w:r>
                    <w:rPr>
                      <w:sz w:val="12"/>
                    </w:rPr>
                    <w:t>Percentage changes on a quarter earlier</w:t>
                  </w:r>
                </w:p>
                <w:p>
                  <w:pPr>
                    <w:spacing w:line="131" w:lineRule="exact" w:before="0"/>
                    <w:ind w:left="4117" w:right="0" w:firstLine="0"/>
                    <w:jc w:val="left"/>
                    <w:rPr>
                      <w:sz w:val="12"/>
                    </w:rPr>
                  </w:pPr>
                  <w:r>
                    <w:rPr>
                      <w:sz w:val="12"/>
                    </w:rPr>
                    <w:t>15</w:t>
                  </w:r>
                </w:p>
                <w:p>
                  <w:pPr>
                    <w:pStyle w:val="BodyText"/>
                    <w:spacing w:before="4"/>
                    <w:rPr>
                      <w:sz w:val="15"/>
                    </w:rPr>
                  </w:pPr>
                </w:p>
                <w:p>
                  <w:pPr>
                    <w:spacing w:before="0"/>
                    <w:ind w:left="267" w:right="0" w:firstLine="0"/>
                    <w:jc w:val="left"/>
                    <w:rPr>
                      <w:sz w:val="12"/>
                    </w:rPr>
                  </w:pPr>
                  <w:r>
                    <w:rPr>
                      <w:sz w:val="12"/>
                    </w:rPr>
                    <w:t>Durable goods excluding vehicles</w:t>
                  </w:r>
                </w:p>
                <w:p>
                  <w:pPr>
                    <w:spacing w:before="25"/>
                    <w:ind w:left="4117" w:right="0" w:firstLine="0"/>
                    <w:jc w:val="left"/>
                    <w:rPr>
                      <w:sz w:val="12"/>
                    </w:rPr>
                  </w:pPr>
                  <w:r>
                    <w:rPr>
                      <w:sz w:val="12"/>
                    </w:rPr>
                    <w:t>10</w:t>
                  </w:r>
                </w:p>
                <w:p>
                  <w:pPr>
                    <w:pStyle w:val="BodyText"/>
                    <w:rPr>
                      <w:sz w:val="12"/>
                    </w:rPr>
                  </w:pPr>
                </w:p>
                <w:p>
                  <w:pPr>
                    <w:pStyle w:val="BodyText"/>
                    <w:spacing w:before="1"/>
                    <w:rPr>
                      <w:sz w:val="17"/>
                    </w:rPr>
                  </w:pPr>
                </w:p>
                <w:p>
                  <w:pPr>
                    <w:spacing w:before="0"/>
                    <w:ind w:left="4177" w:right="0" w:firstLine="0"/>
                    <w:jc w:val="left"/>
                    <w:rPr>
                      <w:sz w:val="12"/>
                    </w:rPr>
                  </w:pPr>
                  <w:r>
                    <w:rPr>
                      <w:sz w:val="12"/>
                    </w:rPr>
                    <w:t>5</w:t>
                  </w:r>
                </w:p>
                <w:p>
                  <w:pPr>
                    <w:spacing w:before="107"/>
                    <w:ind w:left="4027" w:right="0" w:firstLine="0"/>
                    <w:jc w:val="left"/>
                    <w:rPr>
                      <w:sz w:val="16"/>
                    </w:rPr>
                  </w:pPr>
                  <w:r>
                    <w:rPr>
                      <w:sz w:val="16"/>
                    </w:rPr>
                    <w:t>+</w:t>
                  </w:r>
                </w:p>
                <w:p>
                  <w:pPr>
                    <w:tabs>
                      <w:tab w:pos="3860" w:val="left" w:leader="none"/>
                      <w:tab w:pos="4177" w:val="left" w:leader="none"/>
                    </w:tabs>
                    <w:spacing w:before="68"/>
                    <w:ind w:left="259" w:right="0" w:firstLine="0"/>
                    <w:jc w:val="left"/>
                    <w:rPr>
                      <w:sz w:val="12"/>
                    </w:rPr>
                  </w:pPr>
                  <w:r>
                    <w:rPr>
                      <w:sz w:val="12"/>
                      <w:u w:val="single"/>
                    </w:rPr>
                    <w:t> </w:t>
                    <w:tab/>
                  </w:r>
                  <w:r>
                    <w:rPr>
                      <w:sz w:val="12"/>
                    </w:rPr>
                    <w:tab/>
                  </w:r>
                  <w:r>
                    <w:rPr>
                      <w:position w:val="-2"/>
                      <w:sz w:val="12"/>
                    </w:rPr>
                    <w:t>0</w:t>
                  </w:r>
                </w:p>
                <w:p>
                  <w:pPr>
                    <w:spacing w:before="20"/>
                    <w:ind w:left="4027" w:right="0" w:firstLine="0"/>
                    <w:jc w:val="left"/>
                    <w:rPr>
                      <w:sz w:val="16"/>
                    </w:rPr>
                  </w:pPr>
                  <w:r>
                    <w:rPr>
                      <w:sz w:val="16"/>
                    </w:rPr>
                    <w:t>–</w:t>
                  </w:r>
                </w:p>
                <w:p>
                  <w:pPr>
                    <w:spacing w:line="134" w:lineRule="exact" w:before="133"/>
                    <w:ind w:left="4177" w:right="0" w:firstLine="0"/>
                    <w:jc w:val="left"/>
                    <w:rPr>
                      <w:sz w:val="12"/>
                    </w:rPr>
                  </w:pPr>
                  <w:r>
                    <w:rPr>
                      <w:sz w:val="12"/>
                    </w:rPr>
                    <w:t>5</w:t>
                  </w:r>
                </w:p>
                <w:p>
                  <w:pPr>
                    <w:spacing w:line="134" w:lineRule="exact" w:before="0"/>
                    <w:ind w:left="2674" w:right="1565" w:firstLine="0"/>
                    <w:jc w:val="center"/>
                    <w:rPr>
                      <w:sz w:val="12"/>
                    </w:rPr>
                  </w:pPr>
                  <w:r>
                    <w:rPr>
                      <w:sz w:val="12"/>
                    </w:rPr>
                    <w:t>Vehicles</w:t>
                  </w:r>
                </w:p>
                <w:p>
                  <w:pPr>
                    <w:pStyle w:val="BodyText"/>
                    <w:rPr>
                      <w:sz w:val="12"/>
                    </w:rPr>
                  </w:pPr>
                </w:p>
                <w:p>
                  <w:pPr>
                    <w:spacing w:before="87"/>
                    <w:ind w:left="4117" w:right="0" w:firstLine="0"/>
                    <w:jc w:val="left"/>
                    <w:rPr>
                      <w:sz w:val="12"/>
                    </w:rPr>
                  </w:pPr>
                  <w:r>
                    <w:rPr>
                      <w:sz w:val="12"/>
                    </w:rPr>
                    <w:t>10</w:t>
                  </w:r>
                </w:p>
                <w:p>
                  <w:pPr>
                    <w:pStyle w:val="BodyText"/>
                    <w:rPr>
                      <w:sz w:val="12"/>
                    </w:rPr>
                  </w:pPr>
                </w:p>
                <w:p>
                  <w:pPr>
                    <w:pStyle w:val="BodyText"/>
                    <w:spacing w:before="6"/>
                    <w:rPr>
                      <w:sz w:val="17"/>
                    </w:rPr>
                  </w:pPr>
                </w:p>
                <w:p>
                  <w:pPr>
                    <w:spacing w:line="135" w:lineRule="exact" w:before="0"/>
                    <w:ind w:left="4117" w:right="0" w:firstLine="0"/>
                    <w:jc w:val="left"/>
                    <w:rPr>
                      <w:sz w:val="12"/>
                    </w:rPr>
                  </w:pPr>
                  <w:r>
                    <w:rPr>
                      <w:sz w:val="12"/>
                    </w:rPr>
                    <w:t>15</w:t>
                  </w:r>
                </w:p>
                <w:p>
                  <w:pPr>
                    <w:tabs>
                      <w:tab w:pos="772" w:val="left" w:leader="none"/>
                      <w:tab w:pos="1162" w:val="left" w:leader="none"/>
                      <w:tab w:pos="1534" w:val="left" w:leader="none"/>
                      <w:tab w:pos="1909" w:val="left" w:leader="none"/>
                      <w:tab w:pos="2299" w:val="left" w:leader="none"/>
                      <w:tab w:pos="2674" w:val="left" w:leader="none"/>
                      <w:tab w:pos="3049" w:val="left" w:leader="none"/>
                      <w:tab w:pos="3439" w:val="left" w:leader="none"/>
                    </w:tabs>
                    <w:spacing w:line="135" w:lineRule="exact" w:before="0"/>
                    <w:ind w:left="297" w:right="0" w:firstLine="0"/>
                    <w:jc w:val="left"/>
                    <w:rPr>
                      <w:sz w:val="12"/>
                    </w:rPr>
                  </w:pPr>
                  <w:r>
                    <w:rPr>
                      <w:sz w:val="12"/>
                    </w:rPr>
                    <w:t>1990</w:t>
                    <w:tab/>
                    <w:t>91</w:t>
                    <w:tab/>
                    <w:t>92</w:t>
                    <w:tab/>
                    <w:t>93</w:t>
                    <w:tab/>
                    <w:t>94</w:t>
                    <w:tab/>
                    <w:t>95</w:t>
                    <w:tab/>
                    <w:t>96</w:t>
                    <w:tab/>
                    <w:t>97</w:t>
                    <w:tab/>
                    <w:t>98</w:t>
                  </w:r>
                  <w:r>
                    <w:rPr>
                      <w:spacing w:val="17"/>
                      <w:sz w:val="12"/>
                    </w:rPr>
                    <w:t> </w:t>
                  </w:r>
                  <w:r>
                    <w:rPr>
                      <w:sz w:val="12"/>
                    </w:rPr>
                    <w:t>99</w:t>
                  </w:r>
                </w:p>
                <w:p>
                  <w:pPr>
                    <w:spacing w:before="36"/>
                    <w:ind w:left="20" w:right="0" w:firstLine="0"/>
                    <w:jc w:val="left"/>
                    <w:rPr>
                      <w:sz w:val="12"/>
                    </w:rPr>
                  </w:pPr>
                  <w:r>
                    <w:rPr>
                      <w:sz w:val="12"/>
                    </w:rPr>
                    <w:t>(a) At constant 1995 prices and seasonally adjusted.</w:t>
                  </w:r>
                </w:p>
              </w:txbxContent>
            </v:textbox>
            <w10:wrap type="topAndBottom"/>
          </v:shape>
        </w:pict>
      </w:r>
    </w:p>
    <w:p>
      <w:pPr>
        <w:spacing w:line="242" w:lineRule="auto" w:before="170"/>
        <w:ind w:left="414" w:right="431" w:firstLine="0"/>
        <w:jc w:val="left"/>
        <w:rPr>
          <w:sz w:val="24"/>
        </w:rPr>
      </w:pPr>
      <w:r>
        <w:rPr>
          <w:sz w:val="24"/>
        </w:rPr>
        <w:t>The recent weakness of car sales may partly reflect the effects of an inquiry into UK car retailing which is currently being undertaken by the Competition Commission. The Commission has not yet published its final conclusions, but it has expressed the view that the present system of distribution in the United Kingdom has led</w:t>
      </w:r>
    </w:p>
    <w:p>
      <w:pPr>
        <w:spacing w:after="0" w:line="242" w:lineRule="auto"/>
        <w:jc w:val="left"/>
        <w:rPr>
          <w:sz w:val="24"/>
        </w:rPr>
        <w:sectPr>
          <w:type w:val="continuous"/>
          <w:pgSz w:w="11900" w:h="16840"/>
          <w:pgMar w:top="1220" w:bottom="280" w:left="620" w:right="640"/>
          <w:cols w:num="2" w:equalWidth="0">
            <w:col w:w="5066" w:space="74"/>
            <w:col w:w="5500"/>
          </w:cols>
        </w:sectPr>
      </w:pPr>
    </w:p>
    <w:p>
      <w:pPr>
        <w:pStyle w:val="BodyText"/>
        <w:rPr>
          <w:sz w:val="20"/>
        </w:rPr>
      </w:pPr>
    </w:p>
    <w:p>
      <w:pPr>
        <w:spacing w:after="0"/>
        <w:rPr>
          <w:sz w:val="20"/>
        </w:rPr>
        <w:sectPr>
          <w:pgSz w:w="11900" w:h="16840"/>
          <w:pgMar w:header="586" w:footer="617" w:top="780" w:bottom="800" w:left="620" w:right="640"/>
        </w:sectPr>
      </w:pPr>
    </w:p>
    <w:p>
      <w:pPr>
        <w:spacing w:line="242" w:lineRule="auto" w:before="207"/>
        <w:ind w:left="400" w:right="38" w:firstLine="0"/>
        <w:jc w:val="left"/>
        <w:rPr>
          <w:sz w:val="24"/>
        </w:rPr>
      </w:pPr>
      <w:r>
        <w:rPr/>
        <w:pict>
          <v:group style="position:absolute;margin-left:38.139999pt;margin-top:-9.836889pt;width:517.75pt;height:358pt;mso-position-horizontal-relative:page;mso-position-vertical-relative:paragraph;z-index:-22237184" coordorigin="763,-197" coordsize="10355,7160">
            <v:shape style="position:absolute;left:782;top:-177;width:10315;height:7120" coordorigin="783,-177" coordsize="10315,7120" path="m11097,-177l5968,-177,5911,-177,783,-177,783,3370,783,3397,783,6943,5911,6943,5969,6943,11097,6943,11097,3397,11097,3370,11097,-177xe" filled="true" fillcolor="#d7e8e7" stroked="false">
              <v:path arrowok="t"/>
              <v:fill type="solid"/>
            </v:shape>
            <v:shape style="position:absolute;left:862;top:-128;width:10156;height:7023" coordorigin="862,-128" coordsize="10156,7023" path="m5940,-128l862,3383,5940,6894,11017,3383,5940,-128xe" filled="true" fillcolor="#d9e8e7" stroked="false">
              <v:path arrowok="t"/>
              <v:fill type="solid"/>
            </v:shape>
            <v:shape style="position:absolute;left:961;top:-59;width:9956;height:6885" coordorigin="962,-59" coordsize="9956,6885" path="m5940,-59l962,3383,5940,6826,10918,3383,5940,-59xe" filled="true" fillcolor="#dae9e8" stroked="false">
              <v:path arrowok="t"/>
              <v:fill type="solid"/>
            </v:shape>
            <v:shape style="position:absolute;left:1061;top:9;width:9757;height:6747" coordorigin="1061,10" coordsize="9757,6747" path="m5940,10l1061,3383,5940,6757,10818,3383,5940,10xe" filled="true" fillcolor="#daeae8" stroked="false">
              <v:path arrowok="t"/>
              <v:fill type="solid"/>
            </v:shape>
            <v:shape style="position:absolute;left:1161;top:78;width:9558;height:6610" coordorigin="1161,79" coordsize="9558,6610" path="m5940,79l1161,3383,5940,6688,10719,3383,5940,79xe" filled="true" fillcolor="#dbeae8" stroked="false">
              <v:path arrowok="t"/>
              <v:fill type="solid"/>
            </v:shape>
            <v:shape style="position:absolute;left:1260;top:147;width:9359;height:6472" coordorigin="1261,148" coordsize="9359,6472" path="m5940,148l1261,3383,5940,6619,10619,3383,5940,148xe" filled="true" fillcolor="#dcebe9" stroked="false">
              <v:path arrowok="t"/>
              <v:fill type="solid"/>
            </v:shape>
            <v:shape style="position:absolute;left:1360;top:216;width:9160;height:6334" coordorigin="1360,217" coordsize="9160,6334" path="m5940,217l1360,3383,5940,6550,10520,3383,5940,217xe" filled="true" fillcolor="#ddebe9" stroked="false">
              <v:path arrowok="t"/>
              <v:fill type="solid"/>
            </v:shape>
            <v:shape style="position:absolute;left:1459;top:285;width:8961;height:6196" coordorigin="1460,285" coordsize="8961,6196" path="m5940,285l1460,3383,5940,6481,10420,3383,5940,285xe" filled="true" fillcolor="#ddebea" stroked="false">
              <v:path arrowok="t"/>
              <v:fill type="solid"/>
            </v:shape>
            <v:shape style="position:absolute;left:1559;top:354;width:8762;height:6059" coordorigin="1559,354" coordsize="8762,6059" path="m5940,354l1559,3383,5940,6413,10320,3383,5940,354xe" filled="true" fillcolor="#dfebea" stroked="false">
              <v:path arrowok="t"/>
              <v:fill type="solid"/>
            </v:shape>
            <v:shape style="position:absolute;left:1658;top:423;width:8563;height:5921" coordorigin="1659,423" coordsize="8563,5921" path="m10221,3383l5940,423,1659,3383,5940,6344,10221,3383xe" filled="true" fillcolor="#dfeceb" stroked="false">
              <v:path arrowok="t"/>
              <v:fill type="solid"/>
            </v:shape>
            <v:shape style="position:absolute;left:1857;top:560;width:8164;height:5646" coordorigin="1858,561" coordsize="8164,5646" path="m5940,561l1858,3383,5940,6206,10022,3383,5940,561xe" filled="true" fillcolor="#e0eceb" stroked="false">
              <v:path arrowok="t"/>
              <v:fill type="solid"/>
            </v:shape>
            <v:shape style="position:absolute;left:1957;top:629;width:7965;height:5508" coordorigin="1957,630" coordsize="7965,5508" path="m5940,630l1957,3383,5940,6137,9922,3383,5940,630xe" filled="true" fillcolor="#e0edeb" stroked="false">
              <v:path arrowok="t"/>
              <v:fill type="solid"/>
            </v:shape>
            <v:shape style="position:absolute;left:2057;top:698;width:7766;height:5370" coordorigin="2057,698" coordsize="7766,5370" path="m5940,698l2057,3383,5940,6068,9823,3383,5940,698xe" filled="true" fillcolor="#e1edeb" stroked="false">
              <v:path arrowok="t"/>
              <v:fill type="solid"/>
            </v:shape>
            <v:shape style="position:absolute;left:2156;top:767;width:7567;height:5233" coordorigin="2157,767" coordsize="7567,5233" path="m5940,767l2157,3383,5940,5999,9723,3383,5940,767xe" filled="true" fillcolor="#e2edec" stroked="false">
              <v:path arrowok="t"/>
              <v:fill type="solid"/>
            </v:shape>
            <v:shape style="position:absolute;left:2256;top:836;width:7368;height:5095" coordorigin="2256,836" coordsize="7368,5095" path="m5940,836l2256,3383,5940,5931,9624,3383,5940,836xe" filled="true" fillcolor="#e3eeec" stroked="false">
              <v:path arrowok="t"/>
              <v:fill type="solid"/>
            </v:shape>
            <v:shape style="position:absolute;left:2355;top:904;width:7169;height:4957" coordorigin="2356,905" coordsize="7169,4957" path="m5940,905l2356,3383,5940,5862,9524,3383,5940,905xe" filled="true" fillcolor="#e4efed" stroked="false">
              <v:path arrowok="t"/>
              <v:fill type="solid"/>
            </v:shape>
            <v:shape style="position:absolute;left:2455;top:973;width:6970;height:4820" coordorigin="2455,974" coordsize="6970,4820" path="m5940,974l2455,3383,5940,5793,9424,3383,5940,974xe" filled="true" fillcolor="#e6efed" stroked="false">
              <v:path arrowok="t"/>
              <v:fill type="solid"/>
            </v:shape>
            <v:shape style="position:absolute;left:2554;top:1042;width:6771;height:4682" coordorigin="2555,1043" coordsize="6771,4682" path="m5940,1043l2555,3383,5940,5724,9325,3383,5940,1043xe" filled="true" fillcolor="#e6efee" stroked="false">
              <v:path arrowok="t"/>
              <v:fill type="solid"/>
            </v:shape>
            <v:shape style="position:absolute;left:2654;top:1111;width:6571;height:4544" coordorigin="2654,1112" coordsize="6571,4544" path="m5940,1112l2654,3383,5940,5655,9225,3383,5940,1112xe" filled="true" fillcolor="#e7f0ee" stroked="false">
              <v:path arrowok="t"/>
              <v:fill type="solid"/>
            </v:shape>
            <v:shape style="position:absolute;left:2753;top:1180;width:6372;height:4407" coordorigin="2754,1180" coordsize="6372,4407" path="m9126,3383l5940,1180,2754,3383,5940,5586,9126,3383xe" filled="true" fillcolor="#e8f0ee" stroked="false">
              <v:path arrowok="t"/>
              <v:fill type="solid"/>
            </v:shape>
            <v:shape style="position:absolute;left:2953;top:1318;width:5974;height:4131" coordorigin="2953,1318" coordsize="5974,4131" path="m5940,1318l2953,3383,5940,5449,8927,3383,5940,1318xe" filled="true" fillcolor="#eaf1f0" stroked="false">
              <v:path arrowok="t"/>
              <v:fill type="solid"/>
            </v:shape>
            <v:shape style="position:absolute;left:3052;top:1386;width:5775;height:3993" coordorigin="3053,1387" coordsize="5775,3993" path="m8827,3383l5940,1387,3053,3383,5940,5380,8827,3383xe" filled="true" fillcolor="#ebf3f0" stroked="false">
              <v:path arrowok="t"/>
              <v:fill type="solid"/>
            </v:shape>
            <v:shape style="position:absolute;left:3251;top:1524;width:5377;height:3718" coordorigin="3252,1525" coordsize="5377,3718" path="m5940,1525l3252,3383,5940,5242,8628,3383,5940,1525xe" filled="true" fillcolor="#ebf4f1" stroked="false">
              <v:path arrowok="t"/>
              <v:fill type="solid"/>
            </v:shape>
            <v:shape style="position:absolute;left:3351;top:1593;width:5178;height:3580" coordorigin="3351,1593" coordsize="5178,3580" path="m5940,1593l3351,3383,5940,5173,8528,3383,5940,1593xe" filled="true" fillcolor="#ecf4f1" stroked="false">
              <v:path arrowok="t"/>
              <v:fill type="solid"/>
            </v:shape>
            <v:shape style="position:absolute;left:3450;top:1662;width:4978;height:3443" coordorigin="3451,1662" coordsize="4978,3443" path="m5940,1662l3451,3383,5940,5104,8429,3383,5940,1662xe" filled="true" fillcolor="#ecf4f3" stroked="false">
              <v:path arrowok="t"/>
              <v:fill type="solid"/>
            </v:shape>
            <v:shape style="position:absolute;left:3550;top:1731;width:4779;height:3305" coordorigin="3550,1731" coordsize="4779,3305" path="m5940,1731l3550,3383,5940,5036,8329,3383,5940,1731xe" filled="true" fillcolor="#edf5f3" stroked="false">
              <v:path arrowok="t"/>
              <v:fill type="solid"/>
            </v:shape>
            <v:shape style="position:absolute;left:3650;top:1799;width:4580;height:3167" coordorigin="3650,1800" coordsize="4580,3167" path="m5940,1800l3650,3383,5940,4967,8230,3383,5940,1800xe" filled="true" fillcolor="#eef5f4" stroked="false">
              <v:path arrowok="t"/>
              <v:fill type="solid"/>
            </v:shape>
            <v:shape style="position:absolute;left:3749;top:1868;width:4381;height:3030" coordorigin="3750,1869" coordsize="4381,3030" path="m5940,1869l3750,3383,5940,4898,8130,3383,5940,1869xe" filled="true" fillcolor="#eff6f4" stroked="false">
              <v:path arrowok="t"/>
              <v:fill type="solid"/>
            </v:shape>
            <v:shape style="position:absolute;left:3849;top:1937;width:4182;height:2892" coordorigin="3849,1938" coordsize="4182,2892" path="m5940,1938l3849,3383,5940,4829,8031,3383,5940,1938xe" filled="true" fillcolor="#eff6f5" stroked="false">
              <v:path arrowok="t"/>
              <v:fill type="solid"/>
            </v:shape>
            <v:shape style="position:absolute;left:3948;top:2006;width:3983;height:2754" coordorigin="3949,2006" coordsize="3983,2754" path="m5940,2006l3949,3383,5940,4760,7931,3383,5940,2006xe" filled="true" fillcolor="#f0f7f6" stroked="false">
              <v:path arrowok="t"/>
              <v:fill type="solid"/>
            </v:shape>
            <v:shape style="position:absolute;left:4048;top:2075;width:3784;height:2617" coordorigin="4048,2075" coordsize="3784,2617" path="m7831,3383l5940,2075,4048,3383,5940,4691,7831,3383xe" filled="true" fillcolor="#f1f7f6" stroked="false">
              <v:path arrowok="t"/>
              <v:fill type="solid"/>
            </v:shape>
            <v:shape style="position:absolute;left:4247;top:2213;width:3385;height:2341" coordorigin="4247,2213" coordsize="3385,2341" path="m5940,2213l4247,3383,5940,4554,7632,3383,5940,2213xe" filled="true" fillcolor="#f4f8f7" stroked="false">
              <v:path arrowok="t"/>
              <v:fill type="solid"/>
            </v:shape>
            <v:shape style="position:absolute;left:4346;top:2281;width:3186;height:2204" coordorigin="4347,2282" coordsize="3186,2204" path="m5940,2282l4347,3383,5940,4485,7533,3383,5940,2282xe" filled="true" fillcolor="#f4f8f8" stroked="false">
              <v:path arrowok="t"/>
              <v:fill type="solid"/>
            </v:shape>
            <v:shape style="position:absolute;left:4446;top:2350;width:2987;height:2066" coordorigin="4446,2351" coordsize="2987,2066" path="m5940,2351l4446,3383,5940,4416,7433,3383,5940,2351xe" filled="true" fillcolor="#f5f8f8" stroked="false">
              <v:path arrowok="t"/>
              <v:fill type="solid"/>
            </v:shape>
            <v:shape style="position:absolute;left:4546;top:2419;width:2788;height:1928" coordorigin="4546,2420" coordsize="2788,1928" path="m7334,3383l5940,2420,4546,3383,5940,4347,7334,3383xe" filled="true" fillcolor="#f6f8f8" stroked="false">
              <v:path arrowok="t"/>
              <v:fill type="solid"/>
            </v:shape>
            <v:shape style="position:absolute;left:4745;top:2557;width:2390;height:1653" coordorigin="4745,2557" coordsize="2390,1653" path="m5940,2557l4745,3383,5940,4209,7135,3383,5940,2557xe" filled="true" fillcolor="#f7f9f8" stroked="false">
              <v:path arrowok="t"/>
              <v:fill type="solid"/>
            </v:shape>
            <v:shape style="position:absolute;left:4844;top:2626;width:2191;height:1515" coordorigin="4845,2626" coordsize="2191,1515" path="m5940,2626l4845,3383,5940,4141,7035,3383,5940,2626xe" filled="true" fillcolor="#f8f9f8" stroked="false">
              <v:path arrowok="t"/>
              <v:fill type="solid"/>
            </v:shape>
            <v:shape style="position:absolute;left:4944;top:2694;width:1992;height:1377" coordorigin="4944,2695" coordsize="1992,1377" path="m5940,2695l4944,3383,5940,4072,6935,3383,5940,2695xe" filled="true" fillcolor="#f8fafa" stroked="false">
              <v:path arrowok="t"/>
              <v:fill type="solid"/>
            </v:shape>
            <v:shape style="position:absolute;left:5043;top:2763;width:1793;height:1240" coordorigin="5044,2764" coordsize="1793,1240" path="m5940,2764l5044,3383,5940,4003,6836,3383,5940,2764xe" filled="true" fillcolor="#f8fbfa" stroked="false">
              <v:path arrowok="t"/>
              <v:fill type="solid"/>
            </v:shape>
            <v:shape style="position:absolute;left:5143;top:2832;width:1593;height:1102" coordorigin="5143,2833" coordsize="1593,1102" path="m5940,2833l5143,3383,5940,3934,6736,3383,5940,2833xe" filled="true" fillcolor="#f9fbfa" stroked="false">
              <v:path arrowok="t"/>
              <v:fill type="solid"/>
            </v:shape>
            <v:shape style="position:absolute;left:5242;top:2901;width:1394;height:964" coordorigin="5243,2901" coordsize="1394,964" path="m5940,2901l5243,3383,5940,3865,6637,3383,5940,2901xe" filled="true" fillcolor="#fafbfb" stroked="false">
              <v:path arrowok="t"/>
              <v:fill type="solid"/>
            </v:shape>
            <v:shape style="position:absolute;left:5342;top:2970;width:1195;height:827" coordorigin="5343,2970" coordsize="1195,827" path="m5940,2970l5343,3383,5940,3796,6537,3383,5940,2970xe" filled="true" fillcolor="#fafcfb" stroked="false">
              <v:path arrowok="t"/>
              <v:fill type="solid"/>
            </v:shape>
            <v:shape style="position:absolute;left:5442;top:3039;width:996;height:689" coordorigin="5442,3039" coordsize="996,689" path="m5940,3039l5442,3383,5940,3728,6438,3383,5940,3039xe" filled="true" fillcolor="#fbfcfc" stroked="false">
              <v:path arrowok="t"/>
              <v:fill type="solid"/>
            </v:shape>
            <v:shape style="position:absolute;left:5541;top:3107;width:797;height:551" coordorigin="5542,3108" coordsize="797,551" path="m5940,3108l5542,3383,5940,3659,6338,3383,5940,3108xe" filled="true" fillcolor="#fcfdfd" stroked="false">
              <v:path arrowok="t"/>
              <v:fill type="solid"/>
            </v:shape>
            <v:shape style="position:absolute;left:5641;top:3176;width:598;height:414" coordorigin="5641,3177" coordsize="598,414" path="m5940,3177l5641,3383,5940,3590,6239,3383,5940,3177xe" filled="true" fillcolor="#fdfdfd" stroked="false">
              <v:path arrowok="t"/>
              <v:fill type="solid"/>
            </v:shape>
            <v:shape style="position:absolute;left:5740;top:3245;width:399;height:276" type="#_x0000_t75" stroked="false">
              <v:imagedata r:id="rId74" o:title=""/>
            </v:shape>
            <v:rect style="position:absolute;left:772;top:-187;width:10335;height:7140" filled="false" stroked="true" strokeweight="1pt" strokecolor="#009391">
              <v:stroke dashstyle="solid"/>
            </v:rect>
            <v:shape style="position:absolute;left:6200;top:263;width:4740;height:3980" coordorigin="6200,263" coordsize="4740,3980" path="m10940,263l6200,263,6200,793,6200,803,6200,4243,10940,4243,10940,803,10940,793,10940,263xe" filled="true" fillcolor="#ffffff" stroked="false">
              <v:path arrowok="t"/>
              <v:fill type="solid"/>
            </v:shape>
            <v:line style="position:absolute" from="6427,2773" to="6457,2638" stroked="true" strokeweight="1pt" strokecolor="#00a2a0">
              <v:stroke dashstyle="solid"/>
            </v:line>
            <v:line style="position:absolute" from="6447,2640" to="6497,2640" stroked="true" strokeweight="1.125pt" strokecolor="#00a2a0">
              <v:stroke dashstyle="solid"/>
            </v:line>
            <v:shape style="position:absolute;left:6487;top:1355;width:825;height:1283" coordorigin="6487,1356" coordsize="825,1283" path="m6487,2638l6517,2621m6517,2621l6550,2521m6550,2521l6580,2471m6580,2471l6610,2351m6610,2351l6640,2233m6640,2233l6670,2283m6670,2283l6702,2268m6702,2268l6732,2251m6732,2251l6762,2183m6762,2183l6792,2251m6792,2251l6822,2183m6822,2183l6855,2233m6855,2233l6885,2216m6885,2216l6915,2116m6915,2116l6945,2031m6945,2031l6975,1981m6975,1981l7007,2048m7007,2048l7037,1913m7037,1913l7067,1846m7067,1846l7097,1743m7097,1743l7127,1593m7127,1593l7160,1391m7160,1391l7190,1423m7190,1423l7220,1356m7220,1356l7250,1458m7250,1458l7280,1608m7280,1608l7312,1778e" filled="false" stroked="true" strokeweight="1pt" strokecolor="#00a2a0">
              <v:path arrowok="t"/>
              <v:stroke dashstyle="solid"/>
            </v:shape>
            <v:line style="position:absolute" from="7320,1768" to="7320,1991" stroked="true" strokeweight="1.75pt" strokecolor="#00a2a0">
              <v:stroke dashstyle="solid"/>
            </v:line>
            <v:shape style="position:absolute;left:7327;top:1980;width:153;height:963" coordorigin="7327,1981" coordsize="153,963" path="m7327,1981l7357,2031m7357,2031l7387,2268m7387,2268l7417,2538m7417,2538l7450,2723m7450,2723l7480,2943e" filled="false" stroked="true" strokeweight="1pt" strokecolor="#00a2a0">
              <v:path arrowok="t"/>
              <v:stroke dashstyle="solid"/>
            </v:shape>
            <v:line style="position:absolute" from="7495,2933" to="7495,3323" stroked="true" strokeweight="2.5pt" strokecolor="#00a2a0">
              <v:stroke dashstyle="solid"/>
            </v:line>
            <v:shape style="position:absolute;left:7510;top:1863;width:488;height:1450" coordorigin="7510,1863" coordsize="488,1450" path="m7510,3313l7540,3281m7540,3281l7570,3246m7570,3246l7602,3128m7602,3128l7632,3061m7632,3061l7662,2876m7662,2876l7692,2723m7692,2723l7722,2656m7722,2656l7755,2486m7755,2486l7785,2418m7785,2418l7815,2688m7815,2688l7845,2538m7845,2538l7875,1963m7875,1963l7907,1878m7907,1878l7937,1863m7937,1863l7967,1998m7967,1998l7997,2081e" filled="false" stroked="true" strokeweight="1pt" strokecolor="#00a2a0">
              <v:path arrowok="t"/>
              <v:stroke dashstyle="solid"/>
            </v:shape>
            <v:line style="position:absolute" from="8012,2071" to="8012,2428" stroked="true" strokeweight="2.5pt" strokecolor="#00a2a0">
              <v:stroke dashstyle="solid"/>
            </v:line>
            <v:shape style="position:absolute;left:8027;top:2418;width:93;height:390" coordorigin="8027,2418" coordsize="93,390" path="m8027,2418l8060,2588m8060,2588l8090,2756m8090,2756l8120,2808e" filled="false" stroked="true" strokeweight="1pt" strokecolor="#00a2a0">
              <v:path arrowok="t"/>
              <v:stroke dashstyle="solid"/>
            </v:shape>
            <v:line style="position:absolute" from="8110,2810" to="8160,2810" stroked="true" strokeweight="1.125pt" strokecolor="#00a2a0">
              <v:stroke dashstyle="solid"/>
            </v:line>
            <v:line style="position:absolute" from="8165,2393" to="8165,2818" stroked="true" strokeweight="2.5pt" strokecolor="#00a2a0">
              <v:stroke dashstyle="solid"/>
            </v:line>
            <v:shape style="position:absolute;left:8180;top:2350;width:275;height:270" coordorigin="8180,2351" coordsize="275,270" path="m8180,2403l8212,2368m8212,2368l8242,2486m8242,2486l8272,2521m8272,2521l8302,2538m8302,2538l8332,2521m8332,2521l8362,2621m8362,2621l8395,2386m8395,2386l8455,2351e" filled="false" stroked="true" strokeweight="1pt" strokecolor="#00a2a0">
              <v:path arrowok="t"/>
              <v:stroke dashstyle="solid"/>
            </v:shape>
            <v:line style="position:absolute" from="8445,2352" to="8495,2352" stroked="true" strokeweight="1.125pt" strokecolor="#00a2a0">
              <v:stroke dashstyle="solid"/>
            </v:line>
            <v:shape style="position:absolute;left:8485;top:2350;width:63;height:220" coordorigin="8485,2351" coordsize="63,220" path="m8485,2351l8515,2436m8515,2436l8547,2571e" filled="false" stroked="true" strokeweight="1pt" strokecolor="#00a2a0">
              <v:path arrowok="t"/>
              <v:stroke dashstyle="solid"/>
            </v:shape>
            <v:line style="position:absolute" from="8537,2572" to="8587,2572" stroked="true" strokeweight="1.125pt" strokecolor="#00a2a0">
              <v:stroke dashstyle="solid"/>
            </v:line>
            <v:shape style="position:absolute;left:8577;top:2283;width:183;height:288" coordorigin="8577,2283" coordsize="183,288" path="m8577,2571l8607,2403m8607,2403l8637,2351m8637,2351l8667,2436m8667,2436l8700,2386m8700,2386l8730,2283m8730,2283l8760,2368e" filled="false" stroked="true" strokeweight="1pt" strokecolor="#00a2a0">
              <v:path arrowok="t"/>
              <v:stroke dashstyle="solid"/>
            </v:shape>
            <v:line style="position:absolute" from="8750,2370" to="8800,2370" stroked="true" strokeweight="1.125pt" strokecolor="#00a2a0">
              <v:stroke dashstyle="solid"/>
            </v:line>
            <v:shape style="position:absolute;left:8790;top:1913;width:1023;height:1368" coordorigin="8790,1913" coordsize="1023,1368" path="m8790,2368l8820,2166m8820,2166l8852,2048m8852,2048l8882,1913m8882,1913l8912,2048m8912,2048l8942,2133m8942,2133l8972,2066m8972,2066l9005,2098m9005,2098l9035,2148m9035,2148l9065,2301m9065,2301l9095,2418m9095,2418l9125,2403m9125,2403l9142,2406m9142,2403l9172,2503m9172,2503l9202,2638m9202,2638l9232,2656m9232,2656l9262,2471m9262,2471l9295,2386m9295,2386l9325,2571m9325,2571l9355,2638m9355,2638l9385,2688m9385,2688l9415,2706m9415,2706l9447,2673m9447,2673l9477,2823m9477,2823l9507,2943m9507,2943l9537,3026m9537,3026l9567,2993m9567,2993l9600,3061m9600,3061l9630,3078m9630,3078l9660,3228m9660,3228l9690,3111m9690,3111l9720,3246m9720,3246l9752,3281m9752,3281l9782,3196m9782,3196l9812,3246e" filled="false" stroked="true" strokeweight="1pt" strokecolor="#00a2a0">
              <v:path arrowok="t"/>
              <v:stroke dashstyle="solid"/>
            </v:shape>
            <v:shape style="position:absolute;left:9802;top:3247;width:80;height:2" coordorigin="9802,3247" coordsize="80,0" path="m9802,3247l9852,3247m9832,3247l9882,3247e" filled="false" stroked="true" strokeweight="1.125pt" strokecolor="#00a2a0">
              <v:path arrowok="t"/>
              <v:stroke dashstyle="solid"/>
            </v:shape>
            <v:shape style="position:absolute;left:9872;top:3245;width:153;height:320" coordorigin="9872,3246" coordsize="153,320" path="m9872,3246l9905,3348m9905,3348l9935,3466m9935,3466l9965,3498m9965,3498l9995,3566m9995,3566l10025,3551e" filled="false" stroked="true" strokeweight="1pt" strokecolor="#00a2a0">
              <v:path arrowok="t"/>
              <v:stroke dashstyle="solid"/>
            </v:shape>
            <v:shape style="position:absolute;left:8972;top:2283;width:323;height:270" coordorigin="8972,2283" coordsize="323,270" path="m8972,2283l9005,2553m9005,2553l9035,2351m9035,2351l9065,2453m9065,2453l9095,2486m9095,2486l9125,2453m9125,2453l9142,2418m9142,2418l9172,2403m9172,2403l9232,2368m9232,2368l9262,2418m9262,2418l9295,2351e" filled="false" stroked="true" strokeweight="1pt" strokecolor="#a64991">
              <v:path arrowok="t"/>
              <v:stroke dashstyle="solid"/>
            </v:shape>
            <v:line style="position:absolute" from="9285,2352" to="9335,2352" stroked="true" strokeweight="1.125pt" strokecolor="#a64991">
              <v:stroke dashstyle="solid"/>
            </v:line>
            <v:shape style="position:absolute;left:9325;top:2300;width:183;height:220" coordorigin="9325,2301" coordsize="183,220" path="m9325,2351l9355,2301m9355,2301l9385,2368m9385,2368l9415,2301m9415,2301l9447,2336m9447,2336l9477,2403m9477,2403l9507,2521e" filled="false" stroked="true" strokeweight="1pt" strokecolor="#a64991">
              <v:path arrowok="t"/>
              <v:stroke dashstyle="solid"/>
            </v:shape>
            <v:line style="position:absolute" from="9497,2522" to="9547,2522" stroked="true" strokeweight="1.125pt" strokecolor="#a64991">
              <v:stroke dashstyle="solid"/>
            </v:line>
            <v:shape style="position:absolute;left:9537;top:2520;width:458;height:505" coordorigin="9537,2521" coordsize="458,505" path="m9537,2521l9567,2638m9567,2638l9600,2621m9600,2621l9630,2588m9630,2588l9660,2673m9660,2673l9690,2688m9690,2688l9720,2723m9720,2723l9752,2773m9752,2773l9782,2808m9782,2808l9812,2858m9812,2858l9842,2876m9842,2876l9872,2891m9872,2891l9905,2943m9905,2943l9935,2876m9935,2876l9965,3011m9965,3011l9995,3026e" filled="false" stroked="true" strokeweight="1pt" strokecolor="#a64991">
              <v:path arrowok="t"/>
              <v:stroke dashstyle="solid"/>
            </v:shape>
            <v:line style="position:absolute" from="9985,3027" to="10035,3027" stroked="true" strokeweight="1.125pt" strokecolor="#a64991">
              <v:stroke dashstyle="solid"/>
            </v:line>
            <v:shape style="position:absolute;left:6230;top:999;width:3820;height:2874" coordorigin="6231,1000" coordsize="3820,2874" path="m6318,1849l6231,1849m6318,2138l6231,2138m6318,2728l6231,2728m6318,2999l6231,2999m6318,3584l6231,3584m6318,3873l6231,3873m6429,3803l6429,3857m6810,3803l6810,3857m7171,3803l7171,3857m7522,3803l7522,3857m6318,1000l6231,1000m6318,1269l6231,1269m6420,3853l10050,3853m7873,3803l7873,3857m8243,3803l8243,3857m8613,3803l8613,3857m8983,3803l8983,3857m9333,3803l9333,3857m9703,3803l9703,3857m9620,1889l9620,2469e" filled="false" stroked="true" strokeweight=".5pt" strokecolor="#000000">
              <v:path arrowok="t"/>
              <v:stroke dashstyle="solid"/>
            </v:shape>
            <v:shape style="position:absolute;left:9594;top:2451;width:51;height:85" coordorigin="9595,2452" coordsize="51,85" path="m9645,2452l9595,2452,9601,2468,9606,2480,9620,2537,9621,2528,9624,2517,9627,2505,9630,2492,9634,2481,9645,2452xe" filled="true" fillcolor="#000000" stroked="false">
              <v:path arrowok="t"/>
              <v:fill type="solid"/>
            </v:shape>
            <v:shape style="position:absolute;left:6230;top:989;width:4000;height:2874" coordorigin="6231,990" coordsize="4000,2874" path="m6318,1553l6231,1553m6318,2438l6231,2438m6318,3298l6231,3298m10230,1839l10143,1839m10230,2128l10143,2128m10230,2728l10143,2728m10230,3009l10143,3009m10230,3574l10143,3574m10230,3863l10143,3863m10230,990l10143,990m10230,1259l10143,1259m10230,1543l10143,1543m10230,2428l10143,2428m10230,3288l10143,3288m10050,2728l6420,2728e" filled="false" stroked="true" strokeweight=".5pt" strokecolor="#000000">
              <v:path arrowok="t"/>
              <v:stroke dashstyle="solid"/>
            </v:shape>
            <v:rect style="position:absolute;left:6191;top:4233;width:4749;height:413" filled="true" fillcolor="#ffffff" stroked="false">
              <v:fill type="solid"/>
            </v:rect>
            <v:shape style="position:absolute;left:985;top:4663;width:9955;height:1600" coordorigin="985,4663" coordsize="9955,1600" path="m985,6263l10940,6263m6175,4663l10940,4663e" filled="false" stroked="true" strokeweight=".125pt" strokecolor="#000000">
              <v:path arrowok="t"/>
              <v:stroke dashstyle="solid"/>
            </v:shape>
            <w10:wrap type="none"/>
          </v:group>
        </w:pict>
      </w:r>
      <w:r>
        <w:rPr>
          <w:sz w:val="24"/>
        </w:rPr>
        <w:t>‘prices of </w:t>
      </w:r>
      <w:r>
        <w:rPr>
          <w:spacing w:val="-3"/>
          <w:sz w:val="24"/>
        </w:rPr>
        <w:t>new </w:t>
      </w:r>
      <w:r>
        <w:rPr>
          <w:sz w:val="24"/>
        </w:rPr>
        <w:t>cars in the United Kingdom [to be]</w:t>
      </w:r>
      <w:r>
        <w:rPr>
          <w:spacing w:val="-6"/>
          <w:sz w:val="24"/>
        </w:rPr>
        <w:t> </w:t>
      </w:r>
      <w:r>
        <w:rPr>
          <w:sz w:val="24"/>
        </w:rPr>
        <w:t>higher</w:t>
      </w:r>
      <w:r>
        <w:rPr>
          <w:spacing w:val="-6"/>
          <w:sz w:val="24"/>
        </w:rPr>
        <w:t> </w:t>
      </w:r>
      <w:r>
        <w:rPr>
          <w:sz w:val="24"/>
        </w:rPr>
        <w:t>than</w:t>
      </w:r>
      <w:r>
        <w:rPr>
          <w:spacing w:val="-5"/>
          <w:sz w:val="24"/>
        </w:rPr>
        <w:t> </w:t>
      </w:r>
      <w:r>
        <w:rPr>
          <w:sz w:val="24"/>
        </w:rPr>
        <w:t>they</w:t>
      </w:r>
      <w:r>
        <w:rPr>
          <w:spacing w:val="-6"/>
          <w:sz w:val="24"/>
        </w:rPr>
        <w:t> </w:t>
      </w:r>
      <w:r>
        <w:rPr>
          <w:sz w:val="24"/>
        </w:rPr>
        <w:t>would</w:t>
      </w:r>
      <w:r>
        <w:rPr>
          <w:spacing w:val="-6"/>
          <w:sz w:val="24"/>
        </w:rPr>
        <w:t> </w:t>
      </w:r>
      <w:r>
        <w:rPr>
          <w:sz w:val="24"/>
        </w:rPr>
        <w:t>be</w:t>
      </w:r>
      <w:r>
        <w:rPr>
          <w:spacing w:val="-5"/>
          <w:sz w:val="24"/>
        </w:rPr>
        <w:t> </w:t>
      </w:r>
      <w:r>
        <w:rPr>
          <w:sz w:val="24"/>
        </w:rPr>
        <w:t>in</w:t>
      </w:r>
      <w:r>
        <w:rPr>
          <w:spacing w:val="-6"/>
          <w:sz w:val="24"/>
        </w:rPr>
        <w:t> </w:t>
      </w:r>
      <w:r>
        <w:rPr>
          <w:sz w:val="24"/>
        </w:rPr>
        <w:t>a</w:t>
      </w:r>
      <w:r>
        <w:rPr>
          <w:spacing w:val="-6"/>
          <w:sz w:val="24"/>
        </w:rPr>
        <w:t> </w:t>
      </w:r>
      <w:r>
        <w:rPr>
          <w:sz w:val="24"/>
        </w:rPr>
        <w:t>less</w:t>
      </w:r>
      <w:r>
        <w:rPr>
          <w:spacing w:val="-5"/>
          <w:sz w:val="24"/>
        </w:rPr>
        <w:t> </w:t>
      </w:r>
      <w:r>
        <w:rPr>
          <w:sz w:val="24"/>
        </w:rPr>
        <w:t>restrictive environment…pre-tax list prices for</w:t>
      </w:r>
      <w:r>
        <w:rPr>
          <w:spacing w:val="-15"/>
          <w:sz w:val="24"/>
        </w:rPr>
        <w:t> </w:t>
      </w:r>
      <w:r>
        <w:rPr>
          <w:sz w:val="24"/>
        </w:rPr>
        <w:t>many</w:t>
      </w:r>
    </w:p>
    <w:p>
      <w:pPr>
        <w:pStyle w:val="BodyText"/>
        <w:spacing w:before="6"/>
        <w:rPr>
          <w:sz w:val="20"/>
        </w:rPr>
      </w:pPr>
      <w:r>
        <w:rPr/>
        <w:br w:type="column"/>
      </w:r>
      <w:r>
        <w:rPr>
          <w:sz w:val="20"/>
        </w:rPr>
      </w:r>
    </w:p>
    <w:p>
      <w:pPr>
        <w:pStyle w:val="Heading9"/>
        <w:spacing w:before="0"/>
        <w:ind w:left="400"/>
      </w:pPr>
      <w:r>
        <w:rPr>
          <w:color w:val="0092C7"/>
        </w:rPr>
        <w:t>Chart C</w:t>
      </w:r>
    </w:p>
    <w:p>
      <w:pPr>
        <w:spacing w:before="10"/>
        <w:ind w:left="400" w:right="0" w:firstLine="0"/>
        <w:jc w:val="left"/>
        <w:rPr>
          <w:sz w:val="12"/>
        </w:rPr>
      </w:pPr>
      <w:r>
        <w:rPr>
          <w:b/>
          <w:color w:val="0092C7"/>
          <w:sz w:val="20"/>
        </w:rPr>
        <w:t>Retail car prices in the United Kingdom</w:t>
      </w:r>
      <w:r>
        <w:rPr>
          <w:position w:val="4"/>
          <w:sz w:val="12"/>
        </w:rPr>
        <w:t>(a)</w:t>
      </w:r>
    </w:p>
    <w:p>
      <w:pPr>
        <w:spacing w:line="124" w:lineRule="exact" w:before="105"/>
        <w:ind w:left="2677" w:right="0" w:firstLine="0"/>
        <w:jc w:val="left"/>
        <w:rPr>
          <w:sz w:val="12"/>
        </w:rPr>
      </w:pPr>
      <w:r>
        <w:rPr>
          <w:sz w:val="12"/>
        </w:rPr>
        <w:t>Percentage changes on a year earlier</w:t>
      </w:r>
    </w:p>
    <w:p>
      <w:pPr>
        <w:spacing w:line="122" w:lineRule="exact" w:before="0"/>
        <w:ind w:left="4487" w:right="0" w:firstLine="0"/>
        <w:jc w:val="left"/>
        <w:rPr>
          <w:sz w:val="12"/>
        </w:rPr>
      </w:pPr>
      <w:r>
        <w:rPr>
          <w:sz w:val="12"/>
        </w:rPr>
        <w:t>12</w:t>
      </w:r>
    </w:p>
    <w:p>
      <w:pPr>
        <w:spacing w:after="0" w:line="122" w:lineRule="exact"/>
        <w:jc w:val="left"/>
        <w:rPr>
          <w:sz w:val="12"/>
        </w:rPr>
        <w:sectPr>
          <w:type w:val="continuous"/>
          <w:pgSz w:w="11900" w:h="16840"/>
          <w:pgMar w:top="1220" w:bottom="280" w:left="620" w:right="640"/>
          <w:cols w:num="2" w:equalWidth="0">
            <w:col w:w="5149" w:space="51"/>
            <w:col w:w="5440"/>
          </w:cols>
        </w:sectPr>
      </w:pPr>
    </w:p>
    <w:p>
      <w:pPr>
        <w:pStyle w:val="Heading6"/>
        <w:spacing w:line="242" w:lineRule="auto"/>
        <w:ind w:left="399" w:right="20"/>
      </w:pPr>
      <w:r>
        <w:rPr/>
        <w:t>models are significantly higher in the United Kingdom than in other [EU] member states’.</w:t>
      </w:r>
      <w:r>
        <w:rPr>
          <w:position w:val="5"/>
          <w:sz w:val="16"/>
        </w:rPr>
        <w:t>(1) </w:t>
      </w:r>
      <w:r>
        <w:rPr/>
        <w:t>The Consumers’ Association has also published estimates which suggest that car prices in the United Kingdom are higher than in other large European countries.</w:t>
      </w:r>
      <w:r>
        <w:rPr>
          <w:position w:val="5"/>
          <w:sz w:val="16"/>
        </w:rPr>
        <w:t>(2) </w:t>
      </w:r>
      <w:r>
        <w:rPr/>
        <w:t>Retail prices for cars in the United Kingdom have fallen throughout 1999 (see Chart C). In the year to December, new car prices fell by 2.1% and used car prices—which are included in the RPI—fell by</w:t>
      </w:r>
    </w:p>
    <w:p>
      <w:pPr>
        <w:pStyle w:val="BodyText"/>
        <w:spacing w:before="3"/>
        <w:rPr>
          <w:sz w:val="11"/>
        </w:rPr>
      </w:pPr>
      <w:r>
        <w:rPr/>
        <w:br w:type="column"/>
      </w:r>
      <w:r>
        <w:rPr>
          <w:sz w:val="11"/>
        </w:rPr>
      </w:r>
    </w:p>
    <w:p>
      <w:pPr>
        <w:spacing w:before="0"/>
        <w:ind w:left="399" w:right="0" w:firstLine="0"/>
        <w:jc w:val="left"/>
        <w:rPr>
          <w:sz w:val="12"/>
        </w:rPr>
      </w:pPr>
      <w:r>
        <w:rPr>
          <w:sz w:val="12"/>
        </w:rPr>
        <w:t>Used car prices</w:t>
      </w:r>
    </w:p>
    <w:p>
      <w:pPr>
        <w:pStyle w:val="BodyText"/>
        <w:spacing w:before="2"/>
        <w:rPr>
          <w:sz w:val="13"/>
        </w:rPr>
      </w:pPr>
      <w:r>
        <w:rPr/>
        <w:br w:type="column"/>
      </w:r>
      <w:r>
        <w:rPr>
          <w:sz w:val="13"/>
        </w:rPr>
      </w:r>
    </w:p>
    <w:p>
      <w:pPr>
        <w:spacing w:before="0"/>
        <w:ind w:left="1212" w:right="813" w:firstLine="0"/>
        <w:jc w:val="center"/>
        <w:rPr>
          <w:sz w:val="12"/>
        </w:rPr>
      </w:pPr>
      <w:r>
        <w:rPr>
          <w:sz w:val="12"/>
        </w:rPr>
        <w:t>10</w:t>
      </w:r>
    </w:p>
    <w:p>
      <w:pPr>
        <w:tabs>
          <w:tab w:pos="1352" w:val="right" w:leader="none"/>
        </w:tabs>
        <w:spacing w:line="206" w:lineRule="exact" w:before="150"/>
        <w:ind w:left="399" w:right="0" w:firstLine="0"/>
        <w:jc w:val="left"/>
        <w:rPr>
          <w:sz w:val="12"/>
        </w:rPr>
      </w:pPr>
      <w:r>
        <w:rPr>
          <w:sz w:val="12"/>
        </w:rPr>
        <w:t>New car</w:t>
        <w:tab/>
      </w:r>
      <w:r>
        <w:rPr>
          <w:position w:val="8"/>
          <w:sz w:val="12"/>
        </w:rPr>
        <w:t>8</w:t>
      </w:r>
    </w:p>
    <w:p>
      <w:pPr>
        <w:spacing w:line="104" w:lineRule="exact" w:before="0"/>
        <w:ind w:left="479" w:right="0" w:firstLine="0"/>
        <w:jc w:val="left"/>
        <w:rPr>
          <w:sz w:val="12"/>
        </w:rPr>
      </w:pPr>
      <w:r>
        <w:rPr>
          <w:sz w:val="12"/>
        </w:rPr>
        <w:t>prices</w:t>
      </w:r>
    </w:p>
    <w:p>
      <w:pPr>
        <w:spacing w:line="115" w:lineRule="exact" w:before="0"/>
        <w:ind w:left="459" w:right="0" w:firstLine="0"/>
        <w:jc w:val="center"/>
        <w:rPr>
          <w:sz w:val="12"/>
        </w:rPr>
      </w:pPr>
      <w:r>
        <w:rPr>
          <w:sz w:val="12"/>
        </w:rPr>
        <w:t>6</w:t>
      </w:r>
    </w:p>
    <w:p>
      <w:pPr>
        <w:pStyle w:val="BodyText"/>
        <w:spacing w:before="9"/>
        <w:rPr>
          <w:sz w:val="12"/>
        </w:rPr>
      </w:pPr>
    </w:p>
    <w:p>
      <w:pPr>
        <w:spacing w:before="0"/>
        <w:ind w:left="459" w:right="0" w:firstLine="0"/>
        <w:jc w:val="center"/>
        <w:rPr>
          <w:sz w:val="12"/>
        </w:rPr>
      </w:pPr>
      <w:r>
        <w:rPr>
          <w:sz w:val="12"/>
        </w:rPr>
        <w:t>4</w:t>
      </w:r>
    </w:p>
    <w:p>
      <w:pPr>
        <w:pStyle w:val="BodyText"/>
        <w:spacing w:before="6"/>
        <w:rPr>
          <w:sz w:val="14"/>
        </w:rPr>
      </w:pPr>
    </w:p>
    <w:p>
      <w:pPr>
        <w:spacing w:line="123" w:lineRule="exact" w:before="0"/>
        <w:ind w:left="459" w:right="0" w:firstLine="0"/>
        <w:jc w:val="center"/>
        <w:rPr>
          <w:sz w:val="12"/>
        </w:rPr>
      </w:pPr>
      <w:r>
        <w:rPr>
          <w:sz w:val="12"/>
        </w:rPr>
        <w:t>2</w:t>
      </w:r>
    </w:p>
    <w:p>
      <w:pPr>
        <w:spacing w:line="167" w:lineRule="exact" w:before="0"/>
        <w:ind w:left="350" w:right="0" w:firstLine="0"/>
        <w:jc w:val="center"/>
        <w:rPr>
          <w:sz w:val="16"/>
        </w:rPr>
      </w:pPr>
      <w:r>
        <w:rPr>
          <w:sz w:val="16"/>
        </w:rPr>
        <w:t>+</w:t>
      </w:r>
    </w:p>
    <w:p>
      <w:pPr>
        <w:spacing w:line="112" w:lineRule="exact" w:before="0"/>
        <w:ind w:left="459" w:right="0" w:firstLine="0"/>
        <w:jc w:val="center"/>
        <w:rPr>
          <w:sz w:val="12"/>
        </w:rPr>
      </w:pPr>
      <w:r>
        <w:rPr>
          <w:sz w:val="12"/>
        </w:rPr>
        <w:t>0</w:t>
      </w:r>
    </w:p>
    <w:p>
      <w:pPr>
        <w:spacing w:line="160" w:lineRule="exact" w:before="0"/>
        <w:ind w:left="339" w:right="0" w:firstLine="0"/>
        <w:jc w:val="center"/>
        <w:rPr>
          <w:sz w:val="16"/>
        </w:rPr>
      </w:pPr>
      <w:r>
        <w:rPr>
          <w:sz w:val="16"/>
        </w:rPr>
        <w:t>–</w:t>
      </w:r>
    </w:p>
    <w:p>
      <w:pPr>
        <w:spacing w:before="11"/>
        <w:ind w:left="459" w:right="0" w:firstLine="0"/>
        <w:jc w:val="center"/>
        <w:rPr>
          <w:sz w:val="12"/>
        </w:rPr>
      </w:pPr>
      <w:r>
        <w:rPr>
          <w:sz w:val="12"/>
        </w:rPr>
        <w:t>2</w:t>
      </w:r>
    </w:p>
    <w:p>
      <w:pPr>
        <w:pStyle w:val="BodyText"/>
        <w:rPr>
          <w:sz w:val="13"/>
        </w:rPr>
      </w:pPr>
    </w:p>
    <w:p>
      <w:pPr>
        <w:spacing w:before="0"/>
        <w:ind w:left="459" w:right="0" w:firstLine="0"/>
        <w:jc w:val="center"/>
        <w:rPr>
          <w:sz w:val="12"/>
        </w:rPr>
      </w:pPr>
      <w:r>
        <w:rPr>
          <w:sz w:val="12"/>
        </w:rPr>
        <w:t>4</w:t>
      </w:r>
    </w:p>
    <w:p>
      <w:pPr>
        <w:pStyle w:val="BodyText"/>
        <w:rPr>
          <w:sz w:val="13"/>
        </w:rPr>
      </w:pPr>
    </w:p>
    <w:p>
      <w:pPr>
        <w:spacing w:before="0"/>
        <w:ind w:left="459" w:right="0" w:firstLine="0"/>
        <w:jc w:val="center"/>
        <w:rPr>
          <w:sz w:val="12"/>
        </w:rPr>
      </w:pPr>
      <w:r>
        <w:rPr>
          <w:sz w:val="12"/>
        </w:rPr>
        <w:t>6</w:t>
      </w:r>
    </w:p>
    <w:p>
      <w:pPr>
        <w:pStyle w:val="BodyText"/>
        <w:rPr>
          <w:sz w:val="13"/>
        </w:rPr>
      </w:pPr>
    </w:p>
    <w:p>
      <w:pPr>
        <w:spacing w:line="49" w:lineRule="exact" w:before="0"/>
        <w:ind w:left="459" w:right="0" w:firstLine="0"/>
        <w:jc w:val="center"/>
        <w:rPr>
          <w:sz w:val="12"/>
        </w:rPr>
      </w:pPr>
      <w:r>
        <w:rPr>
          <w:sz w:val="12"/>
        </w:rPr>
        <w:t>8</w:t>
      </w:r>
    </w:p>
    <w:p>
      <w:pPr>
        <w:spacing w:after="0" w:line="49" w:lineRule="exact"/>
        <w:jc w:val="center"/>
        <w:rPr>
          <w:sz w:val="12"/>
        </w:rPr>
        <w:sectPr>
          <w:type w:val="continuous"/>
          <w:pgSz w:w="11900" w:h="16840"/>
          <w:pgMar w:top="1220" w:bottom="280" w:left="620" w:right="640"/>
          <w:cols w:num="3" w:equalWidth="0">
            <w:col w:w="5046" w:space="772"/>
            <w:col w:w="1180" w:space="1457"/>
            <w:col w:w="2185"/>
          </w:cols>
        </w:sectPr>
      </w:pPr>
    </w:p>
    <w:p>
      <w:pPr>
        <w:pStyle w:val="Heading6"/>
        <w:spacing w:line="242" w:lineRule="auto"/>
        <w:ind w:left="400" w:right="40"/>
      </w:pPr>
      <w:r>
        <w:rPr/>
        <w:t>5.8%. It is possible that the prospect of changes in</w:t>
      </w:r>
      <w:r>
        <w:rPr>
          <w:spacing w:val="-7"/>
        </w:rPr>
        <w:t> </w:t>
      </w:r>
      <w:r>
        <w:rPr/>
        <w:t>the</w:t>
      </w:r>
      <w:r>
        <w:rPr>
          <w:spacing w:val="-6"/>
        </w:rPr>
        <w:t> </w:t>
      </w:r>
      <w:r>
        <w:rPr/>
        <w:t>competitive</w:t>
      </w:r>
      <w:r>
        <w:rPr>
          <w:spacing w:val="-6"/>
        </w:rPr>
        <w:t> </w:t>
      </w:r>
      <w:r>
        <w:rPr/>
        <w:t>structure</w:t>
      </w:r>
      <w:r>
        <w:rPr>
          <w:spacing w:val="-6"/>
        </w:rPr>
        <w:t> </w:t>
      </w:r>
      <w:r>
        <w:rPr/>
        <w:t>of</w:t>
      </w:r>
      <w:r>
        <w:rPr>
          <w:spacing w:val="-6"/>
        </w:rPr>
        <w:t> </w:t>
      </w:r>
      <w:r>
        <w:rPr/>
        <w:t>the</w:t>
      </w:r>
      <w:r>
        <w:rPr>
          <w:spacing w:val="-6"/>
        </w:rPr>
        <w:t> </w:t>
      </w:r>
      <w:r>
        <w:rPr/>
        <w:t>car</w:t>
      </w:r>
      <w:r>
        <w:rPr>
          <w:spacing w:val="-6"/>
        </w:rPr>
        <w:t> </w:t>
      </w:r>
      <w:r>
        <w:rPr/>
        <w:t>market</w:t>
      </w:r>
      <w:r>
        <w:rPr>
          <w:spacing w:val="-6"/>
        </w:rPr>
        <w:t> </w:t>
      </w:r>
      <w:r>
        <w:rPr/>
        <w:t>has played a role in depressing car prices in recent months, and might also be perceived by consumers as likely to lead to further price declines.  That might be dampening current retail sales, as households may be deferring purchases in the expectation that prices will</w:t>
      </w:r>
      <w:r>
        <w:rPr>
          <w:spacing w:val="-37"/>
        </w:rPr>
        <w:t> </w:t>
      </w:r>
      <w:r>
        <w:rPr/>
        <w:t>fall</w:t>
      </w:r>
    </w:p>
    <w:p>
      <w:pPr>
        <w:tabs>
          <w:tab w:pos="1499" w:val="left" w:leader="none"/>
          <w:tab w:pos="2212" w:val="left" w:leader="none"/>
          <w:tab w:pos="2944" w:val="left" w:leader="none"/>
          <w:tab w:pos="3662" w:val="left" w:leader="none"/>
        </w:tabs>
        <w:spacing w:before="71"/>
        <w:ind w:left="685" w:right="0" w:firstLine="0"/>
        <w:jc w:val="left"/>
        <w:rPr>
          <w:sz w:val="12"/>
        </w:rPr>
      </w:pPr>
      <w:r>
        <w:rPr/>
        <w:br w:type="column"/>
      </w:r>
      <w:r>
        <w:rPr>
          <w:sz w:val="12"/>
        </w:rPr>
        <w:t>1990</w:t>
        <w:tab/>
        <w:t>92</w:t>
        <w:tab/>
        <w:t>94</w:t>
        <w:tab/>
        <w:t>96</w:t>
        <w:tab/>
        <w:t>98</w:t>
      </w:r>
    </w:p>
    <w:p>
      <w:pPr>
        <w:pStyle w:val="BodyText"/>
        <w:spacing w:before="1"/>
        <w:rPr>
          <w:sz w:val="15"/>
        </w:rPr>
      </w:pPr>
    </w:p>
    <w:p>
      <w:pPr>
        <w:spacing w:line="208" w:lineRule="auto" w:before="0"/>
        <w:ind w:left="641" w:right="845" w:hanging="240"/>
        <w:jc w:val="both"/>
        <w:rPr>
          <w:sz w:val="12"/>
        </w:rPr>
      </w:pPr>
      <w:r>
        <w:rPr>
          <w:sz w:val="12"/>
        </w:rPr>
        <w:t>(a) The series for used car prices is from the RPI, which excludes prices for new cars. The comparable series shown for new car prices is from the HICP, an index which dates back to 1996.</w:t>
      </w:r>
    </w:p>
    <w:p>
      <w:pPr>
        <w:pStyle w:val="Heading6"/>
        <w:spacing w:line="242" w:lineRule="auto" w:before="87"/>
        <w:ind w:left="400" w:right="351"/>
      </w:pPr>
      <w:r>
        <w:rPr/>
        <w:t>further. Hence some of the particular weakness of household expenditure on vehicles in late 1999 might not persist, particularly once the Competition Commission’s report is published and its implications become clear.</w:t>
      </w:r>
    </w:p>
    <w:p>
      <w:pPr>
        <w:spacing w:after="0" w:line="242" w:lineRule="auto"/>
        <w:sectPr>
          <w:type w:val="continuous"/>
          <w:pgSz w:w="11900" w:h="16840"/>
          <w:pgMar w:top="1220" w:bottom="280" w:left="620" w:right="640"/>
          <w:cols w:num="2" w:equalWidth="0">
            <w:col w:w="5132" w:space="58"/>
            <w:col w:w="5450"/>
          </w:cols>
        </w:sectPr>
      </w:pPr>
    </w:p>
    <w:p>
      <w:pPr>
        <w:pStyle w:val="BodyText"/>
        <w:spacing w:before="6"/>
        <w:rPr>
          <w:sz w:val="15"/>
        </w:rPr>
      </w:pPr>
    </w:p>
    <w:p>
      <w:pPr>
        <w:pStyle w:val="ListParagraph"/>
        <w:numPr>
          <w:ilvl w:val="0"/>
          <w:numId w:val="13"/>
        </w:numPr>
        <w:tabs>
          <w:tab w:pos="631" w:val="left" w:leader="none"/>
        </w:tabs>
        <w:spacing w:line="172" w:lineRule="exact" w:before="0" w:after="0"/>
        <w:ind w:left="630" w:right="0" w:hanging="241"/>
        <w:jc w:val="left"/>
        <w:rPr>
          <w:sz w:val="16"/>
        </w:rPr>
      </w:pPr>
      <w:r>
        <w:rPr>
          <w:sz w:val="16"/>
        </w:rPr>
        <w:t>Competition Commission press release No 21–99, ‘New cars inquiry: statement of possible remedies’, 5 October</w:t>
      </w:r>
      <w:r>
        <w:rPr>
          <w:spacing w:val="8"/>
          <w:sz w:val="16"/>
        </w:rPr>
        <w:t> </w:t>
      </w:r>
      <w:r>
        <w:rPr>
          <w:sz w:val="16"/>
        </w:rPr>
        <w:t>1999.</w:t>
      </w:r>
    </w:p>
    <w:p>
      <w:pPr>
        <w:pStyle w:val="ListParagraph"/>
        <w:numPr>
          <w:ilvl w:val="0"/>
          <w:numId w:val="13"/>
        </w:numPr>
        <w:tabs>
          <w:tab w:pos="630" w:val="left" w:leader="none"/>
        </w:tabs>
        <w:spacing w:line="172" w:lineRule="exact" w:before="0" w:after="0"/>
        <w:ind w:left="630" w:right="0" w:hanging="240"/>
        <w:jc w:val="left"/>
        <w:rPr>
          <w:sz w:val="16"/>
        </w:rPr>
      </w:pPr>
      <w:r>
        <w:rPr>
          <w:sz w:val="16"/>
        </w:rPr>
        <w:t>‘The forecourt revolution: the future of the car industry’, </w:t>
      </w:r>
      <w:r>
        <w:rPr>
          <w:i/>
          <w:sz w:val="16"/>
        </w:rPr>
        <w:t>Consumers’ Association Policy Report</w:t>
      </w:r>
      <w:r>
        <w:rPr>
          <w:sz w:val="16"/>
        </w:rPr>
        <w:t>, January</w:t>
      </w:r>
      <w:r>
        <w:rPr>
          <w:spacing w:val="-28"/>
          <w:sz w:val="16"/>
        </w:rPr>
        <w:t> </w:t>
      </w:r>
      <w:r>
        <w:rPr>
          <w:sz w:val="16"/>
        </w:rPr>
        <w:t>2000.</w:t>
      </w:r>
    </w:p>
    <w:p>
      <w:pPr>
        <w:pStyle w:val="BodyText"/>
        <w:rPr>
          <w:sz w:val="20"/>
        </w:rPr>
      </w:pPr>
    </w:p>
    <w:p>
      <w:pPr>
        <w:pStyle w:val="BodyText"/>
        <w:rPr>
          <w:sz w:val="20"/>
        </w:rPr>
      </w:pPr>
    </w:p>
    <w:p>
      <w:pPr>
        <w:spacing w:after="0"/>
        <w:rPr>
          <w:sz w:val="20"/>
        </w:rPr>
        <w:sectPr>
          <w:type w:val="continuous"/>
          <w:pgSz w:w="11900" w:h="16840"/>
          <w:pgMar w:top="1220" w:bottom="280" w:left="620" w:right="640"/>
        </w:sectPr>
      </w:pPr>
    </w:p>
    <w:p>
      <w:pPr>
        <w:pStyle w:val="BodyText"/>
        <w:spacing w:before="10"/>
        <w:rPr>
          <w:sz w:val="21"/>
        </w:rPr>
      </w:pPr>
    </w:p>
    <w:p>
      <w:pPr>
        <w:pStyle w:val="Heading9"/>
        <w:spacing w:before="0"/>
        <w:ind w:left="193"/>
      </w:pPr>
      <w:r>
        <w:rPr>
          <w:color w:val="0092C7"/>
        </w:rPr>
        <w:t>Chart 2.6</w:t>
      </w:r>
    </w:p>
    <w:p>
      <w:pPr>
        <w:spacing w:line="249" w:lineRule="auto" w:before="10"/>
        <w:ind w:left="193" w:right="19" w:firstLine="0"/>
        <w:jc w:val="left"/>
        <w:rPr>
          <w:b/>
          <w:sz w:val="20"/>
        </w:rPr>
      </w:pPr>
      <w:r>
        <w:rPr>
          <w:b/>
          <w:color w:val="0092C7"/>
          <w:sz w:val="20"/>
        </w:rPr>
        <w:t>Housing market transactions and spending on home-related goods</w:t>
      </w:r>
    </w:p>
    <w:p>
      <w:pPr>
        <w:pStyle w:val="BodyText"/>
        <w:spacing w:before="7"/>
        <w:rPr>
          <w:b/>
          <w:sz w:val="20"/>
        </w:rPr>
      </w:pPr>
      <w:r>
        <w:rPr/>
        <w:br w:type="column"/>
      </w:r>
      <w:r>
        <w:rPr>
          <w:b/>
          <w:sz w:val="20"/>
        </w:rPr>
      </w:r>
    </w:p>
    <w:p>
      <w:pPr>
        <w:spacing w:line="242" w:lineRule="auto" w:before="0"/>
        <w:ind w:left="193" w:right="206" w:firstLine="0"/>
        <w:jc w:val="left"/>
        <w:rPr>
          <w:sz w:val="24"/>
        </w:rPr>
      </w:pPr>
      <w:r>
        <w:rPr>
          <w:sz w:val="24"/>
        </w:rPr>
        <w:t>growth has eased since the beginning of 1999 is spending on durable goods. </w:t>
      </w:r>
      <w:r>
        <w:rPr>
          <w:spacing w:val="-4"/>
          <w:sz w:val="24"/>
        </w:rPr>
        <w:t>However, </w:t>
      </w:r>
      <w:r>
        <w:rPr>
          <w:sz w:val="24"/>
        </w:rPr>
        <w:t>that partly reflects developments in the UK car market, which may</w:t>
      </w:r>
      <w:r>
        <w:rPr>
          <w:spacing w:val="-28"/>
          <w:sz w:val="24"/>
        </w:rPr>
        <w:t> </w:t>
      </w:r>
      <w:r>
        <w:rPr>
          <w:spacing w:val="-3"/>
          <w:sz w:val="24"/>
        </w:rPr>
        <w:t>have</w:t>
      </w:r>
    </w:p>
    <w:p>
      <w:pPr>
        <w:spacing w:after="0" w:line="242" w:lineRule="auto"/>
        <w:jc w:val="left"/>
        <w:rPr>
          <w:sz w:val="24"/>
        </w:rPr>
        <w:sectPr>
          <w:type w:val="continuous"/>
          <w:pgSz w:w="11900" w:h="16840"/>
          <w:pgMar w:top="1220" w:bottom="280" w:left="620" w:right="640"/>
          <w:cols w:num="2" w:equalWidth="0">
            <w:col w:w="3900" w:space="875"/>
            <w:col w:w="5865"/>
          </w:cols>
        </w:sectPr>
      </w:pPr>
    </w:p>
    <w:p>
      <w:pPr>
        <w:spacing w:line="249" w:lineRule="auto" w:before="26"/>
        <w:ind w:left="347" w:right="426" w:firstLine="0"/>
        <w:jc w:val="left"/>
        <w:rPr>
          <w:sz w:val="12"/>
        </w:rPr>
      </w:pPr>
      <w:r>
        <w:rPr>
          <w:sz w:val="12"/>
        </w:rPr>
        <w:t>Percentage change on a quarter earlier</w:t>
      </w:r>
    </w:p>
    <w:p>
      <w:pPr>
        <w:pStyle w:val="BodyText"/>
        <w:spacing w:before="8"/>
        <w:rPr>
          <w:sz w:val="2"/>
        </w:rPr>
      </w:pPr>
    </w:p>
    <w:p>
      <w:pPr>
        <w:pStyle w:val="BodyText"/>
        <w:spacing w:line="20" w:lineRule="exact"/>
        <w:ind w:left="357"/>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tabs>
          <w:tab w:pos="533" w:val="left" w:leader="none"/>
        </w:tabs>
        <w:spacing w:line="118" w:lineRule="exact" w:before="0"/>
        <w:ind w:left="246" w:right="0" w:firstLine="0"/>
        <w:jc w:val="left"/>
        <w:rPr>
          <w:sz w:val="12"/>
        </w:rPr>
      </w:pPr>
      <w:r>
        <w:rPr>
          <w:position w:val="6"/>
          <w:sz w:val="12"/>
        </w:rPr>
        <w:t>8</w:t>
        <w:tab/>
      </w:r>
      <w:r>
        <w:rPr>
          <w:sz w:val="12"/>
        </w:rPr>
        <w:t>Spending on home-related</w:t>
      </w:r>
    </w:p>
    <w:p>
      <w:pPr>
        <w:spacing w:line="138" w:lineRule="exact" w:before="2"/>
        <w:ind w:left="563" w:right="0" w:firstLine="0"/>
        <w:jc w:val="left"/>
        <w:rPr>
          <w:sz w:val="12"/>
        </w:rPr>
      </w:pPr>
      <w:r>
        <w:rPr/>
        <w:pict>
          <v:group style="position:absolute;margin-left:49.127998pt;margin-top:-1.193284pt;width:158.25pt;height:131.9pt;mso-position-horizontal-relative:page;mso-position-vertical-relative:paragraph;z-index:-22238208" coordorigin="983,-24" coordsize="3165,2638">
            <v:line style="position:absolute" from="1113,1299" to="4003,1299" stroked="true" strokeweight=".5pt" strokecolor="#000000">
              <v:stroke dashstyle="solid"/>
            </v:line>
            <v:line style="position:absolute" from="1118,1094" to="1176,664" stroked="true" strokeweight="1pt" strokecolor="#a64991">
              <v:stroke dashstyle="solid"/>
            </v:line>
            <v:line style="position:absolute" from="1166,665" to="1241,665" stroked="true" strokeweight="1.125pt" strokecolor="#a64991">
              <v:stroke dashstyle="solid"/>
            </v:line>
            <v:shape style="position:absolute;left:1230;top:636;width:113;height:278" coordorigin="1231,636" coordsize="113,278" path="m1231,664l1286,914m1286,914l1343,636e" filled="false" stroked="true" strokeweight="1pt" strokecolor="#a64991">
              <v:path arrowok="t"/>
              <v:stroke dashstyle="solid"/>
            </v:shape>
            <v:line style="position:absolute" from="1371,626" to="1371,1229" stroked="true" strokeweight="3.75pt" strokecolor="#a64991">
              <v:stroke dashstyle="solid"/>
            </v:line>
            <v:shape style="position:absolute;left:1388;top:531;width:133;height:698" coordorigin="1388,531" coordsize="133,698" path="m1521,531l1463,531,1443,531,1388,531,1388,1229,1463,1229,1463,1216,1521,1216,1521,531xe" filled="true" fillcolor="#a64991" stroked="false">
              <v:path arrowok="t"/>
              <v:fill type="solid"/>
            </v:shape>
            <v:shape style="position:absolute;left:1510;top:1206;width:123;height:748" coordorigin="1511,1206" coordsize="123,748" path="m1511,1206l1566,1621m1566,1621l1633,1954e" filled="false" stroked="true" strokeweight="1pt" strokecolor="#a64991">
              <v:path arrowok="t"/>
              <v:stroke dashstyle="solid"/>
            </v:shape>
            <v:line style="position:absolute" from="1661,1306" to="1661,1964" stroked="true" strokeweight="3.75pt" strokecolor="#a64991">
              <v:stroke dashstyle="solid"/>
            </v:line>
            <v:line style="position:absolute" from="1688,1316" to="1746,984" stroked="true" strokeweight="1pt" strokecolor="#a64991">
              <v:stroke dashstyle="solid"/>
            </v:line>
            <v:line style="position:absolute" from="1773,974" to="1773,1561" stroked="true" strokeweight="3.75pt" strokecolor="#a64991">
              <v:stroke dashstyle="solid"/>
            </v:line>
            <v:shape style="position:absolute;left:1800;top:803;width:673;height:1233" coordorigin="1801,804" coordsize="673,1233" path="m1801,1551l1858,1621m1858,1621l1913,1719m1913,1719l1968,1539m1968,1539l2026,1121m2026,1121l2081,1566m2081,1566l2136,1261m2136,1261l2193,1121m2193,1121l2248,804m2248,804l2306,874m2306,874l2361,1066m2361,1066l2416,2036m2416,2036l2473,984e" filled="false" stroked="true" strokeweight="1pt" strokecolor="#a64991">
              <v:path arrowok="t"/>
              <v:stroke dashstyle="solid"/>
            </v:shape>
            <v:line style="position:absolute" from="2501,974" to="2501,1604" stroked="true" strokeweight="3.75pt" strokecolor="#a64991">
              <v:stroke dashstyle="solid"/>
            </v:line>
            <v:shape style="position:absolute;left:2528;top:303;width:1030;height:1290" coordorigin="2528,304" coordsize="1030,1290" path="m2528,1594l2596,789m2596,789l2651,1234m2651,1234l2708,304m2708,304l2763,1329m2763,1329l2818,1164m2818,1164l2876,1136m2876,1136l2931,1441m2931,1441l2988,1176m2988,1176l3043,1081m3043,1081l3098,914m3098,914l3156,969m3156,969l3211,941m3211,941l3266,956m3266,956l3323,859m3323,859l3378,526m3378,526l3436,721m3436,721l3491,929m3491,929l3558,761e" filled="false" stroked="true" strokeweight="1pt" strokecolor="#a64991">
              <v:path arrowok="t"/>
              <v:stroke dashstyle="solid"/>
            </v:shape>
            <v:line style="position:absolute" from="3586,751" to="3586,1396" stroked="true" strokeweight="3.75pt" strokecolor="#a64991">
              <v:stroke dashstyle="solid"/>
            </v:line>
            <v:shape style="position:absolute;left:3613;top:1038;width:335;height:900" coordorigin="3613,1039" coordsize="335,900" path="m3613,1386l3671,1289m3671,1289l3726,1469m3726,1469l3781,1939m3781,1939l3838,1039m3838,1039l3893,1301m3893,1301l3948,1081e" filled="false" stroked="true" strokeweight="1pt" strokecolor="#a64991">
              <v:path arrowok="t"/>
              <v:stroke dashstyle="solid"/>
            </v:shape>
            <v:shape style="position:absolute;left:1118;top:663;width:280;height:790" coordorigin="1118,664" coordsize="280,790" path="m1118,1454l1176,1441m1176,1441l1231,664m1231,664l1286,1136m1286,1136l1343,1149m1343,1149l1398,1329e" filled="false" stroked="true" strokeweight="1pt" strokecolor="#009391">
              <v:path arrowok="t"/>
              <v:stroke dashstyle="solid"/>
            </v:shape>
            <v:line style="position:absolute" from="1426,696" to="1426,1339" stroked="true" strokeweight="3.75pt" strokecolor="#009391">
              <v:stroke dashstyle="solid"/>
            </v:line>
            <v:shape style="position:absolute;left:1453;top:-14;width:1198;height:2618" coordorigin="1453,-14" coordsize="1198,2618" path="m1453,706l1511,2079m1511,2079l1566,2051m1566,2051l1633,1689m1633,1689l1688,1841m1688,1841l1746,1344m1746,1344l1801,1206m1801,1206l1858,1426m1858,1426l1913,1939m1913,1939l1968,1176m1968,1176l2026,1066m2026,1066l2081,1551m2081,1551l2136,1481m2136,1481l2193,1649m2193,1649l2248,2009m2248,2009l2306,1191m2306,1191l2361,-14m2361,-14l2416,2604m2416,2604l2473,1164m2473,1164l2528,816m2528,816l2596,679m2596,679l2651,1176e" filled="false" stroked="true" strokeweight="1pt" strokecolor="#009391">
              <v:path arrowok="t"/>
              <v:stroke dashstyle="solid"/>
            </v:shape>
            <v:shape style="position:absolute;left:2640;top:1166;width:468;height:520" type="#_x0000_t75" stroked="false">
              <v:imagedata r:id="rId75" o:title=""/>
            </v:shape>
            <v:line style="position:absolute" from="3127,946" to="3127,1549" stroked="true" strokeweight="3.875pt" strokecolor="#009391">
              <v:stroke dashstyle="solid"/>
            </v:line>
            <v:shape style="position:absolute;left:3155;top:623;width:280;height:720" coordorigin="3156,624" coordsize="280,720" path="m3156,956l3211,914m3211,914l3266,1039m3266,1039l3323,624m3323,624l3378,1109m3378,1109l3436,1344e" filled="false" stroked="true" strokeweight="1pt" strokecolor="#009391">
              <v:path arrowok="t"/>
              <v:stroke dashstyle="solid"/>
            </v:shape>
            <v:line style="position:absolute" from="3426,1345" to="3501,1345" stroked="true" strokeweight="1.125pt" strokecolor="#009391">
              <v:stroke dashstyle="solid"/>
            </v:line>
            <v:shape style="position:absolute;left:3490;top:1081;width:235;height:485" coordorigin="3491,1081" coordsize="235,485" path="m3491,1344l3558,1191m3558,1191l3613,1566m3613,1566l3671,1539m3671,1539l3726,1081e" filled="false" stroked="true" strokeweight="1pt" strokecolor="#009391">
              <v:path arrowok="t"/>
              <v:stroke dashstyle="solid"/>
            </v:shape>
            <v:line style="position:absolute" from="3753,1071" to="3753,1659" stroked="true" strokeweight="3.75pt" strokecolor="#009391">
              <v:stroke dashstyle="solid"/>
            </v:line>
            <v:line style="position:absolute" from="3810,919" to="3810,1659" stroked="true" strokeweight="3.875pt" strokecolor="#009391">
              <v:stroke dashstyle="solid"/>
            </v:line>
            <v:line style="position:absolute" from="3838,929" to="3893,1054" stroked="true" strokeweight="1pt" strokecolor="#009391">
              <v:stroke dashstyle="solid"/>
            </v:line>
            <v:line style="position:absolute" from="3883,1055" to="3958,1055" stroked="true" strokeweight="1.125pt" strokecolor="#009391">
              <v:stroke dashstyle="solid"/>
            </v:line>
            <v:line style="position:absolute" from="3948,1054" to="4006,1261" stroked="true" strokeweight="1pt" strokecolor="#009391">
              <v:stroke dashstyle="solid"/>
            </v:line>
            <v:shape style="position:absolute;left:982;top:146;width:3165;height:2300" coordorigin="983,146" coordsize="3165,2300" path="m1069,947l983,947m1069,1299l983,1299m1069,1665l983,1665m1069,2027l983,2027m1069,2386l983,2386m1069,219l983,219m1069,586l983,586m4147,1012l4060,1012m4147,1299l4060,1299m4147,1885l4060,1885m4147,2165l4060,2165m4147,2446l4060,2446m4147,146l4060,146m4147,440l4060,440m4147,719l4060,719m4147,1592l4060,1592m1537,285l2160,909e" filled="false" stroked="true" strokeweight=".5pt" strokecolor="#000000">
              <v:path arrowok="t"/>
              <v:stroke dashstyle="solid"/>
            </v:shape>
            <v:shape style="position:absolute;left:2130;top:878;width:78;height:78" coordorigin="2130,879" coordsize="78,78" path="m2166,879l2130,915,2146,921,2158,927,2208,957,2203,949,2197,940,2191,930,2184,918,2179,907,2166,879xe" filled="true" fillcolor="#000000" stroked="false">
              <v:path arrowok="t"/>
              <v:fill type="solid"/>
            </v:shape>
            <w10:wrap type="none"/>
          </v:group>
        </w:pict>
      </w:r>
      <w:r>
        <w:rPr>
          <w:sz w:val="12"/>
        </w:rPr>
        <w:t>goods (a)</w:t>
      </w:r>
    </w:p>
    <w:p>
      <w:pPr>
        <w:tabs>
          <w:tab w:pos="563" w:val="left" w:leader="none"/>
        </w:tabs>
        <w:spacing w:line="626" w:lineRule="auto" w:before="0"/>
        <w:ind w:left="246" w:right="491" w:firstLine="0"/>
        <w:jc w:val="left"/>
        <w:rPr>
          <w:sz w:val="12"/>
        </w:rPr>
      </w:pPr>
      <w:r>
        <w:rPr>
          <w:sz w:val="12"/>
        </w:rPr>
        <w:t>6</w:t>
        <w:tab/>
      </w:r>
      <w:r>
        <w:rPr>
          <w:position w:val="2"/>
          <w:sz w:val="12"/>
        </w:rPr>
        <w:t>(left-hand </w:t>
      </w:r>
      <w:r>
        <w:rPr>
          <w:spacing w:val="-3"/>
          <w:position w:val="2"/>
          <w:sz w:val="12"/>
        </w:rPr>
        <w:t>scale)</w:t>
      </w:r>
      <w:r>
        <w:rPr>
          <w:spacing w:val="-3"/>
          <w:sz w:val="12"/>
        </w:rPr>
        <w:t> </w:t>
      </w:r>
      <w:r>
        <w:rPr>
          <w:sz w:val="12"/>
        </w:rPr>
        <w:t>4</w:t>
      </w:r>
    </w:p>
    <w:p>
      <w:pPr>
        <w:spacing w:line="138" w:lineRule="exact" w:before="0"/>
        <w:ind w:left="246" w:right="0" w:firstLine="0"/>
        <w:jc w:val="left"/>
        <w:rPr>
          <w:sz w:val="12"/>
        </w:rPr>
      </w:pPr>
      <w:r>
        <w:rPr>
          <w:sz w:val="12"/>
        </w:rPr>
        <w:t>2</w:t>
      </w:r>
    </w:p>
    <w:p>
      <w:pPr>
        <w:spacing w:line="140" w:lineRule="atLeast" w:before="33"/>
        <w:ind w:left="533" w:right="159" w:hanging="287"/>
        <w:jc w:val="left"/>
        <w:rPr>
          <w:sz w:val="12"/>
        </w:rPr>
      </w:pPr>
      <w:r>
        <w:rPr/>
        <w:br w:type="column"/>
      </w:r>
      <w:r>
        <w:rPr>
          <w:sz w:val="12"/>
        </w:rPr>
        <w:t>Percentage change on a quarter earlier</w:t>
      </w:r>
    </w:p>
    <w:p>
      <w:pPr>
        <w:pStyle w:val="BodyText"/>
        <w:spacing w:before="7"/>
        <w:rPr>
          <w:sz w:val="2"/>
        </w:rPr>
      </w:pPr>
    </w:p>
    <w:p>
      <w:pPr>
        <w:pStyle w:val="BodyText"/>
        <w:spacing w:line="20" w:lineRule="exact"/>
        <w:ind w:left="117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line="56" w:lineRule="exact" w:before="0"/>
        <w:ind w:left="1311" w:right="0" w:firstLine="0"/>
        <w:jc w:val="left"/>
        <w:rPr>
          <w:sz w:val="12"/>
        </w:rPr>
      </w:pPr>
      <w:r>
        <w:rPr>
          <w:sz w:val="12"/>
        </w:rPr>
        <w:t>25</w:t>
      </w:r>
    </w:p>
    <w:p>
      <w:pPr>
        <w:pStyle w:val="BodyText"/>
        <w:spacing w:before="5"/>
        <w:rPr>
          <w:sz w:val="13"/>
        </w:rPr>
      </w:pPr>
    </w:p>
    <w:p>
      <w:pPr>
        <w:spacing w:before="0"/>
        <w:ind w:left="0" w:right="38" w:firstLine="0"/>
        <w:jc w:val="right"/>
        <w:rPr>
          <w:sz w:val="12"/>
        </w:rPr>
      </w:pPr>
      <w:r>
        <w:rPr>
          <w:sz w:val="12"/>
        </w:rPr>
        <w:t>20</w:t>
      </w:r>
    </w:p>
    <w:p>
      <w:pPr>
        <w:pStyle w:val="BodyText"/>
        <w:spacing w:before="2"/>
        <w:rPr>
          <w:sz w:val="13"/>
        </w:rPr>
      </w:pPr>
    </w:p>
    <w:p>
      <w:pPr>
        <w:spacing w:before="0"/>
        <w:ind w:left="0" w:right="38" w:firstLine="0"/>
        <w:jc w:val="right"/>
        <w:rPr>
          <w:sz w:val="12"/>
        </w:rPr>
      </w:pPr>
      <w:r>
        <w:rPr>
          <w:sz w:val="12"/>
        </w:rPr>
        <w:t>15</w:t>
      </w:r>
    </w:p>
    <w:p>
      <w:pPr>
        <w:pStyle w:val="BodyText"/>
        <w:spacing w:before="2"/>
        <w:rPr>
          <w:sz w:val="12"/>
        </w:rPr>
      </w:pPr>
    </w:p>
    <w:p>
      <w:pPr>
        <w:spacing w:before="0"/>
        <w:ind w:left="0" w:right="38" w:firstLine="0"/>
        <w:jc w:val="right"/>
        <w:rPr>
          <w:sz w:val="12"/>
        </w:rPr>
      </w:pPr>
      <w:r>
        <w:rPr>
          <w:sz w:val="12"/>
        </w:rPr>
        <w:t>10</w:t>
      </w:r>
    </w:p>
    <w:p>
      <w:pPr>
        <w:pStyle w:val="BodyText"/>
        <w:spacing w:before="2"/>
        <w:rPr>
          <w:sz w:val="13"/>
        </w:rPr>
      </w:pPr>
    </w:p>
    <w:p>
      <w:pPr>
        <w:spacing w:line="129" w:lineRule="exact" w:before="0"/>
        <w:ind w:left="1371" w:right="0" w:firstLine="0"/>
        <w:jc w:val="left"/>
        <w:rPr>
          <w:sz w:val="12"/>
        </w:rPr>
      </w:pPr>
      <w:r>
        <w:rPr>
          <w:sz w:val="12"/>
        </w:rPr>
        <w:t>5</w:t>
      </w:r>
    </w:p>
    <w:p>
      <w:pPr>
        <w:pStyle w:val="Heading6"/>
        <w:spacing w:line="280" w:lineRule="atLeast"/>
        <w:ind w:left="246" w:right="119"/>
      </w:pPr>
      <w:r>
        <w:rPr/>
        <w:br w:type="column"/>
      </w:r>
      <w:r>
        <w:rPr/>
        <w:t>depressed consumer spending on vehicles in recent months, perhaps temporarily. Excluding vehicles, spending on durable goods accelerated in 1999 Q3. That was consistent with higher levels of activity in the housing market (see Chart 2.6)—home-related items account for close to two thirds of non-vehicle durable</w:t>
      </w:r>
    </w:p>
    <w:p>
      <w:pPr>
        <w:spacing w:after="0" w:line="280" w:lineRule="atLeast"/>
        <w:sectPr>
          <w:type w:val="continuous"/>
          <w:pgSz w:w="11900" w:h="16840"/>
          <w:pgMar w:top="1220" w:bottom="280" w:left="620" w:right="640"/>
          <w:cols w:num="3" w:equalWidth="0">
            <w:col w:w="1840" w:space="424"/>
            <w:col w:w="1472" w:space="986"/>
            <w:col w:w="5918"/>
          </w:cols>
        </w:sectPr>
      </w:pPr>
    </w:p>
    <w:p>
      <w:pPr>
        <w:tabs>
          <w:tab w:pos="3504" w:val="left" w:leader="none"/>
        </w:tabs>
        <w:spacing w:line="31" w:lineRule="exact" w:before="0"/>
        <w:ind w:left="284" w:right="0" w:firstLine="0"/>
        <w:jc w:val="left"/>
        <w:rPr>
          <w:sz w:val="16"/>
        </w:rPr>
      </w:pPr>
      <w:r>
        <w:rPr>
          <w:sz w:val="16"/>
        </w:rPr>
        <w:t>+</w:t>
        <w:tab/>
        <w:t>+</w:t>
      </w:r>
    </w:p>
    <w:p>
      <w:pPr>
        <w:tabs>
          <w:tab w:pos="3635" w:val="left" w:leader="none"/>
          <w:tab w:pos="4968" w:val="left" w:leader="none"/>
        </w:tabs>
        <w:spacing w:line="250" w:lineRule="exact" w:before="0"/>
        <w:ind w:left="246" w:right="0" w:firstLine="0"/>
        <w:jc w:val="left"/>
        <w:rPr>
          <w:sz w:val="24"/>
        </w:rPr>
      </w:pPr>
      <w:r>
        <w:rPr/>
        <w:pict>
          <v:shape style="position:absolute;margin-left:45.752174pt;margin-top:7.58114pt;width:164.5pt;height:8.9pt;mso-position-horizontal-relative:page;mso-position-vertical-relative:paragraph;z-index:-22236672" type="#_x0000_t202" filled="false" stroked="false">
            <v:textbox inset="0,0,0,0">
              <w:txbxContent>
                <w:p>
                  <w:pPr>
                    <w:tabs>
                      <w:tab w:pos="3209" w:val="left" w:leader="none"/>
                    </w:tabs>
                    <w:spacing w:line="177" w:lineRule="exact" w:before="0"/>
                    <w:ind w:left="0" w:right="0" w:firstLine="0"/>
                    <w:jc w:val="left"/>
                    <w:rPr>
                      <w:sz w:val="16"/>
                    </w:rPr>
                  </w:pPr>
                  <w:r>
                    <w:rPr>
                      <w:sz w:val="16"/>
                    </w:rPr>
                    <w:t>–</w:t>
                    <w:tab/>
                  </w:r>
                  <w:r>
                    <w:rPr>
                      <w:spacing w:val="-20"/>
                      <w:sz w:val="16"/>
                    </w:rPr>
                    <w:t>–</w:t>
                  </w:r>
                </w:p>
              </w:txbxContent>
            </v:textbox>
            <w10:wrap type="none"/>
          </v:shape>
        </w:pict>
      </w:r>
      <w:r>
        <w:rPr>
          <w:position w:val="7"/>
          <w:sz w:val="12"/>
        </w:rPr>
        <w:t>0</w:t>
        <w:tab/>
        <w:t>0</w:t>
        <w:tab/>
      </w:r>
      <w:r>
        <w:rPr>
          <w:sz w:val="24"/>
        </w:rPr>
        <w:t>goods</w:t>
      </w:r>
      <w:r>
        <w:rPr>
          <w:spacing w:val="-2"/>
          <w:sz w:val="24"/>
        </w:rPr>
        <w:t> </w:t>
      </w:r>
      <w:r>
        <w:rPr>
          <w:sz w:val="24"/>
        </w:rPr>
        <w:t>spending.</w:t>
      </w:r>
    </w:p>
    <w:p>
      <w:pPr>
        <w:tabs>
          <w:tab w:pos="3635" w:val="left" w:leader="none"/>
        </w:tabs>
        <w:spacing w:before="53"/>
        <w:ind w:left="246" w:right="0" w:firstLine="0"/>
        <w:jc w:val="left"/>
        <w:rPr>
          <w:sz w:val="12"/>
        </w:rPr>
      </w:pPr>
      <w:r>
        <w:rPr>
          <w:position w:val="-6"/>
          <w:sz w:val="12"/>
        </w:rPr>
        <w:t>2</w:t>
        <w:tab/>
      </w:r>
      <w:r>
        <w:rPr>
          <w:sz w:val="12"/>
        </w:rPr>
        <w:t>5</w:t>
      </w:r>
    </w:p>
    <w:p>
      <w:pPr>
        <w:spacing w:after="0"/>
        <w:jc w:val="left"/>
        <w:rPr>
          <w:sz w:val="12"/>
        </w:rPr>
        <w:sectPr>
          <w:type w:val="continuous"/>
          <w:pgSz w:w="11900" w:h="16840"/>
          <w:pgMar w:top="1220" w:bottom="280" w:left="620" w:right="640"/>
        </w:sectPr>
      </w:pPr>
    </w:p>
    <w:p>
      <w:pPr>
        <w:pStyle w:val="BodyText"/>
        <w:rPr>
          <w:sz w:val="12"/>
        </w:rPr>
      </w:pPr>
    </w:p>
    <w:p>
      <w:pPr>
        <w:spacing w:before="85"/>
        <w:ind w:left="246" w:right="0" w:firstLine="0"/>
        <w:jc w:val="left"/>
        <w:rPr>
          <w:sz w:val="12"/>
        </w:rPr>
      </w:pPr>
      <w:r>
        <w:rPr>
          <w:sz w:val="12"/>
        </w:rPr>
        <w:t>4</w:t>
      </w:r>
    </w:p>
    <w:p>
      <w:pPr>
        <w:pStyle w:val="BodyText"/>
        <w:rPr>
          <w:sz w:val="12"/>
        </w:rPr>
      </w:pPr>
    </w:p>
    <w:p>
      <w:pPr>
        <w:spacing w:before="84"/>
        <w:ind w:left="246" w:right="0" w:firstLine="0"/>
        <w:jc w:val="left"/>
        <w:rPr>
          <w:sz w:val="12"/>
        </w:rPr>
      </w:pPr>
      <w:r>
        <w:rPr>
          <w:sz w:val="12"/>
        </w:rPr>
        <w:t>6</w:t>
      </w:r>
    </w:p>
    <w:p>
      <w:pPr>
        <w:pStyle w:val="BodyText"/>
        <w:rPr>
          <w:sz w:val="12"/>
        </w:rPr>
      </w:pPr>
    </w:p>
    <w:p>
      <w:pPr>
        <w:tabs>
          <w:tab w:pos="507" w:val="left" w:leader="none"/>
          <w:tab w:pos="1004" w:val="left" w:leader="none"/>
        </w:tabs>
        <w:spacing w:before="86"/>
        <w:ind w:left="246" w:right="0" w:firstLine="0"/>
        <w:jc w:val="left"/>
        <w:rPr>
          <w:sz w:val="12"/>
        </w:rPr>
      </w:pPr>
      <w:r>
        <w:rPr>
          <w:position w:val="7"/>
          <w:sz w:val="12"/>
        </w:rPr>
        <w:t>8</w:t>
        <w:tab/>
      </w:r>
      <w:r>
        <w:rPr>
          <w:sz w:val="12"/>
        </w:rPr>
        <w:t>1987</w:t>
        <w:tab/>
        <w:t>89</w:t>
      </w:r>
    </w:p>
    <w:p>
      <w:pPr>
        <w:pStyle w:val="BodyText"/>
        <w:rPr>
          <w:sz w:val="12"/>
        </w:rPr>
      </w:pPr>
      <w:r>
        <w:rPr/>
        <w:br w:type="column"/>
      </w:r>
      <w:r>
        <w:rPr>
          <w:sz w:val="12"/>
        </w:rPr>
      </w:r>
    </w:p>
    <w:p>
      <w:pPr>
        <w:pStyle w:val="BodyText"/>
        <w:rPr>
          <w:sz w:val="12"/>
        </w:rPr>
      </w:pPr>
    </w:p>
    <w:p>
      <w:pPr>
        <w:pStyle w:val="BodyText"/>
        <w:rPr>
          <w:sz w:val="14"/>
        </w:rPr>
      </w:pPr>
    </w:p>
    <w:p>
      <w:pPr>
        <w:spacing w:line="242" w:lineRule="auto" w:before="0"/>
        <w:ind w:left="643" w:right="224" w:hanging="30"/>
        <w:jc w:val="left"/>
        <w:rPr>
          <w:sz w:val="12"/>
        </w:rPr>
      </w:pPr>
      <w:r>
        <w:rPr>
          <w:sz w:val="12"/>
        </w:rPr>
        <w:t>Housing market transactions (b) (right-hand scale)</w:t>
      </w:r>
    </w:p>
    <w:p>
      <w:pPr>
        <w:pStyle w:val="BodyText"/>
        <w:spacing w:before="10"/>
        <w:rPr>
          <w:sz w:val="13"/>
        </w:rPr>
      </w:pPr>
    </w:p>
    <w:p>
      <w:pPr>
        <w:tabs>
          <w:tab w:pos="694" w:val="left" w:leader="none"/>
          <w:tab w:pos="1151" w:val="left" w:leader="none"/>
          <w:tab w:pos="1599" w:val="left" w:leader="none"/>
        </w:tabs>
        <w:spacing w:before="0"/>
        <w:ind w:left="246" w:right="0" w:firstLine="0"/>
        <w:jc w:val="left"/>
        <w:rPr>
          <w:sz w:val="12"/>
        </w:rPr>
      </w:pPr>
      <w:r>
        <w:rPr>
          <w:sz w:val="12"/>
        </w:rPr>
        <w:t>91</w:t>
        <w:tab/>
        <w:t>93</w:t>
        <w:tab/>
        <w:t>95</w:t>
        <w:tab/>
      </w:r>
      <w:r>
        <w:rPr>
          <w:spacing w:val="-10"/>
          <w:sz w:val="12"/>
        </w:rPr>
        <w:t>97</w:t>
      </w:r>
    </w:p>
    <w:p>
      <w:pPr>
        <w:spacing w:before="82"/>
        <w:ind w:left="0" w:right="38" w:firstLine="0"/>
        <w:jc w:val="right"/>
        <w:rPr>
          <w:sz w:val="12"/>
        </w:rPr>
      </w:pPr>
      <w:r>
        <w:rPr/>
        <w:br w:type="column"/>
      </w:r>
      <w:r>
        <w:rPr>
          <w:sz w:val="12"/>
        </w:rPr>
        <w:t>10</w:t>
      </w:r>
    </w:p>
    <w:p>
      <w:pPr>
        <w:pStyle w:val="BodyText"/>
        <w:spacing w:before="1"/>
        <w:rPr>
          <w:sz w:val="12"/>
        </w:rPr>
      </w:pPr>
    </w:p>
    <w:p>
      <w:pPr>
        <w:spacing w:before="1"/>
        <w:ind w:left="0" w:right="38" w:firstLine="0"/>
        <w:jc w:val="right"/>
        <w:rPr>
          <w:sz w:val="12"/>
        </w:rPr>
      </w:pPr>
      <w:r>
        <w:rPr>
          <w:sz w:val="12"/>
        </w:rPr>
        <w:t>15</w:t>
      </w:r>
    </w:p>
    <w:p>
      <w:pPr>
        <w:pStyle w:val="BodyText"/>
        <w:spacing w:before="2"/>
        <w:rPr>
          <w:sz w:val="13"/>
        </w:rPr>
      </w:pPr>
    </w:p>
    <w:p>
      <w:pPr>
        <w:spacing w:before="0"/>
        <w:ind w:left="0" w:right="38" w:firstLine="0"/>
        <w:jc w:val="right"/>
        <w:rPr>
          <w:sz w:val="12"/>
        </w:rPr>
      </w:pPr>
      <w:r>
        <w:rPr>
          <w:sz w:val="12"/>
        </w:rPr>
        <w:t>20</w:t>
      </w:r>
    </w:p>
    <w:p>
      <w:pPr>
        <w:pStyle w:val="BodyText"/>
        <w:spacing w:before="5"/>
        <w:rPr>
          <w:sz w:val="13"/>
        </w:rPr>
      </w:pPr>
    </w:p>
    <w:p>
      <w:pPr>
        <w:spacing w:before="0"/>
        <w:ind w:left="246" w:right="0" w:firstLine="0"/>
        <w:jc w:val="left"/>
        <w:rPr>
          <w:sz w:val="12"/>
        </w:rPr>
      </w:pPr>
      <w:r>
        <w:rPr/>
        <w:pict>
          <v:shape style="position:absolute;margin-left:49.127998pt;margin-top:.184858pt;width:158.25pt;height:3.25pt;mso-position-horizontal-relative:page;mso-position-vertical-relative:paragraph;z-index:-22237696" coordorigin="983,4" coordsize="3165,65" path="m1069,58l983,58m1113,15l1113,68m4004,15l4004,68m4147,58l4060,58m1344,15l1344,68m1563,15l1563,68m1124,63l4014,63m1793,4l1793,57m2024,4l2024,57m2243,4l2243,57m2473,4l2473,57m2704,4l2704,57m2923,4l2923,57m3153,4l3153,57m3373,4l3373,57m3613,4l3613,57m3833,4l3833,57e" filled="false" stroked="true" strokeweight=".5pt" strokecolor="#000000">
            <v:path arrowok="t"/>
            <v:stroke dashstyle="solid"/>
            <w10:wrap type="none"/>
          </v:shape>
        </w:pict>
      </w:r>
      <w:r>
        <w:rPr>
          <w:position w:val="-6"/>
          <w:sz w:val="12"/>
        </w:rPr>
        <w:t>99     </w:t>
      </w:r>
      <w:r>
        <w:rPr>
          <w:spacing w:val="5"/>
          <w:position w:val="-6"/>
          <w:sz w:val="12"/>
        </w:rPr>
        <w:t> </w:t>
      </w:r>
      <w:r>
        <w:rPr>
          <w:sz w:val="12"/>
        </w:rPr>
        <w:t>25</w:t>
      </w:r>
    </w:p>
    <w:p>
      <w:pPr>
        <w:pStyle w:val="Heading6"/>
        <w:spacing w:line="242" w:lineRule="auto" w:before="23"/>
        <w:ind w:left="246" w:right="300"/>
      </w:pPr>
      <w:r>
        <w:rPr/>
        <w:br w:type="column"/>
      </w:r>
      <w:r>
        <w:rPr/>
        <w:t>Data on new car registrations suggest that vehicle sales were particularly weak between October 1999 and January 2000, perhaps in anticipation of the outcome of the Competition Commission’s investigation into car</w:t>
      </w:r>
    </w:p>
    <w:p>
      <w:pPr>
        <w:spacing w:after="0" w:line="242" w:lineRule="auto"/>
        <w:sectPr>
          <w:type w:val="continuous"/>
          <w:pgSz w:w="11900" w:h="16840"/>
          <w:pgMar w:top="1220" w:bottom="280" w:left="620" w:right="640"/>
          <w:cols w:num="4" w:equalWidth="0">
            <w:col w:w="1166" w:space="66"/>
            <w:col w:w="1720" w:space="72"/>
            <w:col w:w="712" w:space="986"/>
            <w:col w:w="5918"/>
          </w:cols>
        </w:sectPr>
      </w:pPr>
    </w:p>
    <w:p>
      <w:pPr>
        <w:pStyle w:val="BodyText"/>
        <w:spacing w:before="5"/>
        <w:rPr>
          <w:sz w:val="10"/>
        </w:rPr>
      </w:pPr>
    </w:p>
    <w:p>
      <w:pPr>
        <w:spacing w:before="0"/>
        <w:ind w:left="184" w:right="0" w:firstLine="0"/>
        <w:jc w:val="left"/>
        <w:rPr>
          <w:sz w:val="12"/>
        </w:rPr>
      </w:pPr>
      <w:r>
        <w:rPr>
          <w:sz w:val="12"/>
        </w:rPr>
        <w:t>Sources: ONS and Inland Revenue.</w:t>
      </w:r>
    </w:p>
    <w:p>
      <w:pPr>
        <w:pStyle w:val="BodyText"/>
        <w:spacing w:before="1"/>
        <w:rPr>
          <w:sz w:val="10"/>
        </w:rPr>
      </w:pPr>
    </w:p>
    <w:p>
      <w:pPr>
        <w:pStyle w:val="ListParagraph"/>
        <w:numPr>
          <w:ilvl w:val="0"/>
          <w:numId w:val="14"/>
        </w:numPr>
        <w:tabs>
          <w:tab w:pos="425" w:val="left" w:leader="none"/>
        </w:tabs>
        <w:spacing w:line="208" w:lineRule="auto" w:before="1" w:after="0"/>
        <w:ind w:left="424" w:right="38" w:hanging="240"/>
        <w:jc w:val="left"/>
        <w:rPr>
          <w:sz w:val="12"/>
        </w:rPr>
      </w:pPr>
      <w:r>
        <w:rPr>
          <w:sz w:val="12"/>
        </w:rPr>
        <w:t>At constant 1995 prices. Home-related goods are defined as furniture, floor coverings and major</w:t>
      </w:r>
      <w:r>
        <w:rPr>
          <w:spacing w:val="-6"/>
          <w:sz w:val="12"/>
        </w:rPr>
        <w:t> </w:t>
      </w:r>
      <w:r>
        <w:rPr>
          <w:sz w:val="12"/>
        </w:rPr>
        <w:t>appliances.</w:t>
      </w:r>
    </w:p>
    <w:p>
      <w:pPr>
        <w:pStyle w:val="ListParagraph"/>
        <w:numPr>
          <w:ilvl w:val="0"/>
          <w:numId w:val="14"/>
        </w:numPr>
        <w:tabs>
          <w:tab w:pos="425" w:val="left" w:leader="none"/>
        </w:tabs>
        <w:spacing w:line="123" w:lineRule="exact" w:before="0" w:after="0"/>
        <w:ind w:left="424" w:right="0" w:hanging="241"/>
        <w:jc w:val="left"/>
        <w:rPr>
          <w:sz w:val="12"/>
        </w:rPr>
      </w:pPr>
      <w:r>
        <w:rPr>
          <w:sz w:val="12"/>
        </w:rPr>
        <w:t>Particulars delivered to estate agents in England and</w:t>
      </w:r>
      <w:r>
        <w:rPr>
          <w:spacing w:val="-21"/>
          <w:sz w:val="12"/>
        </w:rPr>
        <w:t> </w:t>
      </w:r>
      <w:r>
        <w:rPr>
          <w:sz w:val="12"/>
        </w:rPr>
        <w:t>Wales.</w:t>
      </w:r>
    </w:p>
    <w:p>
      <w:pPr>
        <w:pStyle w:val="Heading6"/>
        <w:spacing w:line="242" w:lineRule="auto"/>
        <w:ind w:left="184" w:right="913"/>
      </w:pPr>
      <w:r>
        <w:rPr/>
        <w:br w:type="column"/>
      </w:r>
      <w:r>
        <w:rPr/>
        <w:t>retailing</w:t>
      </w:r>
      <w:hyperlink w:history="true" w:anchor="_bookmark13">
        <w:r>
          <w:rPr/>
          <w:t> (see the box opposite).</w:t>
        </w:r>
      </w:hyperlink>
      <w:r>
        <w:rPr/>
        <w:t> By contrast, non-vehicle consumption growth appears to have</w:t>
      </w:r>
    </w:p>
    <w:p>
      <w:pPr>
        <w:spacing w:line="242" w:lineRule="auto" w:before="0"/>
        <w:ind w:left="184" w:right="201" w:firstLine="0"/>
        <w:jc w:val="left"/>
        <w:rPr>
          <w:sz w:val="24"/>
        </w:rPr>
      </w:pPr>
      <w:r>
        <w:rPr>
          <w:sz w:val="24"/>
        </w:rPr>
        <w:t>remained strong in 1999 Q4. Retail sales volumes in the three months to December were 1.3% higher than in the previous three months (see Chart 2.7), and 4.7% above their level in the same period a year earlier. As noted in Section 1, that is consistent with recent movements in household borrowing for consumption, which grew rapidly in earlier quarters and accelerated further in Q4.</w:t>
      </w:r>
    </w:p>
    <w:p>
      <w:pPr>
        <w:spacing w:line="242" w:lineRule="auto" w:before="1"/>
        <w:ind w:left="184" w:right="455" w:firstLine="0"/>
        <w:jc w:val="left"/>
        <w:rPr>
          <w:sz w:val="24"/>
        </w:rPr>
      </w:pPr>
      <w:r>
        <w:rPr>
          <w:sz w:val="24"/>
        </w:rPr>
        <w:t>The particular strength of consumer expenditure towards the end of 1999 may have partly reflected</w:t>
      </w:r>
    </w:p>
    <w:p>
      <w:pPr>
        <w:spacing w:after="0" w:line="242" w:lineRule="auto"/>
        <w:jc w:val="left"/>
        <w:rPr>
          <w:sz w:val="24"/>
        </w:rPr>
        <w:sectPr>
          <w:type w:val="continuous"/>
          <w:pgSz w:w="11900" w:h="16840"/>
          <w:pgMar w:top="1220" w:bottom="280" w:left="620" w:right="640"/>
          <w:cols w:num="2" w:equalWidth="0">
            <w:col w:w="3843" w:space="942"/>
            <w:col w:w="5855"/>
          </w:cols>
        </w:sectPr>
      </w:pPr>
    </w:p>
    <w:p>
      <w:pPr>
        <w:pStyle w:val="BodyText"/>
        <w:rPr>
          <w:sz w:val="20"/>
        </w:rPr>
      </w:pPr>
    </w:p>
    <w:p>
      <w:pPr>
        <w:spacing w:after="0"/>
        <w:rPr>
          <w:sz w:val="20"/>
        </w:rPr>
        <w:sectPr>
          <w:headerReference w:type="even" r:id="rId76"/>
          <w:headerReference w:type="default" r:id="rId77"/>
          <w:footerReference w:type="even" r:id="rId78"/>
          <w:footerReference w:type="default" r:id="rId79"/>
          <w:pgSz w:w="11900" w:h="16840"/>
          <w:pgMar w:header="586" w:footer="597" w:top="780" w:bottom="780" w:left="620" w:right="640"/>
          <w:pgNumType w:start="18"/>
        </w:sectPr>
      </w:pPr>
    </w:p>
    <w:p>
      <w:pPr>
        <w:pStyle w:val="BodyText"/>
        <w:spacing w:before="5"/>
        <w:rPr>
          <w:sz w:val="19"/>
        </w:rPr>
      </w:pPr>
    </w:p>
    <w:p>
      <w:pPr>
        <w:pStyle w:val="Heading9"/>
        <w:spacing w:before="0"/>
        <w:ind w:left="181"/>
      </w:pPr>
      <w:r>
        <w:rPr>
          <w:color w:val="0092C7"/>
        </w:rPr>
        <w:t>Chart 2.7</w:t>
      </w:r>
    </w:p>
    <w:p>
      <w:pPr>
        <w:spacing w:before="10"/>
        <w:ind w:left="181" w:right="0" w:firstLine="0"/>
        <w:jc w:val="left"/>
        <w:rPr>
          <w:b/>
          <w:sz w:val="20"/>
        </w:rPr>
      </w:pPr>
      <w:r>
        <w:rPr>
          <w:b/>
          <w:color w:val="0092C7"/>
          <w:sz w:val="20"/>
        </w:rPr>
        <w:t>Retail sales volumes</w:t>
      </w:r>
    </w:p>
    <w:p>
      <w:pPr>
        <w:spacing w:line="208" w:lineRule="auto" w:before="126"/>
        <w:ind w:left="2203" w:right="736" w:hanging="410"/>
        <w:jc w:val="left"/>
        <w:rPr>
          <w:sz w:val="12"/>
        </w:rPr>
      </w:pPr>
      <w:r>
        <w:rPr/>
        <w:pict>
          <v:line style="position:absolute;mso-position-horizontal-relative:page;mso-position-vertical-relative:paragraph;z-index:15918592" from="46.829998pt,19.636803pt" to="42.495998pt,19.636803pt" stroked="true" strokeweight=".5pt" strokecolor="#000000">
            <v:stroke dashstyle="solid"/>
            <w10:wrap type="none"/>
          </v:line>
        </w:pict>
      </w:r>
      <w:r>
        <w:rPr/>
        <w:pict>
          <v:line style="position:absolute;mso-position-horizontal-relative:page;mso-position-vertical-relative:paragraph;z-index:-22223360" from="201.992005pt,19.594803pt" to="197.658005pt,19.594803pt" stroked="true" strokeweight=".5pt" strokecolor="#000000">
            <v:stroke dashstyle="solid"/>
            <w10:wrap type="none"/>
          </v:line>
        </w:pict>
      </w:r>
      <w:r>
        <w:rPr>
          <w:sz w:val="12"/>
        </w:rPr>
        <w:t>Percentage changes, three months on previous three months </w:t>
      </w:r>
      <w:r>
        <w:rPr>
          <w:position w:val="-7"/>
          <w:sz w:val="12"/>
        </w:rPr>
        <w:t>4</w:t>
      </w:r>
    </w:p>
    <w:p>
      <w:pPr>
        <w:pStyle w:val="BodyText"/>
        <w:spacing w:before="9"/>
        <w:rPr>
          <w:sz w:val="25"/>
        </w:rPr>
      </w:pPr>
    </w:p>
    <w:p>
      <w:pPr>
        <w:spacing w:before="0"/>
        <w:ind w:left="1005" w:right="0" w:firstLine="0"/>
        <w:jc w:val="left"/>
        <w:rPr>
          <w:sz w:val="12"/>
        </w:rPr>
      </w:pPr>
      <w:r>
        <w:rPr/>
        <w:pict>
          <v:group style="position:absolute;margin-left:50.367001pt;margin-top:3.643746pt;width:151.65pt;height:116.5pt;mso-position-horizontal-relative:page;mso-position-vertical-relative:paragraph;z-index:-22226944" coordorigin="1007,73" coordsize="3033,2330">
            <v:line style="position:absolute" from="1009,1958" to="3889,1958" stroked="true" strokeweight=".5pt" strokecolor="#000000">
              <v:stroke dashstyle="solid"/>
            </v:line>
            <v:line style="position:absolute" from="1017,1628" to="1050,1463" stroked="true" strokeweight="1pt" strokecolor="#de0035">
              <v:stroke dashstyle="solid"/>
            </v:line>
            <v:line style="position:absolute" from="1066,1078" to="1066,1473" stroked="true" strokeweight="2.625pt" strokecolor="#de0035">
              <v:stroke dashstyle="solid"/>
            </v:line>
            <v:shape style="position:absolute;left:1082;top:1087;width:388;height:765" coordorigin="1082,1088" coordsize="388,765" path="m1082,1088l1117,1238m1117,1238l1160,1568m1160,1568l1195,1853m1195,1853l1227,1793m1227,1793l1260,1583m1260,1583l1295,1568m1295,1568l1327,1463m1327,1463l1360,1403m1360,1403l1392,1448m1392,1448l1437,1328m1437,1328l1470,1478e" filled="false" stroked="true" strokeweight="1pt" strokecolor="#de0035">
              <v:path arrowok="t"/>
              <v:stroke dashstyle="solid"/>
            </v:shape>
            <v:shape style="position:absolute;left:1459;top:1122;width:88;height:365" coordorigin="1460,1123" coordsize="88,365" path="m1547,1123l1515,1123,1495,1123,1460,1123,1460,1488,1515,1488,1515,1473,1547,1473,1547,1123xe" filled="true" fillcolor="#de0035" stroked="false">
              <v:path arrowok="t"/>
              <v:fill type="solid"/>
            </v:shape>
            <v:shape style="position:absolute;left:1537;top:1237;width:520;height:855" coordorigin="1537,1238" coordsize="520,855" path="m1537,1463l1570,1238m1570,1238l1605,1478m1605,1478l1637,1268m1637,1268l1682,1388m1682,1388l1715,1328m1715,1328l1747,1493m1747,1493l1780,1643m1780,1643l1815,1928m1815,1928l1847,2093m1847,2093l1880,2033m1880,2033l1915,1913m1915,1913l1957,1733m1957,1733l1992,1853m1992,1853l2057,1733e" filled="false" stroked="true" strokeweight="1pt" strokecolor="#de0035">
              <v:path arrowok="t"/>
              <v:stroke dashstyle="solid"/>
            </v:shape>
            <v:line style="position:absolute" from="2047,1734" to="2100,1734" stroked="true" strokeweight="1.125pt" strokecolor="#de0035">
              <v:stroke dashstyle="solid"/>
            </v:line>
            <v:shape style="position:absolute;left:2089;top:892;width:345;height:1155" coordorigin="2090,893" coordsize="345,1155" path="m2090,1733l2125,1823m2125,1823l2157,2048m2157,2048l2202,1748m2202,1748l2235,1703m2235,1703l2267,1688m2267,1688l2302,1793m2302,1793l2335,1643m2335,1643l2367,1133m2367,1133l2400,953m2400,953l2435,893e" filled="false" stroked="true" strokeweight="1pt" strokecolor="#de0035">
              <v:path arrowok="t"/>
              <v:stroke dashstyle="solid"/>
            </v:shape>
            <v:line style="position:absolute" from="2456,883" to="2456,1308" stroked="true" strokeweight="3.125pt" strokecolor="#de0035">
              <v:stroke dashstyle="solid"/>
            </v:line>
            <v:shape style="position:absolute;left:2477;top:1297;width:68;height:285" coordorigin="2477,1298" coordsize="68,285" path="m2477,1298l2512,1478m2512,1478l2545,1583e" filled="false" stroked="true" strokeweight="1pt" strokecolor="#de0035">
              <v:path arrowok="t"/>
              <v:stroke dashstyle="solid"/>
            </v:shape>
            <v:line style="position:absolute" from="2561,1228" to="2561,1593" stroked="true" strokeweight="2.625pt" strokecolor="#de0035">
              <v:stroke dashstyle="solid"/>
            </v:line>
            <v:shape style="position:absolute;left:2577;top:772;width:345;height:720" coordorigin="2577,773" coordsize="345,720" path="m2577,1238l2612,1073m2612,1073l2645,1103m2645,1103l2677,1388m2677,1388l2710,1493m2710,1493l2755,1208m2755,1208l2787,908m2787,908l2822,773m2822,773l2855,983m2855,983l2887,1043m2887,1043l2922,1118e" filled="false" stroked="true" strokeweight="1pt" strokecolor="#de0035">
              <v:path arrowok="t"/>
              <v:stroke dashstyle="solid"/>
            </v:shape>
            <v:line style="position:absolute" from="2939,1108" to="2939,1518" stroked="true" strokeweight="2.625pt" strokecolor="#de0035">
              <v:stroke dashstyle="solid"/>
            </v:line>
            <v:shape style="position:absolute;left:2954;top:1012;width:178;height:795" coordorigin="2955,1013" coordsize="178,795" path="m2955,1508l3000,1613m3000,1613l3032,1808m3032,1808l3065,1178m3065,1178l3097,1163m3097,1163l3132,1013e" filled="false" stroked="true" strokeweight="1pt" strokecolor="#de0035">
              <v:path arrowok="t"/>
              <v:stroke dashstyle="solid"/>
            </v:shape>
            <v:shape style="position:absolute;left:3148;top:1002;width:33;height:800" coordorigin="3149,1003" coordsize="33,800" path="m3149,1003l3149,1443m3181,1423l3181,1803e" filled="false" stroked="true" strokeweight="2.625pt" strokecolor="#de0035">
              <v:path arrowok="t"/>
              <v:stroke dashstyle="solid"/>
            </v:shape>
            <v:shape style="position:absolute;left:3197;top:1717;width:113;height:255" coordorigin="3197,1718" coordsize="113,255" path="m3197,1793l3232,1763m3232,1763l3275,1973m3275,1973l3310,1718e" filled="false" stroked="true" strokeweight="1pt" strokecolor="#de0035">
              <v:path arrowok="t"/>
              <v:stroke dashstyle="solid"/>
            </v:shape>
            <v:shape style="position:absolute;left:3326;top:1632;width:33;height:410" coordorigin="3326,1633" coordsize="33,410" path="m3326,1708l3326,2043m3359,1633l3359,2043e" filled="false" stroked="true" strokeweight="2.625pt" strokecolor="#de0035">
              <v:path arrowok="t"/>
              <v:stroke dashstyle="solid"/>
            </v:shape>
            <v:shape style="position:absolute;left:3374;top:1627;width:178;height:345" coordorigin="3375,1628" coordsize="178,345" path="m3375,1643l3407,1853m3407,1853l3442,1673m3442,1673l3475,1973m3475,1973l3520,1628m3520,1628l3552,1658e" filled="false" stroked="true" strokeweight="1pt" strokecolor="#de0035">
              <v:path arrowok="t"/>
              <v:stroke dashstyle="solid"/>
            </v:shape>
            <v:line style="position:absolute" from="3569,1303" to="3569,1668" stroked="true" strokeweight="2.625pt" strokecolor="#de0035">
              <v:stroke dashstyle="solid"/>
            </v:line>
            <v:shape style="position:absolute;left:3584;top:1102;width:310;height:450" coordorigin="3585,1103" coordsize="310,450" path="m3585,1313l3620,1553m3620,1553l3652,1298m3652,1298l3685,1388m3685,1388l3717,1103m3717,1103l3752,1193m3752,1193l3795,1238m3795,1238l3830,1283m3830,1283l3862,1313m3862,1313l3895,1208e" filled="false" stroked="true" strokeweight="1pt" strokecolor="#de0035">
              <v:path arrowok="t"/>
              <v:stroke dashstyle="solid"/>
            </v:shape>
            <v:shape style="position:absolute;left:1017;top:772;width:65;height:975" coordorigin="1017,773" coordsize="65,975" path="m1017,1748l1050,1058m1050,1058l1082,773e" filled="false" stroked="true" strokeweight="1pt" strokecolor="#44af34">
              <v:path arrowok="t"/>
              <v:stroke dashstyle="solid"/>
            </v:shape>
            <v:line style="position:absolute" from="1072,774" to="1127,774" stroked="true" strokeweight="1.125pt" strokecolor="#44af34">
              <v:stroke dashstyle="solid"/>
            </v:line>
            <v:line style="position:absolute" from="1139,763" to="1139,1383" stroked="true" strokeweight="3.125pt" strokecolor="#44af34">
              <v:stroke dashstyle="solid"/>
            </v:line>
            <v:line style="position:absolute" from="1160,1373" to="1195,1598" stroked="true" strokeweight="1pt" strokecolor="#44af34">
              <v:stroke dashstyle="solid"/>
            </v:line>
            <v:line style="position:absolute" from="1185,1599" to="1237,1599" stroked="true" strokeweight="1.125pt" strokecolor="#44af34">
              <v:stroke dashstyle="solid"/>
            </v:line>
            <v:line style="position:absolute" from="1244,1198" to="1244,1608" stroked="true" strokeweight="2.625pt" strokecolor="#44af34">
              <v:stroke dashstyle="solid"/>
            </v:line>
            <v:shape style="position:absolute;left:1249;top:1077;width:230;height:440" type="#_x0000_t75" stroked="false">
              <v:imagedata r:id="rId80" o:title=""/>
            </v:shape>
            <v:shape style="position:absolute;left:1469;top:922;width:68;height:675" coordorigin="1470,923" coordsize="68,675" path="m1470,1508l1505,923m1505,923l1537,1598e" filled="false" stroked="true" strokeweight="1pt" strokecolor="#44af34">
              <v:path arrowok="t"/>
              <v:stroke dashstyle="solid"/>
            </v:shape>
            <v:line style="position:absolute" from="1554,1183" to="1554,1608" stroked="true" strokeweight="2.625pt" strokecolor="#44af34">
              <v:stroke dashstyle="solid"/>
            </v:line>
            <v:shape style="position:absolute;left:1559;top:1167;width:88;height:485" coordorigin="1560,1168" coordsize="88,485" path="m1647,1168l1595,1168,1595,1183,1560,1183,1560,1653,1595,1653,1615,1653,1647,1653,1647,1168xe" filled="true" fillcolor="#44af34" stroked="false">
              <v:path arrowok="t"/>
              <v:fill type="solid"/>
            </v:shape>
            <v:shape style="position:absolute;left:1637;top:1177;width:143;height:330" coordorigin="1637,1178" coordsize="143,330" path="m1637,1178l1682,1418m1682,1418l1715,1238m1715,1238l1747,1358m1747,1358l1780,1508e" filled="false" stroked="true" strokeweight="1pt" strokecolor="#44af34">
              <v:path arrowok="t"/>
              <v:stroke dashstyle="solid"/>
            </v:shape>
            <v:line style="position:absolute" from="1797,1498" to="1797,1923" stroked="true" strokeweight="2.75pt" strokecolor="#44af34">
              <v:stroke dashstyle="solid"/>
            </v:line>
            <v:shape style="position:absolute;left:1804;top:1572;width:363;height:485" type="#_x0000_t75" stroked="false">
              <v:imagedata r:id="rId81" o:title=""/>
            </v:shape>
            <v:shape style="position:absolute;left:2157;top:1162;width:110;height:825" coordorigin="2157,1163" coordsize="110,825" path="m2157,1988l2202,1163m2202,1163l2235,1253m2235,1253l2267,1358e" filled="false" stroked="true" strokeweight="1pt" strokecolor="#44af34">
              <v:path arrowok="t"/>
              <v:stroke dashstyle="solid"/>
            </v:shape>
            <v:line style="position:absolute" from="2285,1348" to="2285,1893" stroked="true" strokeweight="2.75pt" strokecolor="#44af34">
              <v:stroke dashstyle="solid"/>
            </v:line>
            <v:shape style="position:absolute;left:2302;top:442;width:98;height:1440" coordorigin="2302,443" coordsize="98,1440" path="m2302,1883l2335,1718m2335,1718l2367,1043m2367,1043l2400,443e" filled="false" stroked="true" strokeweight="1pt" strokecolor="#44af34">
              <v:path arrowok="t"/>
              <v:stroke dashstyle="solid"/>
            </v:shape>
            <v:line style="position:absolute" from="2417,73" to="2417,453" stroked="true" strokeweight="2.75pt" strokecolor="#44af34">
              <v:stroke dashstyle="solid"/>
            </v:line>
            <v:shape style="position:absolute;left:2434;top:82;width:78;height:1170" coordorigin="2435,83" coordsize="78,1170" path="m2435,83l2477,713m2477,713l2512,1253e" filled="false" stroked="true" strokeweight="1pt" strokecolor="#44af34">
              <v:path arrowok="t"/>
              <v:stroke dashstyle="solid"/>
            </v:shape>
            <v:line style="position:absolute" from="2529,1243" to="2529,1758" stroked="true" strokeweight="2.625pt" strokecolor="#44af34">
              <v:stroke dashstyle="solid"/>
            </v:line>
            <v:shape style="position:absolute;left:2544;top:982;width:100;height:765" coordorigin="2545,983" coordsize="100,765" path="m2545,1748l2577,1178m2577,1178l2612,1058m2612,1058l2645,983e" filled="false" stroked="true" strokeweight="1pt" strokecolor="#44af34">
              <v:path arrowok="t"/>
              <v:stroke dashstyle="solid"/>
            </v:shape>
            <v:line style="position:absolute" from="2661,973" to="2661,1458" stroked="true" strokeweight="2.625pt" strokecolor="#44af34">
              <v:stroke dashstyle="solid"/>
            </v:line>
            <v:shape style="position:absolute;left:2677;top:1072;width:78;height:375" coordorigin="2677,1073" coordsize="78,375" path="m2677,1448l2710,1418m2710,1418l2755,1073e" filled="false" stroked="true" strokeweight="1pt" strokecolor="#44af34">
              <v:path arrowok="t"/>
              <v:stroke dashstyle="solid"/>
            </v:shape>
            <v:line style="position:absolute" from="2771,613" to="2771,1083" stroked="true" strokeweight="2.625pt" strokecolor="#44af34">
              <v:stroke dashstyle="solid"/>
            </v:line>
            <v:shape style="position:absolute;left:2787;top:292;width:445;height:2010" coordorigin="2787,293" coordsize="445,2010" path="m2787,623l2822,548m2822,548l2855,293m2855,293l2887,338m2887,338l2922,503m2922,503l2955,2003m2955,2003l3000,2213m3000,2213l3032,2303m3032,2303l3065,878m3065,878l3097,1118m3097,1118l3132,1013m3132,1013l3165,1628m3165,1628l3197,1823m3197,1823l3232,1598e" filled="false" stroked="true" strokeweight="1pt" strokecolor="#44af34">
              <v:path arrowok="t"/>
              <v:stroke dashstyle="solid"/>
            </v:shape>
            <v:line style="position:absolute" from="3254,1588" to="3254,2103" stroked="true" strokeweight="3.125pt" strokecolor="#44af34">
              <v:stroke dashstyle="solid"/>
            </v:line>
            <v:line style="position:absolute" from="3292,1633" to="3292,2103" stroked="true" strokeweight="2.75pt" strokecolor="#44af34">
              <v:stroke dashstyle="solid"/>
            </v:line>
            <v:shape style="position:absolute;left:3309;top:1432;width:98;height:960" coordorigin="3310,1433" coordsize="98,960" path="m3310,1643l3342,2393m3342,2393l3375,1433m3375,1433l3407,1973e" filled="false" stroked="true" strokeweight="1pt" strokecolor="#44af34">
              <v:path arrowok="t"/>
              <v:stroke dashstyle="solid"/>
            </v:shape>
            <v:line style="position:absolute" from="3425,1483" to="3425,1983" stroked="true" strokeweight="2.75pt" strokecolor="#44af34">
              <v:stroke dashstyle="solid"/>
            </v:line>
            <v:shape style="position:absolute;left:3442;top:1327;width:78;height:705" coordorigin="3442,1328" coordsize="78,705" path="m3442,1493l3475,2033m3475,2033l3520,1328e" filled="false" stroked="true" strokeweight="1pt" strokecolor="#44af34">
              <v:path arrowok="t"/>
              <v:stroke dashstyle="solid"/>
            </v:shape>
            <v:line style="position:absolute" from="3510,1329" to="3562,1329" stroked="true" strokeweight="1.125pt" strokecolor="#44af34">
              <v:stroke dashstyle="solid"/>
            </v:line>
            <v:line style="position:absolute" from="3569,928" to="3569,1338" stroked="true" strokeweight="2.625pt" strokecolor="#44af34">
              <v:stroke dashstyle="solid"/>
            </v:line>
            <v:shape style="position:absolute;left:3574;top:702;width:330;height:635" type="#_x0000_t75" stroked="false">
              <v:imagedata r:id="rId82" o:title=""/>
            </v:shape>
            <v:shape style="position:absolute;left:1017;top:1312;width:143;height:645" coordorigin="1017,1313" coordsize="143,645" path="m1017,1313l1050,1598m1050,1598l1082,1643m1082,1643l1117,1928m1117,1928l1160,1958e" filled="false" stroked="true" strokeweight="1pt" strokecolor="#006caa">
              <v:path arrowok="t"/>
              <v:stroke dashstyle="solid"/>
            </v:shape>
            <v:line style="position:absolute" from="1150,1959" to="1205,1959" stroked="true" strokeweight="1.125pt" strokecolor="#006caa">
              <v:stroke dashstyle="solid"/>
            </v:line>
            <v:shape style="position:absolute;left:1194;top:1177;width:520;height:780" coordorigin="1195,1178" coordsize="520,780" path="m1195,1958l1227,1868m1227,1868l1260,1823m1260,1823l1295,1928m1295,1928l1327,1688m1327,1688l1360,1523m1360,1523l1392,1283m1392,1283l1437,1178m1437,1178l1470,1223m1470,1223l1505,1358m1505,1358l1537,1493m1537,1493l1570,1508m1570,1508l1605,1373m1605,1373l1637,1223m1637,1223l1682,1208m1682,1208l1715,1343e" filled="false" stroked="true" strokeweight="1pt" strokecolor="#006caa">
              <v:path arrowok="t"/>
              <v:stroke dashstyle="solid"/>
            </v:shape>
            <v:line style="position:absolute" from="1731,1333" to="1731,1668" stroked="true" strokeweight="2.625pt" strokecolor="#006caa">
              <v:stroke dashstyle="solid"/>
            </v:line>
            <v:shape style="position:absolute;left:1747;top:1597;width:210;height:330" coordorigin="1747,1598" coordsize="210,330" path="m1747,1658l1780,1673m1780,1673l1815,1763m1815,1763l1847,1823m1847,1823l1880,1928m1880,1928l1915,1868m1915,1868l1957,1598e" filled="false" stroked="true" strokeweight="1pt" strokecolor="#006caa">
              <v:path arrowok="t"/>
              <v:stroke dashstyle="solid"/>
            </v:shape>
            <v:line style="position:absolute" from="1947,1599" to="2002,1599" stroked="true" strokeweight="1.125pt" strokecolor="#006caa">
              <v:stroke dashstyle="solid"/>
            </v:line>
            <v:shape style="position:absolute;left:1992;top:802;width:1008;height:1410" coordorigin="1992,803" coordsize="1008,1410" path="m1992,1598l2025,1523m2025,1523l2057,1628m2057,1628l2090,1478m2090,1478l2125,1703m2125,1703l2157,1913m2157,1913l2202,2213m2202,2213l2235,2033m2235,2033l2267,1913m2267,1913l2302,1643m2302,1643l2335,1703m2335,1703l2367,1508m2367,1508l2400,1553m2400,1553l2435,1673m2435,1673l2477,1748m2477,1748l2512,1763m2512,1763l2545,1478m2545,1478l2577,1388m2577,1388l2612,1118m2612,1118l2677,1178m2677,1178l2710,1433m2710,1433l2755,1223m2755,1223l2787,1268m2787,1268l2822,1178m2822,1178l2855,1958m2855,1958l2887,1898m2887,1898l2922,1733m2922,1733l2955,818m2955,818l3000,803e" filled="false" stroked="true" strokeweight="1pt" strokecolor="#006caa">
              <v:path arrowok="t"/>
              <v:stroke dashstyle="solid"/>
            </v:shape>
            <v:shape style="position:absolute;left:3016;top:792;width:33;height:845" coordorigin="3016,793" coordsize="33,845" path="m3016,793l3016,1248m3049,1228l3049,1638e" filled="false" stroked="true" strokeweight="2.625pt" strokecolor="#006caa">
              <v:path arrowok="t"/>
              <v:stroke dashstyle="solid"/>
            </v:shape>
            <v:shape style="position:absolute;left:3064;top:1087;width:133;height:645" coordorigin="3065,1088" coordsize="133,645" path="m3065,1628l3097,1373m3097,1373l3132,1088m3132,1088l3165,1148m3165,1148l3197,1733e" filled="false" stroked="true" strokeweight="1pt" strokecolor="#006caa">
              <v:path arrowok="t"/>
              <v:stroke dashstyle="solid"/>
            </v:shape>
            <v:shape style="position:absolute;left:3187;top:1707;width:508;height:365" type="#_x0000_t75" stroked="false">
              <v:imagedata r:id="rId83" o:title=""/>
            </v:shape>
            <v:line style="position:absolute" from="3701,1393" to="3701,1863" stroked="true" strokeweight="2.625pt" strokecolor="#006caa">
              <v:stroke dashstyle="solid"/>
            </v:line>
            <v:shape style="position:absolute;left:3717;top:1267;width:178;height:195" coordorigin="3717,1268" coordsize="178,195" path="m3717,1403l3752,1448m3752,1448l3795,1313m3795,1313l3830,1463m3830,1463l3862,1358m3862,1358l3895,1268e" filled="false" stroked="true" strokeweight="1pt" strokecolor="#006caa">
              <v:path arrowok="t"/>
              <v:stroke dashstyle="solid"/>
            </v:shape>
            <v:shape style="position:absolute;left:3953;top:225;width:87;height:1729" coordorigin="3953,225" coordsize="87,1729" path="m4040,801l3953,801m4040,225l3953,225m4040,1377l3953,1377m4040,1953l3953,1953e" filled="false" stroked="true" strokeweight=".5pt" strokecolor="#000000">
              <v:path arrowok="t"/>
              <v:stroke dashstyle="solid"/>
            </v:shape>
            <v:shape style="position:absolute;left:2846;top:418;width:375;height:345" type="#_x0000_t75" stroked="false">
              <v:imagedata r:id="rId84" o:title=""/>
            </v:shape>
            <v:shape style="position:absolute;left:3228;top:330;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v:shape style="position:absolute;left:2227;top:2164;width:577;height:133" type="#_x0000_t202" filled="false" stroked="false">
              <v:textbox inset="0,0,0,0">
                <w:txbxContent>
                  <w:p>
                    <w:pPr>
                      <w:spacing w:line="133" w:lineRule="exact" w:before="0"/>
                      <w:ind w:left="0" w:right="0" w:firstLine="0"/>
                      <w:jc w:val="left"/>
                      <w:rPr>
                        <w:sz w:val="12"/>
                      </w:rPr>
                    </w:pPr>
                    <w:r>
                      <w:rPr>
                        <w:sz w:val="12"/>
                      </w:rPr>
                      <w:t>Food stores</w:t>
                    </w:r>
                  </w:p>
                </w:txbxContent>
              </v:textbox>
              <w10:wrap type="none"/>
            </v:shape>
            <w10:wrap type="none"/>
          </v:group>
        </w:pict>
      </w:r>
      <w:r>
        <w:rPr>
          <w:sz w:val="12"/>
        </w:rPr>
        <w:t>Non-food stores</w:t>
      </w:r>
    </w:p>
    <w:p>
      <w:pPr>
        <w:spacing w:before="3"/>
        <w:ind w:left="3474" w:right="0" w:firstLine="0"/>
        <w:jc w:val="left"/>
        <w:rPr>
          <w:sz w:val="12"/>
        </w:rPr>
      </w:pPr>
      <w:r>
        <w:rPr/>
        <w:pict>
          <v:line style="position:absolute;mso-position-horizontal-relative:page;mso-position-vertical-relative:paragraph;z-index:15920128" from="46.829998pt,4.401819pt" to="42.495998pt,4.401819pt" stroked="true" strokeweight=".5pt" strokecolor="#000000">
            <v:stroke dashstyle="solid"/>
            <w10:wrap type="none"/>
          </v:line>
        </w:pict>
      </w:r>
      <w:r>
        <w:rPr>
          <w:sz w:val="12"/>
        </w:rPr>
        <w:t>3</w:t>
      </w:r>
    </w:p>
    <w:p>
      <w:pPr>
        <w:pStyle w:val="BodyText"/>
        <w:rPr>
          <w:sz w:val="12"/>
        </w:rPr>
      </w:pPr>
    </w:p>
    <w:p>
      <w:pPr>
        <w:pStyle w:val="BodyText"/>
        <w:rPr>
          <w:sz w:val="12"/>
        </w:rPr>
      </w:pPr>
    </w:p>
    <w:p>
      <w:pPr>
        <w:pStyle w:val="BodyText"/>
        <w:spacing w:before="1"/>
        <w:rPr>
          <w:sz w:val="14"/>
        </w:rPr>
      </w:pPr>
    </w:p>
    <w:p>
      <w:pPr>
        <w:spacing w:before="0"/>
        <w:ind w:left="3474" w:right="0" w:firstLine="0"/>
        <w:jc w:val="left"/>
        <w:rPr>
          <w:sz w:val="12"/>
        </w:rPr>
      </w:pPr>
      <w:r>
        <w:rPr/>
        <w:pict>
          <v:line style="position:absolute;mso-position-horizontal-relative:page;mso-position-vertical-relative:paragraph;z-index:15919104" from="46.829998pt,4.255831pt" to="42.495998pt,4.255831pt" stroked="true" strokeweight=".5pt" strokecolor="#000000">
            <v:stroke dashstyle="solid"/>
            <w10:wrap type="none"/>
          </v:line>
        </w:pict>
      </w:r>
      <w:r>
        <w:rPr>
          <w:sz w:val="12"/>
        </w:rPr>
        <w:t>2</w:t>
      </w:r>
    </w:p>
    <w:p>
      <w:pPr>
        <w:pStyle w:val="BodyText"/>
        <w:rPr>
          <w:sz w:val="12"/>
        </w:rPr>
      </w:pPr>
    </w:p>
    <w:p>
      <w:pPr>
        <w:pStyle w:val="BodyText"/>
        <w:rPr>
          <w:sz w:val="12"/>
        </w:rPr>
      </w:pPr>
    </w:p>
    <w:p>
      <w:pPr>
        <w:pStyle w:val="BodyText"/>
        <w:spacing w:before="1"/>
        <w:rPr>
          <w:sz w:val="14"/>
        </w:rPr>
      </w:pPr>
    </w:p>
    <w:p>
      <w:pPr>
        <w:spacing w:before="0"/>
        <w:ind w:left="3474" w:right="0" w:firstLine="0"/>
        <w:jc w:val="left"/>
        <w:rPr>
          <w:sz w:val="12"/>
        </w:rPr>
      </w:pPr>
      <w:r>
        <w:rPr/>
        <w:pict>
          <v:line style="position:absolute;mso-position-horizontal-relative:page;mso-position-vertical-relative:paragraph;z-index:15920640" from="46.829998pt,4.259782pt" to="42.495998pt,4.259782pt" stroked="true" strokeweight=".5pt" strokecolor="#000000">
            <v:stroke dashstyle="solid"/>
            <w10:wrap type="none"/>
          </v:line>
        </w:pict>
      </w:r>
      <w:r>
        <w:rPr>
          <w:sz w:val="12"/>
        </w:rPr>
        <w:t>1</w:t>
      </w:r>
    </w:p>
    <w:p>
      <w:pPr>
        <w:pStyle w:val="BodyText"/>
        <w:spacing w:before="4"/>
        <w:rPr>
          <w:sz w:val="17"/>
        </w:rPr>
      </w:pPr>
    </w:p>
    <w:p>
      <w:pPr>
        <w:spacing w:before="0"/>
        <w:ind w:left="3403" w:right="0" w:firstLine="0"/>
        <w:jc w:val="left"/>
        <w:rPr>
          <w:sz w:val="16"/>
        </w:rPr>
      </w:pPr>
      <w:r>
        <w:rPr>
          <w:sz w:val="16"/>
        </w:rPr>
        <w:t>+</w:t>
      </w:r>
    </w:p>
    <w:p>
      <w:pPr>
        <w:spacing w:before="55"/>
        <w:ind w:left="3474" w:right="0" w:firstLine="0"/>
        <w:jc w:val="left"/>
        <w:rPr>
          <w:sz w:val="12"/>
        </w:rPr>
      </w:pPr>
      <w:r>
        <w:rPr/>
        <w:pict>
          <v:line style="position:absolute;mso-position-horizontal-relative:page;mso-position-vertical-relative:paragraph;z-index:15921152" from="46.829998pt,7.014794pt" to="42.495998pt,7.014794pt" stroked="true" strokeweight=".5pt" strokecolor="#000000">
            <v:stroke dashstyle="solid"/>
            <w10:wrap type="none"/>
          </v:line>
        </w:pict>
      </w:r>
      <w:r>
        <w:rPr>
          <w:sz w:val="12"/>
        </w:rPr>
        <w:t>0</w:t>
      </w:r>
    </w:p>
    <w:p>
      <w:pPr>
        <w:spacing w:before="45"/>
        <w:ind w:left="3408" w:right="0" w:firstLine="0"/>
        <w:jc w:val="left"/>
        <w:rPr>
          <w:sz w:val="16"/>
        </w:rPr>
      </w:pPr>
      <w:r>
        <w:rPr>
          <w:sz w:val="16"/>
        </w:rPr>
        <w:t>–</w:t>
      </w:r>
    </w:p>
    <w:p>
      <w:pPr>
        <w:pStyle w:val="BodyText"/>
        <w:spacing w:before="2"/>
      </w:pPr>
    </w:p>
    <w:p>
      <w:pPr>
        <w:spacing w:line="127" w:lineRule="exact" w:before="0"/>
        <w:ind w:left="3474" w:right="0" w:firstLine="0"/>
        <w:jc w:val="left"/>
        <w:rPr>
          <w:sz w:val="12"/>
        </w:rPr>
      </w:pPr>
      <w:r>
        <w:rPr/>
        <w:pict>
          <v:shape style="position:absolute;margin-left:42.495998pt;margin-top:1.580807pt;width:159.5pt;height:2.7pt;mso-position-horizontal-relative:page;mso-position-vertical-relative:paragraph;z-index:15919616" coordorigin="850,32" coordsize="3190,54" path="m937,85l850,85m1005,85l3889,85m1003,32l1003,85m1843,32l1843,85m3102,32l3102,85m1423,32l1423,85m2263,32l2263,85m3522,32l3522,85m2682,32l2682,85m4040,85l3953,85e" filled="false" stroked="true" strokeweight=".5pt" strokecolor="#000000">
            <v:path arrowok="t"/>
            <v:stroke dashstyle="solid"/>
            <w10:wrap type="none"/>
          </v:shape>
        </w:pict>
      </w:r>
      <w:r>
        <w:rPr>
          <w:sz w:val="12"/>
        </w:rPr>
        <w:t>1</w:t>
      </w:r>
    </w:p>
    <w:p>
      <w:pPr>
        <w:tabs>
          <w:tab w:pos="952" w:val="left" w:leader="none"/>
          <w:tab w:pos="1368" w:val="left" w:leader="none"/>
          <w:tab w:pos="1784" w:val="left" w:leader="none"/>
          <w:tab w:pos="2200" w:val="left" w:leader="none"/>
          <w:tab w:pos="2616" w:val="left" w:leader="none"/>
          <w:tab w:pos="3032" w:val="left" w:leader="none"/>
        </w:tabs>
        <w:spacing w:line="127" w:lineRule="exact" w:before="0"/>
        <w:ind w:left="469" w:right="0" w:firstLine="0"/>
        <w:jc w:val="left"/>
        <w:rPr>
          <w:sz w:val="12"/>
        </w:rPr>
      </w:pPr>
      <w:r>
        <w:rPr>
          <w:sz w:val="12"/>
        </w:rPr>
        <w:t>1993</w:t>
        <w:tab/>
        <w:t>94</w:t>
        <w:tab/>
        <w:t>95</w:t>
        <w:tab/>
        <w:t>96</w:t>
        <w:tab/>
        <w:t>97</w:t>
        <w:tab/>
        <w:t>98</w:t>
        <w:tab/>
        <w:t>99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0"/>
        </w:rPr>
      </w:pPr>
    </w:p>
    <w:p>
      <w:pPr>
        <w:pStyle w:val="Heading9"/>
        <w:spacing w:before="0"/>
        <w:ind w:left="188"/>
      </w:pPr>
      <w:r>
        <w:rPr>
          <w:color w:val="0092C7"/>
        </w:rPr>
        <w:t>Chart 2.8</w:t>
      </w:r>
    </w:p>
    <w:p>
      <w:pPr>
        <w:spacing w:before="10"/>
        <w:ind w:left="188" w:right="0" w:firstLine="0"/>
        <w:jc w:val="left"/>
        <w:rPr>
          <w:sz w:val="12"/>
        </w:rPr>
      </w:pPr>
      <w:r>
        <w:rPr>
          <w:b/>
          <w:color w:val="0092C7"/>
          <w:sz w:val="20"/>
        </w:rPr>
        <w:t>Real household post-tax income</w:t>
      </w:r>
      <w:r>
        <w:rPr>
          <w:position w:val="4"/>
          <w:sz w:val="12"/>
        </w:rPr>
        <w:t>(a)</w:t>
      </w:r>
    </w:p>
    <w:p>
      <w:pPr>
        <w:spacing w:before="101"/>
        <w:ind w:left="1811" w:right="0" w:firstLine="0"/>
        <w:jc w:val="left"/>
        <w:rPr>
          <w:sz w:val="12"/>
        </w:rPr>
      </w:pPr>
      <w:r>
        <w:rPr>
          <w:sz w:val="12"/>
        </w:rPr>
        <w:t>Percentage changes on a year earlier</w:t>
      </w:r>
    </w:p>
    <w:p>
      <w:pPr>
        <w:spacing w:before="45"/>
        <w:ind w:left="3704" w:right="0" w:firstLine="0"/>
        <w:jc w:val="left"/>
        <w:rPr>
          <w:sz w:val="12"/>
        </w:rPr>
      </w:pPr>
      <w:r>
        <w:rPr/>
        <w:pict>
          <v:line style="position:absolute;mso-position-horizontal-relative:page;mso-position-vertical-relative:paragraph;z-index:15923712" from="46.423pt,5.509162pt" to="42.09pt,5.509162pt" stroked="true" strokeweight=".5pt" strokecolor="#000000">
            <v:stroke dashstyle="solid"/>
            <w10:wrap type="none"/>
          </v:line>
        </w:pict>
      </w:r>
      <w:r>
        <w:rPr/>
        <w:pict>
          <v:line style="position:absolute;mso-position-horizontal-relative:page;mso-position-vertical-relative:paragraph;z-index:15928320" from="208.922996pt,5.009162pt" to="204.589996pt,5.009162pt" stroked="true" strokeweight=".5pt" strokecolor="#000000">
            <v:stroke dashstyle="solid"/>
            <w10:wrap type="none"/>
          </v:line>
        </w:pict>
      </w:r>
      <w:r>
        <w:rPr>
          <w:sz w:val="12"/>
        </w:rPr>
        <w:t>25</w:t>
      </w:r>
    </w:p>
    <w:p>
      <w:pPr>
        <w:spacing w:line="129" w:lineRule="exact" w:before="99"/>
        <w:ind w:left="559" w:right="0" w:firstLine="0"/>
        <w:jc w:val="left"/>
        <w:rPr>
          <w:sz w:val="12"/>
        </w:rPr>
      </w:pPr>
      <w:r>
        <w:rPr>
          <w:sz w:val="12"/>
        </w:rPr>
        <w:t>Net non-labour income</w:t>
      </w:r>
    </w:p>
    <w:p>
      <w:pPr>
        <w:spacing w:line="129" w:lineRule="exact" w:before="0"/>
        <w:ind w:left="3704" w:right="0" w:firstLine="0"/>
        <w:jc w:val="left"/>
        <w:rPr>
          <w:sz w:val="12"/>
        </w:rPr>
      </w:pPr>
      <w:r>
        <w:rPr/>
        <w:pict>
          <v:group style="position:absolute;margin-left:52.84pt;margin-top:2.152020pt;width:145.8pt;height:116.5pt;mso-position-horizontal-relative:page;mso-position-vertical-relative:paragraph;z-index:15922688" coordorigin="1057,43" coordsize="2916,2330">
            <v:shape style="position:absolute;left:1066;top:1160;width:1770;height:345" coordorigin="1067,1161" coordsize="1770,345" path="m1067,1161l1179,1313m1179,1313l1289,1368m1289,1368l1402,1271m1402,1271l1514,1286m1514,1286l1614,1478m1614,1478l1727,1506m1727,1506l1839,1423m1839,1423l1952,1493m1952,1493l2064,1423m2064,1423l2174,1396m2174,1396l2287,1493m2287,1493l2399,1341m2399,1341l2512,1258m2512,1258l2612,1381m2612,1381l2724,1326m2724,1326l2837,1298e" filled="false" stroked="true" strokeweight="1pt" strokecolor="#a64991">
              <v:path arrowok="t"/>
              <v:stroke dashstyle="solid"/>
            </v:shape>
            <v:line style="position:absolute" from="2827,1292" to="2959,1292" stroked="true" strokeweight="1.625pt" strokecolor="#a64991">
              <v:stroke dashstyle="solid"/>
            </v:line>
            <v:shape style="position:absolute;left:2949;top:1173;width:448;height:293" coordorigin="2949,1173" coordsize="448,293" path="m2949,1286l3059,1173m3059,1173l3172,1231m3172,1231l3284,1423m3284,1423l3397,1466e" filled="false" stroked="true" strokeweight="1pt" strokecolor="#a64991">
              <v:path arrowok="t"/>
              <v:stroke dashstyle="solid"/>
            </v:shape>
            <v:line style="position:absolute" from="3387,1467" to="3507,1467" stroked="true" strokeweight="1.125pt" strokecolor="#a64991">
              <v:stroke dashstyle="solid"/>
            </v:line>
            <v:shape style="position:absolute;left:3496;top:1285;width:448;height:180" coordorigin="3497,1286" coordsize="448,180" path="m3497,1466l3609,1396m3609,1396l3722,1298m3722,1298l3834,1313m3834,1313l3944,1286e" filled="false" stroked="true" strokeweight="1pt" strokecolor="#a64991">
              <v:path arrowok="t"/>
              <v:stroke dashstyle="solid"/>
            </v:shape>
            <v:shape style="position:absolute;left:1066;top:53;width:2878;height:2310" coordorigin="1067,53" coordsize="2878,2310" path="m1067,1713l1179,1438m1179,1438l1289,1423m1289,1423l1402,1368m1402,1368l1514,1686m1514,1686l1614,1493m1614,1493l1727,926m1727,926l1839,1298m1839,1298l1952,53m1952,53l2064,496m2064,496l2174,1051m2174,1051l2287,718m2287,718l2399,898m2399,898l2512,1298m2512,1298l2612,1106m2612,1106l2724,1381m2724,1381l2837,1548m2837,1548l2949,483m2949,483l3059,1036m3059,1036l3172,1368m3172,1368l3284,1258m3284,1258l3397,2363m3397,2363l3497,1963m3497,1963l3609,1561m3609,1561l3722,1893m3722,1893l3834,358m3834,358l3944,1521e" filled="false" stroked="true" strokeweight="1pt" strokecolor="#008360">
              <v:path arrowok="t"/>
              <v:stroke dashstyle="solid"/>
            </v:shape>
            <v:line style="position:absolute" from="3552,283" to="3552,1273" stroked="true" strokeweight=".5pt" strokecolor="#000000">
              <v:stroke dashstyle="solid"/>
            </v:line>
            <v:shape style="position:absolute;left:3526;top:1256;width:51;height:85" coordorigin="3527,1256" coordsize="51,85" path="m3577,1256l3527,1256,3533,1272,3537,1284,3552,1341,3553,1332,3555,1321,3558,1310,3562,1297,3566,1285,3577,1256xe" filled="true" fillcolor="#000000" stroked="false">
              <v:path arrowok="t"/>
              <v:fill type="solid"/>
            </v:shape>
            <v:line style="position:absolute" from="1071,1502" to="3972,1502" stroked="true" strokeweight=".5pt" strokecolor="#000000">
              <v:stroke dashstyle="solid"/>
            </v:line>
            <v:shape style="position:absolute;left:3034;top:95;width:750;height:134" type="#_x0000_t202" filled="false" stroked="false">
              <v:textbox inset="0,0,0,0">
                <w:txbxContent>
                  <w:p>
                    <w:pPr>
                      <w:spacing w:line="133" w:lineRule="exact" w:before="0"/>
                      <w:ind w:left="0" w:right="0" w:firstLine="0"/>
                      <w:jc w:val="left"/>
                      <w:rPr>
                        <w:sz w:val="12"/>
                      </w:rPr>
                    </w:pPr>
                    <w:r>
                      <w:rPr>
                        <w:sz w:val="12"/>
                      </w:rPr>
                      <w:t>Labour income</w:t>
                    </w:r>
                  </w:p>
                </w:txbxContent>
              </v:textbox>
              <w10:wrap type="none"/>
            </v:shape>
            <w10:wrap type="none"/>
          </v:group>
        </w:pict>
      </w:r>
      <w:r>
        <w:rPr/>
        <w:pict>
          <v:line style="position:absolute;mso-position-horizontal-relative:page;mso-position-vertical-relative:paragraph;z-index:15924224" from="46.423pt,2.95902pt" to="42.09pt,2.95902pt" stroked="true" strokeweight=".5pt" strokecolor="#000000">
            <v:stroke dashstyle="solid"/>
            <w10:wrap type="none"/>
          </v:line>
        </w:pict>
      </w:r>
      <w:r>
        <w:rPr/>
        <w:pict>
          <v:line style="position:absolute;mso-position-horizontal-relative:page;mso-position-vertical-relative:paragraph;z-index:15928832" from="208.922996pt,2.459020pt" to="204.589996pt,2.459020pt" stroked="true" strokeweight=".5pt" strokecolor="#000000">
            <v:stroke dashstyle="solid"/>
            <w10:wrap type="none"/>
          </v:line>
        </w:pict>
      </w:r>
      <w:r>
        <w:rPr>
          <w:sz w:val="12"/>
        </w:rPr>
        <w:t>20</w:t>
      </w:r>
    </w:p>
    <w:p>
      <w:pPr>
        <w:pStyle w:val="BodyText"/>
        <w:rPr>
          <w:sz w:val="12"/>
        </w:rPr>
      </w:pPr>
    </w:p>
    <w:p>
      <w:pPr>
        <w:spacing w:before="84"/>
        <w:ind w:left="3704" w:right="0" w:firstLine="0"/>
        <w:jc w:val="left"/>
        <w:rPr>
          <w:sz w:val="12"/>
        </w:rPr>
      </w:pPr>
      <w:r>
        <w:rPr/>
        <w:pict>
          <v:line style="position:absolute;mso-position-horizontal-relative:page;mso-position-vertical-relative:paragraph;z-index:15927296" from="46.423pt,7.655949pt" to="42.09pt,7.655949pt" stroked="true" strokeweight=".5pt" strokecolor="#000000">
            <v:stroke dashstyle="solid"/>
            <w10:wrap type="none"/>
          </v:line>
        </w:pict>
      </w:r>
      <w:r>
        <w:rPr/>
        <w:pict>
          <v:line style="position:absolute;mso-position-horizontal-relative:page;mso-position-vertical-relative:paragraph;z-index:15931904" from="208.922996pt,7.155949pt" to="204.589996pt,7.155949pt" stroked="true" strokeweight=".5pt" strokecolor="#000000">
            <v:stroke dashstyle="solid"/>
            <w10:wrap type="none"/>
          </v:line>
        </w:pict>
      </w:r>
      <w:r>
        <w:rPr>
          <w:sz w:val="12"/>
        </w:rPr>
        <w:t>15</w:t>
      </w:r>
    </w:p>
    <w:p>
      <w:pPr>
        <w:pStyle w:val="BodyText"/>
        <w:rPr>
          <w:sz w:val="12"/>
        </w:rPr>
      </w:pPr>
    </w:p>
    <w:p>
      <w:pPr>
        <w:spacing w:before="84"/>
        <w:ind w:left="3704" w:right="0" w:firstLine="0"/>
        <w:jc w:val="left"/>
        <w:rPr>
          <w:sz w:val="12"/>
        </w:rPr>
      </w:pPr>
      <w:r>
        <w:rPr/>
        <w:pict>
          <v:line style="position:absolute;mso-position-horizontal-relative:page;mso-position-vertical-relative:paragraph;z-index:15925760" from="46.423pt,7.679368pt" to="42.09pt,7.679368pt" stroked="true" strokeweight=".5pt" strokecolor="#000000">
            <v:stroke dashstyle="solid"/>
            <w10:wrap type="none"/>
          </v:line>
        </w:pict>
      </w:r>
      <w:r>
        <w:rPr/>
        <w:pict>
          <v:line style="position:absolute;mso-position-horizontal-relative:page;mso-position-vertical-relative:paragraph;z-index:15930368" from="208.922996pt,7.179368pt" to="204.589996pt,7.179368pt" stroked="true" strokeweight=".5pt" strokecolor="#000000">
            <v:stroke dashstyle="solid"/>
            <w10:wrap type="none"/>
          </v:line>
        </w:pict>
      </w:r>
      <w:r>
        <w:rPr>
          <w:sz w:val="12"/>
        </w:rPr>
        <w:t>10</w:t>
      </w:r>
    </w:p>
    <w:p>
      <w:pPr>
        <w:pStyle w:val="BodyText"/>
        <w:rPr>
          <w:sz w:val="12"/>
        </w:rPr>
      </w:pPr>
    </w:p>
    <w:p>
      <w:pPr>
        <w:spacing w:before="84"/>
        <w:ind w:left="3764" w:right="0" w:firstLine="0"/>
        <w:jc w:val="left"/>
        <w:rPr>
          <w:sz w:val="12"/>
        </w:rPr>
      </w:pPr>
      <w:r>
        <w:rPr/>
        <w:pict>
          <v:line style="position:absolute;mso-position-horizontal-relative:page;mso-position-vertical-relative:paragraph;z-index:15926784" from="46.423pt,7.704369pt" to="42.09pt,7.704369pt" stroked="true" strokeweight=".5pt" strokecolor="#000000">
            <v:stroke dashstyle="solid"/>
            <w10:wrap type="none"/>
          </v:line>
        </w:pict>
      </w:r>
      <w:r>
        <w:rPr/>
        <w:pict>
          <v:line style="position:absolute;mso-position-horizontal-relative:page;mso-position-vertical-relative:paragraph;z-index:15931392" from="208.922996pt,7.204369pt" to="204.589996pt,7.204369pt" stroked="true" strokeweight=".5pt" strokecolor="#000000">
            <v:stroke dashstyle="solid"/>
            <w10:wrap type="none"/>
          </v:line>
        </w:pict>
      </w:r>
      <w:r>
        <w:rPr>
          <w:sz w:val="12"/>
        </w:rPr>
        <w:t>5</w:t>
      </w:r>
    </w:p>
    <w:p>
      <w:pPr>
        <w:spacing w:before="2"/>
        <w:ind w:left="3609" w:right="0" w:firstLine="0"/>
        <w:jc w:val="left"/>
        <w:rPr>
          <w:sz w:val="16"/>
        </w:rPr>
      </w:pPr>
      <w:r>
        <w:rPr>
          <w:sz w:val="16"/>
        </w:rPr>
        <w:t>+</w:t>
      </w:r>
    </w:p>
    <w:p>
      <w:pPr>
        <w:spacing w:line="124" w:lineRule="exact" w:before="36"/>
        <w:ind w:left="3764" w:right="0" w:firstLine="0"/>
        <w:jc w:val="left"/>
        <w:rPr>
          <w:sz w:val="12"/>
        </w:rPr>
      </w:pPr>
      <w:r>
        <w:rPr/>
        <w:pict>
          <v:line style="position:absolute;mso-position-horizontal-relative:page;mso-position-vertical-relative:paragraph;z-index:15924736" from="46.423pt,5.328948pt" to="42.09pt,5.328948pt" stroked="true" strokeweight=".5pt" strokecolor="#000000">
            <v:stroke dashstyle="solid"/>
            <w10:wrap type="none"/>
          </v:line>
        </w:pict>
      </w:r>
      <w:r>
        <w:rPr/>
        <w:pict>
          <v:line style="position:absolute;mso-position-horizontal-relative:page;mso-position-vertical-relative:paragraph;z-index:15929344" from="208.922996pt,5.328948pt" to="204.589996pt,5.328948pt" stroked="true" strokeweight=".5pt" strokecolor="#000000">
            <v:stroke dashstyle="solid"/>
            <w10:wrap type="none"/>
          </v:line>
        </w:pict>
      </w:r>
      <w:r>
        <w:rPr>
          <w:sz w:val="12"/>
        </w:rPr>
        <w:t>0</w:t>
      </w:r>
    </w:p>
    <w:p>
      <w:pPr>
        <w:spacing w:line="170" w:lineRule="exact" w:before="0"/>
        <w:ind w:left="3619" w:right="0" w:firstLine="0"/>
        <w:jc w:val="left"/>
        <w:rPr>
          <w:sz w:val="16"/>
        </w:rPr>
      </w:pPr>
      <w:r>
        <w:rPr>
          <w:sz w:val="16"/>
        </w:rPr>
        <w:t>–</w:t>
      </w:r>
    </w:p>
    <w:p>
      <w:pPr>
        <w:spacing w:before="66"/>
        <w:ind w:left="3764" w:right="0" w:firstLine="0"/>
        <w:jc w:val="left"/>
        <w:rPr>
          <w:sz w:val="12"/>
        </w:rPr>
      </w:pPr>
      <w:r>
        <w:rPr/>
        <w:pict>
          <v:line style="position:absolute;mso-position-horizontal-relative:page;mso-position-vertical-relative:paragraph;z-index:15927808" from="46.423pt,6.853559pt" to="42.09pt,6.853559pt" stroked="true" strokeweight=".5pt" strokecolor="#000000">
            <v:stroke dashstyle="solid"/>
            <w10:wrap type="none"/>
          </v:line>
        </w:pict>
      </w:r>
      <w:r>
        <w:rPr/>
        <w:pict>
          <v:line style="position:absolute;mso-position-horizontal-relative:page;mso-position-vertical-relative:paragraph;z-index:15932416" from="208.922996pt,6.353559pt" to="204.589996pt,6.353559pt" stroked="true" strokeweight=".5pt" strokecolor="#000000">
            <v:stroke dashstyle="solid"/>
            <w10:wrap type="none"/>
          </v:line>
        </w:pict>
      </w:r>
      <w:r>
        <w:rPr>
          <w:sz w:val="12"/>
        </w:rPr>
        <w:t>5</w:t>
      </w:r>
    </w:p>
    <w:p>
      <w:pPr>
        <w:pStyle w:val="BodyText"/>
        <w:rPr>
          <w:sz w:val="12"/>
        </w:rPr>
      </w:pPr>
    </w:p>
    <w:p>
      <w:pPr>
        <w:spacing w:before="84"/>
        <w:ind w:left="3704" w:right="0" w:firstLine="0"/>
        <w:jc w:val="left"/>
        <w:rPr>
          <w:sz w:val="12"/>
        </w:rPr>
      </w:pPr>
      <w:r>
        <w:rPr/>
        <w:pict>
          <v:line style="position:absolute;mso-position-horizontal-relative:page;mso-position-vertical-relative:paragraph;z-index:15926272" from="46.423pt,7.777559pt" to="42.09pt,7.777559pt" stroked="true" strokeweight=".5pt" strokecolor="#000000">
            <v:stroke dashstyle="solid"/>
            <w10:wrap type="none"/>
          </v:line>
        </w:pict>
      </w:r>
      <w:r>
        <w:rPr/>
        <w:pict>
          <v:line style="position:absolute;mso-position-horizontal-relative:page;mso-position-vertical-relative:paragraph;z-index:15930880" from="208.922996pt,7.277559pt" to="204.589996pt,7.277559pt" stroked="true" strokeweight=".5pt" strokecolor="#000000">
            <v:stroke dashstyle="solid"/>
            <w10:wrap type="none"/>
          </v:line>
        </w:pict>
      </w:r>
      <w:r>
        <w:rPr>
          <w:sz w:val="12"/>
        </w:rPr>
        <w:t>10</w:t>
      </w:r>
    </w:p>
    <w:p>
      <w:pPr>
        <w:pStyle w:val="BodyText"/>
        <w:rPr>
          <w:sz w:val="12"/>
        </w:rPr>
      </w:pPr>
    </w:p>
    <w:p>
      <w:pPr>
        <w:spacing w:line="124" w:lineRule="exact" w:before="84"/>
        <w:ind w:left="3704" w:right="0" w:firstLine="0"/>
        <w:jc w:val="left"/>
        <w:rPr>
          <w:sz w:val="12"/>
        </w:rPr>
      </w:pPr>
      <w:r>
        <w:rPr/>
        <w:pict>
          <v:shape style="position:absolute;margin-left:53.398998pt;margin-top:4.114559pt;width:145.2pt;height:2.7pt;mso-position-horizontal-relative:page;mso-position-vertical-relative:paragraph;z-index:15923200" coordorigin="1068,82" coordsize="2904,54" path="m1070,136l3972,136m1068,82l1068,136m1953,82l1953,136m3279,82l3279,136m1510,82l1510,136m2395,82l2395,136m3722,82l3722,136m2837,82l2837,136e" filled="false" stroked="true" strokeweight=".5pt" strokecolor="#000000">
            <v:path arrowok="t"/>
            <v:stroke dashstyle="solid"/>
            <w10:wrap type="none"/>
          </v:shape>
        </w:pict>
      </w:r>
      <w:r>
        <w:rPr/>
        <w:pict>
          <v:line style="position:absolute;mso-position-horizontal-relative:page;mso-position-vertical-relative:paragraph;z-index:15925248" from="46.423pt,6.801559pt" to="42.09pt,6.801559pt" stroked="true" strokeweight=".5pt" strokecolor="#000000">
            <v:stroke dashstyle="solid"/>
            <w10:wrap type="none"/>
          </v:line>
        </w:pict>
      </w:r>
      <w:r>
        <w:rPr/>
        <w:pict>
          <v:line style="position:absolute;mso-position-horizontal-relative:page;mso-position-vertical-relative:paragraph;z-index:15929856" from="208.922996pt,6.301559pt" to="204.589996pt,6.301559pt" stroked="true" strokeweight=".5pt" strokecolor="#000000">
            <v:stroke dashstyle="solid"/>
            <w10:wrap type="none"/>
          </v:line>
        </w:pict>
      </w:r>
      <w:r>
        <w:rPr>
          <w:sz w:val="12"/>
        </w:rPr>
        <w:t>15</w:t>
      </w:r>
    </w:p>
    <w:p>
      <w:pPr>
        <w:tabs>
          <w:tab w:pos="1064" w:val="left" w:leader="none"/>
          <w:tab w:pos="1501" w:val="left" w:leader="none"/>
          <w:tab w:pos="1949" w:val="left" w:leader="none"/>
          <w:tab w:pos="2386" w:val="left" w:leader="none"/>
          <w:tab w:pos="2834" w:val="left" w:leader="none"/>
          <w:tab w:pos="3209" w:val="left" w:leader="none"/>
        </w:tabs>
        <w:spacing w:line="124" w:lineRule="exact" w:before="0"/>
        <w:ind w:left="566" w:right="0" w:firstLine="0"/>
        <w:jc w:val="left"/>
        <w:rPr>
          <w:sz w:val="12"/>
        </w:rPr>
      </w:pPr>
      <w:r>
        <w:rPr>
          <w:sz w:val="12"/>
        </w:rPr>
        <w:t>1993</w:t>
        <w:tab/>
        <w:t>94</w:t>
        <w:tab/>
        <w:t>95</w:t>
        <w:tab/>
        <w:t>96</w:t>
        <w:tab/>
        <w:t>97</w:t>
        <w:tab/>
        <w:t>98</w:t>
        <w:tab/>
        <w:t>99</w:t>
      </w:r>
    </w:p>
    <w:p>
      <w:pPr>
        <w:spacing w:line="208" w:lineRule="auto" w:before="85"/>
        <w:ind w:left="432" w:right="533" w:hanging="240"/>
        <w:jc w:val="left"/>
        <w:rPr>
          <w:sz w:val="12"/>
        </w:rPr>
      </w:pPr>
      <w:r>
        <w:rPr>
          <w:sz w:val="12"/>
        </w:rPr>
        <w:t>(a) Deflated by the household consumption expenditure deflator. Taxes are deducted from labour income.</w:t>
      </w:r>
    </w:p>
    <w:p>
      <w:pPr>
        <w:pStyle w:val="BodyText"/>
        <w:rPr>
          <w:sz w:val="12"/>
        </w:rPr>
      </w:pPr>
    </w:p>
    <w:p>
      <w:pPr>
        <w:pStyle w:val="BodyText"/>
        <w:spacing w:before="8"/>
        <w:rPr>
          <w:sz w:val="12"/>
        </w:rPr>
      </w:pPr>
    </w:p>
    <w:p>
      <w:pPr>
        <w:pStyle w:val="Heading9"/>
        <w:spacing w:before="0"/>
      </w:pPr>
      <w:r>
        <w:rPr>
          <w:color w:val="0092C7"/>
        </w:rPr>
        <w:t>Chart 2.9</w:t>
      </w:r>
    </w:p>
    <w:p>
      <w:pPr>
        <w:spacing w:before="10"/>
        <w:ind w:left="190" w:right="0" w:firstLine="0"/>
        <w:jc w:val="left"/>
        <w:rPr>
          <w:sz w:val="12"/>
        </w:rPr>
      </w:pPr>
      <w:r>
        <w:rPr>
          <w:b/>
          <w:color w:val="0092C7"/>
          <w:sz w:val="20"/>
        </w:rPr>
        <w:t>Ratios of household wealth to post-tax income</w:t>
      </w:r>
      <w:r>
        <w:rPr>
          <w:position w:val="4"/>
          <w:sz w:val="12"/>
        </w:rPr>
        <w:t>(a)</w:t>
      </w:r>
    </w:p>
    <w:p>
      <w:pPr>
        <w:spacing w:before="150"/>
        <w:ind w:left="0" w:right="609" w:firstLine="0"/>
        <w:jc w:val="right"/>
        <w:rPr>
          <w:sz w:val="12"/>
        </w:rPr>
      </w:pPr>
      <w:r>
        <w:rPr/>
        <w:pict>
          <v:group style="position:absolute;margin-left:51.884998pt;margin-top:20.725374pt;width:152.15pt;height:111.2pt;mso-position-horizontal-relative:page;mso-position-vertical-relative:paragraph;z-index:15912448" coordorigin="1038,415" coordsize="3043,2224">
            <v:shape style="position:absolute;left:1047;top:2037;width:1150;height:455" coordorigin="1048,2037" coordsize="1150,455" path="m1048,2250l1108,2080m1108,2080l1168,2037m1168,2037l1218,2407m1218,2407l1278,2292m1278,2292l1338,2265m1338,2265l1398,2322m1398,2322l1448,2422m1448,2422l1508,2150m1508,2150l1568,2165m1568,2165l1628,2207m1628,2207l1678,2265m1678,2265l1738,2335m1738,2335l1798,2277m1798,2277l1858,2492m1858,2492l1908,2477m1908,2477l1968,2292m1968,2292l2028,2335m2028,2335l2088,2277m2088,2277l2138,2377m2138,2377l2198,2422e" filled="false" stroked="true" strokeweight="1pt" strokecolor="#0099d9">
              <v:path arrowok="t"/>
              <v:stroke dashstyle="solid"/>
            </v:shape>
            <v:line style="position:absolute" from="2188,2423" to="2268,2423" stroked="true" strokeweight="1.125pt" strokecolor="#0099d9">
              <v:stroke dashstyle="solid"/>
            </v:line>
            <v:shape style="position:absolute;left:2257;top:1949;width:460;height:473" coordorigin="2258,1950" coordsize="460,473" path="m2258,2422l2318,2392m2318,2392l2365,2277m2365,2277l2428,2235m2428,2235l2488,2192m2488,2192l2548,2107m2548,2107l2608,1950m2608,1950l2658,2065m2658,2065l2718,2135e" filled="false" stroked="true" strokeweight="1pt" strokecolor="#0099d9">
              <v:path arrowok="t"/>
              <v:stroke dashstyle="solid"/>
            </v:shape>
            <v:line style="position:absolute" from="2708,2136" to="2788,2136" stroked="true" strokeweight="1.125pt" strokecolor="#0099d9">
              <v:stroke dashstyle="solid"/>
            </v:line>
            <v:shape style="position:absolute;left:2777;top:1194;width:1150;height:940" coordorigin="2778,1195" coordsize="1150,940" path="m2778,2135l2838,2122m2838,2122l2888,2092m2888,2092l2948,2080m2948,2080l3008,1980m3008,1980l3068,1922m3068,1922l3118,1907m3118,1907l3178,1880m3178,1880l3298,1850m3298,1850l3348,1750m3348,1750l3408,1637m3408,1637l3468,1480m3468,1480l3528,1522m3528,1522l3575,1310m3575,1310l3638,1280m3638,1280l3698,1622m3698,1622l3758,1352m3758,1352l3805,1237m3805,1237l3868,1195m3868,1195l3928,1295e" filled="false" stroked="true" strokeweight="1pt" strokecolor="#0099d9">
              <v:path arrowok="t"/>
              <v:stroke dashstyle="solid"/>
            </v:shape>
            <v:shape style="position:absolute;left:1047;top:1309;width:1318;height:825" coordorigin="1048,1310" coordsize="1318,825" path="m1048,2037l1108,1992m1108,1992l1168,1907m1168,1907l1218,1822m1218,1822l1278,1750m1278,1750l1338,1595m1338,1595l1398,1422m1398,1422l1448,1352m1448,1352l1508,1322m1508,1322l1568,1310m1568,1310l1628,1352m1628,1352l1678,1437m1678,1437l1738,1537m1738,1537l1798,1595m1798,1595l1858,1637m1858,1637l1908,1695m1908,1695l1968,1765m1968,1765l2028,1795m2028,1795l2088,1837m2088,1837l2138,1880m2138,1880l2198,1950m2198,1950l2258,2050m2258,2050l2318,2092m2318,2092l2365,2135e" filled="false" stroked="true" strokeweight="1pt" strokecolor="#610e7a">
              <v:path arrowok="t"/>
              <v:stroke dashstyle="solid"/>
            </v:shape>
            <v:line style="position:absolute" from="2355,2136" to="2438,2136" stroked="true" strokeweight="1.125pt" strokecolor="#610e7a">
              <v:stroke dashstyle="solid"/>
            </v:line>
            <v:shape style="position:absolute;left:2427;top:2134;width:180;height:58" coordorigin="2428,2135" coordsize="180,58" path="m2428,2135l2488,2150m2488,2150l2548,2180m2548,2180l2608,2192e" filled="false" stroked="true" strokeweight="1pt" strokecolor="#610e7a">
              <v:path arrowok="t"/>
              <v:stroke dashstyle="solid"/>
            </v:shape>
            <v:line style="position:absolute" from="2598,2193" to="2668,2193" stroked="true" strokeweight="1.125pt" strokecolor="#610e7a">
              <v:stroke dashstyle="solid"/>
            </v:line>
            <v:shape style="position:absolute;left:2657;top:2192;width:410;height:158" coordorigin="2658,2192" coordsize="410,158" path="m2658,2192l2778,2222m2778,2222l2838,2250m2838,2250l2888,2277m2888,2277l2948,2307m2948,2307l3008,2335m3008,2335l3068,2350e" filled="false" stroked="true" strokeweight="1pt" strokecolor="#610e7a">
              <v:path arrowok="t"/>
              <v:stroke dashstyle="solid"/>
            </v:shape>
            <v:line style="position:absolute" from="3058,2351" to="3128,2351" stroked="true" strokeweight="1.125pt" strokecolor="#610e7a">
              <v:stroke dashstyle="solid"/>
            </v:line>
            <v:shape style="position:absolute;left:3117;top:2249;width:350;height:100" coordorigin="3118,2250" coordsize="350,100" path="m3118,2350l3178,2335m3178,2335l3238,2307m3238,2307l3298,2292m3298,2292l3348,2277m3348,2277l3408,2265m3408,2265l3468,2250e" filled="false" stroked="true" strokeweight="1pt" strokecolor="#610e7a">
              <v:path arrowok="t"/>
              <v:stroke dashstyle="solid"/>
            </v:shape>
            <v:line style="position:absolute" from="3458,2251" to="3538,2251" stroked="true" strokeweight="1.125pt" strokecolor="#610e7a">
              <v:stroke dashstyle="solid"/>
            </v:line>
            <v:shape style="position:absolute;left:3527;top:1879;width:400;height:370" coordorigin="3528,1880" coordsize="400,370" path="m3528,2250l3575,2180m3575,2180l3638,2092m3638,2092l3698,2050m3698,2050l3758,2037m3758,2037l3805,1992m3805,1992l3868,1937m3868,1937l3928,1880e" filled="false" stroked="true" strokeweight="1pt" strokecolor="#610e7a">
              <v:path arrowok="t"/>
              <v:stroke dashstyle="solid"/>
            </v:shape>
            <v:shape style="position:absolute;left:1047;top:1337;width:460;height:358" coordorigin="1048,1337" coordsize="460,358" path="m1048,1580l1108,1395m1108,1395l1168,1337m1168,1337l1218,1695m1218,1695l1278,1565m1278,1565l1338,1522m1338,1522l1398,1565m1398,1565l1448,1652m1448,1652l1508,1380e" filled="false" stroked="true" strokeweight="1pt" strokecolor="#f5b37a">
              <v:path arrowok="t"/>
              <v:stroke dashstyle="solid"/>
            </v:shape>
            <v:line style="position:absolute" from="1498,1381" to="1578,1381" stroked="true" strokeweight="1.125pt" strokecolor="#f5b37a">
              <v:stroke dashstyle="solid"/>
            </v:line>
            <v:shape style="position:absolute;left:1567;top:1194;width:1150;height:500" coordorigin="1568,1195" coordsize="1150,500" path="m1568,1380l1628,1410m1628,1410l1678,1480m1678,1480l1738,1537m1738,1537l1798,1480m1798,1480l1858,1695m1858,1695l1908,1665m1908,1665l1968,1495m1968,1495l2028,1537m2028,1537l2088,1480m2088,1480l2138,1580m2138,1580l2198,1637m2198,1637l2258,1652m2258,1652l2318,1607m2318,1607l2365,1507m2365,1507l2428,1480m2428,1480l2488,1437m2488,1437l2548,1352m2548,1352l2608,1195m2608,1195l2658,1310m2658,1310l2718,1365e" filled="false" stroked="true" strokeweight="1pt" strokecolor="#f5b37a">
              <v:path arrowok="t"/>
              <v:stroke dashstyle="solid"/>
            </v:shape>
            <v:line style="position:absolute" from="2708,1366" to="2788,1366" stroked="true" strokeweight="1.125pt" strokecolor="#f5b37a">
              <v:stroke dashstyle="solid"/>
            </v:line>
            <v:shape style="position:absolute;left:2777;top:1109;width:460;height:255" coordorigin="2778,1110" coordsize="460,255" path="m2778,1365l2838,1352m2838,1352l2888,1337m2888,1337l2948,1310m2948,1310l3008,1222m3008,1222l3068,1167m3068,1167l3118,1152m3118,1152l3178,1137m3178,1137l3238,1110e" filled="false" stroked="true" strokeweight="1pt" strokecolor="#f5b37a">
              <v:path arrowok="t"/>
              <v:stroke dashstyle="solid"/>
            </v:shape>
            <v:line style="position:absolute" from="3228,1111" to="3308,1111" stroked="true" strokeweight="1.125pt" strokecolor="#f5b37a">
              <v:stroke dashstyle="solid"/>
            </v:line>
            <v:shape style="position:absolute;left:3297;top:424;width:630;height:685" coordorigin="3298,425" coordsize="630,685" path="m3298,1110l3348,1010m3348,1010l3408,895m3408,895l3468,737m3468,737l3528,782m3528,782l3575,552m3575,552l3638,525m3638,525l3698,852m3698,852l3758,582m3758,582l3805,452m3805,452l3868,425m3868,425l3928,497e" filled="false" stroked="true" strokeweight="1pt" strokecolor="#f5b37a">
              <v:path arrowok="t"/>
              <v:stroke dashstyle="solid"/>
            </v:shape>
            <v:shape style="position:absolute;left:3993;top:676;width:87;height:1805" coordorigin="3994,676" coordsize="87,1805" path="m4080,676l3994,676m4080,1037l3994,1037m4080,1759l3994,1759m4080,2481l3994,2481m4080,1398l3994,1398m4080,2120l3994,2120e" filled="false" stroked="true" strokeweight=".5pt" strokecolor="#000000">
              <v:path arrowok="t"/>
              <v:stroke dashstyle="solid"/>
            </v:shape>
            <v:shape style="position:absolute;left:2309;top:734;width:1100;height:134" type="#_x0000_t202" filled="false" stroked="false">
              <v:textbox inset="0,0,0,0">
                <w:txbxContent>
                  <w:p>
                    <w:pPr>
                      <w:spacing w:line="133" w:lineRule="exact" w:before="0"/>
                      <w:ind w:left="0" w:right="0" w:firstLine="0"/>
                      <w:jc w:val="left"/>
                      <w:rPr>
                        <w:sz w:val="12"/>
                      </w:rPr>
                    </w:pPr>
                    <w:r>
                      <w:rPr>
                        <w:sz w:val="12"/>
                      </w:rPr>
                      <w:t>Gross financial wealth</w:t>
                    </w:r>
                  </w:p>
                </w:txbxContent>
              </v:textbox>
              <w10:wrap type="none"/>
            </v:shape>
            <v:shape style="position:absolute;left:2748;top:2375;width:1060;height:134" type="#_x0000_t202" filled="false" stroked="false">
              <v:textbox inset="0,0,0,0">
                <w:txbxContent>
                  <w:p>
                    <w:pPr>
                      <w:spacing w:line="133" w:lineRule="exact" w:before="0"/>
                      <w:ind w:left="0" w:right="0" w:firstLine="0"/>
                      <w:jc w:val="left"/>
                      <w:rPr>
                        <w:sz w:val="12"/>
                      </w:rPr>
                    </w:pPr>
                    <w:r>
                      <w:rPr>
                        <w:sz w:val="12"/>
                      </w:rPr>
                      <w:t>Gross housing wealth</w:t>
                    </w:r>
                  </w:p>
                </w:txbxContent>
              </v:textbox>
              <w10:wrap type="none"/>
            </v:shape>
            <v:shape style="position:absolute;left:1101;top:2504;width:1163;height:134" type="#_x0000_t202" filled="false" stroked="false">
              <v:textbox inset="0,0,0,0">
                <w:txbxContent>
                  <w:p>
                    <w:pPr>
                      <w:spacing w:line="133" w:lineRule="exact" w:before="0"/>
                      <w:ind w:left="0" w:right="0" w:firstLine="0"/>
                      <w:jc w:val="left"/>
                      <w:rPr>
                        <w:sz w:val="12"/>
                      </w:rPr>
                    </w:pPr>
                    <w:r>
                      <w:rPr>
                        <w:sz w:val="12"/>
                      </w:rPr>
                      <w:t>Net financial wealth (b)</w:t>
                    </w:r>
                  </w:p>
                </w:txbxContent>
              </v:textbox>
              <w10:wrap type="none"/>
            </v:shape>
            <w10:wrap type="none"/>
          </v:group>
        </w:pict>
      </w:r>
      <w:r>
        <w:rPr/>
        <w:pict>
          <v:line style="position:absolute;mso-position-horizontal-relative:page;mso-position-vertical-relative:paragraph;z-index:15912960" from="47.717998pt,15.788374pt" to="43.384998pt,15.788374pt" stroked="true" strokeweight=".5pt" strokecolor="#000000">
            <v:stroke dashstyle="solid"/>
            <w10:wrap type="none"/>
          </v:line>
        </w:pict>
      </w:r>
      <w:r>
        <w:rPr/>
        <w:pict>
          <v:line style="position:absolute;mso-position-horizontal-relative:page;mso-position-vertical-relative:paragraph;z-index:-22228992" from="204.010002pt,15.767373pt" to="199.677002pt,15.767373pt" stroked="true" strokeweight=".5pt" strokecolor="#000000">
            <v:stroke dashstyle="solid"/>
            <w10:wrap type="none"/>
          </v:line>
        </w:pict>
      </w:r>
      <w:r>
        <w:rPr>
          <w:sz w:val="12"/>
        </w:rPr>
        <w:t>Ratios</w:t>
      </w:r>
      <w:r>
        <w:rPr>
          <w:spacing w:val="21"/>
          <w:sz w:val="12"/>
        </w:rPr>
        <w:t> </w:t>
      </w:r>
      <w:r>
        <w:rPr>
          <w:position w:val="-7"/>
          <w:sz w:val="12"/>
        </w:rPr>
        <w:t>5.0</w:t>
      </w:r>
    </w:p>
    <w:p>
      <w:pPr>
        <w:pStyle w:val="BodyText"/>
        <w:spacing w:before="7"/>
        <w:rPr>
          <w:sz w:val="19"/>
        </w:rPr>
      </w:pPr>
    </w:p>
    <w:p>
      <w:pPr>
        <w:spacing w:before="0"/>
        <w:ind w:left="3511" w:right="0" w:firstLine="0"/>
        <w:jc w:val="left"/>
        <w:rPr>
          <w:sz w:val="12"/>
        </w:rPr>
      </w:pPr>
      <w:r>
        <w:rPr/>
        <w:pict>
          <v:line style="position:absolute;mso-position-horizontal-relative:page;mso-position-vertical-relative:paragraph;z-index:15913472" from="47.717998pt,4.169556pt" to="43.384998pt,4.169556pt" stroked="true" strokeweight=".5pt" strokecolor="#000000">
            <v:stroke dashstyle="solid"/>
            <w10:wrap type="none"/>
          </v:line>
        </w:pict>
      </w:r>
      <w:r>
        <w:rPr>
          <w:sz w:val="12"/>
        </w:rPr>
        <w:t>4.5</w:t>
      </w:r>
    </w:p>
    <w:p>
      <w:pPr>
        <w:pStyle w:val="BodyText"/>
        <w:rPr>
          <w:sz w:val="12"/>
        </w:rPr>
      </w:pPr>
    </w:p>
    <w:p>
      <w:pPr>
        <w:spacing w:before="84"/>
        <w:ind w:left="3511" w:right="0" w:firstLine="0"/>
        <w:jc w:val="left"/>
        <w:rPr>
          <w:sz w:val="12"/>
        </w:rPr>
      </w:pPr>
      <w:r>
        <w:rPr/>
        <w:pict>
          <v:line style="position:absolute;mso-position-horizontal-relative:page;mso-position-vertical-relative:paragraph;z-index:15913984" from="47.717998pt,8.415556pt" to="43.384998pt,8.415556pt" stroked="true" strokeweight=".5pt" strokecolor="#000000">
            <v:stroke dashstyle="solid"/>
            <w10:wrap type="none"/>
          </v:line>
        </w:pict>
      </w:r>
      <w:r>
        <w:rPr>
          <w:sz w:val="12"/>
        </w:rPr>
        <w:t>4.0</w:t>
      </w:r>
    </w:p>
    <w:p>
      <w:pPr>
        <w:pStyle w:val="BodyText"/>
        <w:rPr>
          <w:sz w:val="12"/>
        </w:rPr>
      </w:pPr>
    </w:p>
    <w:p>
      <w:pPr>
        <w:spacing w:before="84"/>
        <w:ind w:left="3511" w:right="0" w:firstLine="0"/>
        <w:jc w:val="left"/>
        <w:rPr>
          <w:sz w:val="12"/>
        </w:rPr>
      </w:pPr>
      <w:r>
        <w:rPr/>
        <w:pict>
          <v:line style="position:absolute;mso-position-horizontal-relative:page;mso-position-vertical-relative:paragraph;z-index:15915008" from="47.717998pt,8.462556pt" to="43.384998pt,8.462556pt" stroked="true" strokeweight=".5pt" strokecolor="#000000">
            <v:stroke dashstyle="solid"/>
            <w10:wrap type="none"/>
          </v:line>
        </w:pict>
      </w:r>
      <w:r>
        <w:rPr>
          <w:sz w:val="12"/>
        </w:rPr>
        <w:t>3.5</w:t>
      </w:r>
    </w:p>
    <w:p>
      <w:pPr>
        <w:pStyle w:val="BodyText"/>
        <w:rPr>
          <w:sz w:val="12"/>
        </w:rPr>
      </w:pPr>
    </w:p>
    <w:p>
      <w:pPr>
        <w:spacing w:before="84"/>
        <w:ind w:left="3511" w:right="0" w:firstLine="0"/>
        <w:jc w:val="left"/>
        <w:rPr>
          <w:sz w:val="12"/>
        </w:rPr>
      </w:pPr>
      <w:r>
        <w:rPr/>
        <w:pict>
          <v:line style="position:absolute;mso-position-horizontal-relative:page;mso-position-vertical-relative:paragraph;z-index:15914496" from="47.717998pt,8.509556pt" to="43.384998pt,8.509556pt" stroked="true" strokeweight=".5pt" strokecolor="#000000">
            <v:stroke dashstyle="solid"/>
            <w10:wrap type="none"/>
          </v:line>
        </w:pict>
      </w:r>
      <w:r>
        <w:rPr>
          <w:sz w:val="12"/>
        </w:rPr>
        <w:t>3.0</w:t>
      </w:r>
    </w:p>
    <w:p>
      <w:pPr>
        <w:pStyle w:val="Heading6"/>
        <w:spacing w:line="242" w:lineRule="auto" w:before="224"/>
        <w:ind w:left="181" w:right="640"/>
      </w:pPr>
      <w:r>
        <w:rPr/>
        <w:br w:type="column"/>
      </w:r>
      <w:r>
        <w:rPr/>
        <w:t>millennium-related purchases. However, the most recent CBI distributive trades survey gave little sign that the strength of retail sales had unwound after the new year, as the seasonally adjusted retail sales</w:t>
      </w:r>
    </w:p>
    <w:p>
      <w:pPr>
        <w:spacing w:line="242" w:lineRule="auto" w:before="6"/>
        <w:ind w:left="181" w:right="86" w:firstLine="0"/>
        <w:jc w:val="left"/>
        <w:rPr>
          <w:sz w:val="24"/>
        </w:rPr>
      </w:pPr>
      <w:r>
        <w:rPr>
          <w:sz w:val="24"/>
        </w:rPr>
        <w:t>balance for January was higher than in any month since October 1996.</w:t>
      </w:r>
    </w:p>
    <w:p>
      <w:pPr>
        <w:pStyle w:val="BodyText"/>
        <w:spacing w:before="6"/>
        <w:rPr>
          <w:sz w:val="24"/>
        </w:rPr>
      </w:pPr>
    </w:p>
    <w:p>
      <w:pPr>
        <w:spacing w:line="242" w:lineRule="auto" w:before="0"/>
        <w:ind w:left="181" w:right="207" w:firstLine="0"/>
        <w:jc w:val="left"/>
        <w:rPr>
          <w:sz w:val="24"/>
        </w:rPr>
      </w:pPr>
      <w:r>
        <w:rPr>
          <w:sz w:val="24"/>
        </w:rPr>
        <w:t>Consumption expenditure is related, among other things, to households’ real incomes. Real post-tax labour income grew strongly in 1999 Q3, and was 3% higher than a year earlier—the fastest annual growth rate</w:t>
      </w:r>
    </w:p>
    <w:p>
      <w:pPr>
        <w:spacing w:line="242" w:lineRule="auto" w:before="5"/>
        <w:ind w:left="181" w:right="420" w:firstLine="0"/>
        <w:jc w:val="left"/>
        <w:rPr>
          <w:sz w:val="24"/>
        </w:rPr>
      </w:pPr>
      <w:r>
        <w:rPr>
          <w:sz w:val="24"/>
        </w:rPr>
        <w:t>since 1997 Q4. By contrast, non-labour income, such as dividend payments, fell sharply in 1999 Q3. But this component tends to be much more volatile from quarter to quarter than labour income (see Chart 2.8), and the recent pattern of non-labour income has been affected by the abolition of Advance Corporation </w:t>
      </w:r>
      <w:r>
        <w:rPr>
          <w:spacing w:val="-7"/>
          <w:sz w:val="24"/>
        </w:rPr>
        <w:t>Tax </w:t>
      </w:r>
      <w:r>
        <w:rPr>
          <w:spacing w:val="-3"/>
          <w:sz w:val="24"/>
        </w:rPr>
        <w:t>(ACT). </w:t>
      </w:r>
      <w:r>
        <w:rPr>
          <w:sz w:val="24"/>
        </w:rPr>
        <w:t>That led many companies to switch the timing of their dividend payments in 1999 from Q1 to Q2, with a subsequent fall back in Q3. Non-labour income growth is expected to recover once the effects</w:t>
      </w:r>
      <w:r>
        <w:rPr>
          <w:spacing w:val="-30"/>
          <w:sz w:val="24"/>
        </w:rPr>
        <w:t> </w:t>
      </w:r>
      <w:r>
        <w:rPr>
          <w:sz w:val="24"/>
        </w:rPr>
        <w:t>of</w:t>
      </w:r>
    </w:p>
    <w:p>
      <w:pPr>
        <w:spacing w:line="242" w:lineRule="auto" w:before="13"/>
        <w:ind w:left="181" w:right="446" w:firstLine="0"/>
        <w:jc w:val="left"/>
        <w:rPr>
          <w:sz w:val="24"/>
        </w:rPr>
      </w:pPr>
      <w:r>
        <w:rPr>
          <w:sz w:val="24"/>
        </w:rPr>
        <w:t>these distortions have passed, and the MPC has revised up its projections for labour income over the</w:t>
      </w:r>
    </w:p>
    <w:p>
      <w:pPr>
        <w:spacing w:line="242" w:lineRule="auto" w:before="2"/>
        <w:ind w:left="181" w:right="86" w:firstLine="0"/>
        <w:jc w:val="left"/>
        <w:rPr>
          <w:sz w:val="24"/>
        </w:rPr>
      </w:pPr>
      <w:r>
        <w:rPr>
          <w:sz w:val="24"/>
        </w:rPr>
        <w:t>forecast period, reflecting expectations of faster earnings growth.</w:t>
      </w:r>
    </w:p>
    <w:p>
      <w:pPr>
        <w:pStyle w:val="BodyText"/>
        <w:spacing w:before="7"/>
        <w:rPr>
          <w:sz w:val="24"/>
        </w:rPr>
      </w:pPr>
    </w:p>
    <w:p>
      <w:pPr>
        <w:spacing w:line="242" w:lineRule="auto" w:before="0"/>
        <w:ind w:left="181" w:right="208" w:firstLine="0"/>
        <w:jc w:val="left"/>
        <w:rPr>
          <w:sz w:val="24"/>
        </w:rPr>
      </w:pPr>
      <w:r>
        <w:rPr>
          <w:sz w:val="24"/>
        </w:rPr>
        <w:t>Household income is, however, only one of several determinants of consumption. For example, an increase in households’ wealth tends to raise their consumption relative to income. One way that this can occur is if households use this wealth as collateral for secured borrowing, as is the case in mortgage equity withdrawal. Consistent with robust consumption growth in recent quarters and the upturn in secured lending to households noted in</w:t>
      </w:r>
      <w:hyperlink w:history="true" w:anchor="_bookmark2">
        <w:r>
          <w:rPr>
            <w:sz w:val="24"/>
          </w:rPr>
          <w:t> Section 1, </w:t>
        </w:r>
      </w:hyperlink>
      <w:r>
        <w:rPr>
          <w:sz w:val="24"/>
        </w:rPr>
        <w:t>increases in household wealth in Q2 and Q3 were indeed stronger than had been assumed in earlier </w:t>
      </w:r>
      <w:r>
        <w:rPr>
          <w:i/>
          <w:sz w:val="24"/>
        </w:rPr>
        <w:t>Reports</w:t>
      </w:r>
      <w:r>
        <w:rPr>
          <w:sz w:val="24"/>
        </w:rPr>
        <w:t>. The increase in housing wealth was particularly marked: the ratio of gross housing wealth to post-tax income rose from 2.6 in 1999 Q1 to 2.9 in</w:t>
      </w:r>
    </w:p>
    <w:p>
      <w:pPr>
        <w:spacing w:line="242" w:lineRule="auto" w:before="17"/>
        <w:ind w:left="181" w:right="756" w:firstLine="0"/>
        <w:jc w:val="both"/>
        <w:rPr>
          <w:sz w:val="24"/>
        </w:rPr>
      </w:pPr>
      <w:r>
        <w:rPr>
          <w:sz w:val="24"/>
        </w:rPr>
        <w:t>1999 Q3 (see Chart 2.9). Significant rises in house prices and equity prices since then will have raised household wealth further in recent months.</w:t>
      </w:r>
    </w:p>
    <w:p>
      <w:pPr>
        <w:spacing w:after="0" w:line="242" w:lineRule="auto"/>
        <w:jc w:val="both"/>
        <w:rPr>
          <w:sz w:val="24"/>
        </w:rPr>
        <w:sectPr>
          <w:type w:val="continuous"/>
          <w:pgSz w:w="11900" w:h="16840"/>
          <w:pgMar w:top="1220" w:bottom="280" w:left="620" w:right="640"/>
          <w:cols w:num="2" w:equalWidth="0">
            <w:col w:w="4274" w:space="519"/>
            <w:col w:w="5847"/>
          </w:cols>
        </w:sectPr>
      </w:pPr>
    </w:p>
    <w:p>
      <w:pPr>
        <w:pStyle w:val="BodyText"/>
        <w:spacing w:before="1"/>
        <w:rPr>
          <w:sz w:val="11"/>
        </w:rPr>
      </w:pPr>
    </w:p>
    <w:p>
      <w:pPr>
        <w:spacing w:after="0"/>
        <w:rPr>
          <w:sz w:val="11"/>
        </w:rPr>
        <w:sectPr>
          <w:type w:val="continuous"/>
          <w:pgSz w:w="11900" w:h="16840"/>
          <w:pgMar w:top="1220" w:bottom="280" w:left="620" w:right="640"/>
        </w:sectPr>
      </w:pPr>
    </w:p>
    <w:p>
      <w:pPr>
        <w:pStyle w:val="BodyText"/>
        <w:spacing w:before="4" w:after="1"/>
        <w:rPr>
          <w:sz w:val="15"/>
        </w:rPr>
      </w:pPr>
    </w:p>
    <w:p>
      <w:pPr>
        <w:pStyle w:val="BodyText"/>
        <w:spacing w:line="20" w:lineRule="exact"/>
        <w:ind w:left="24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2"/>
        <w:rPr>
          <w:sz w:val="26"/>
        </w:rPr>
      </w:pPr>
      <w:r>
        <w:rPr/>
        <w:pict>
          <v:shape style="position:absolute;margin-left:43.384998pt;margin-top:17.297001pt;width:4.350pt;height:.1pt;mso-position-horizontal-relative:page;mso-position-vertical-relative:paragraph;z-index:-15547904;mso-wrap-distance-left:0;mso-wrap-distance-right:0" coordorigin="868,346" coordsize="87,0" path="m954,346l868,346e" filled="false" stroked="true" strokeweight=".5pt" strokecolor="#000000">
            <v:path arrowok="t"/>
            <v:stroke dashstyle="solid"/>
            <w10:wrap type="topAndBottom"/>
          </v:shape>
        </w:pict>
      </w:r>
      <w:r>
        <w:rPr/>
        <w:pict>
          <v:shape style="position:absolute;margin-left:43.384998pt;margin-top:35.344002pt;width:4.350pt;height:.1pt;mso-position-horizontal-relative:page;mso-position-vertical-relative:paragraph;z-index:-15547392;mso-wrap-distance-left:0;mso-wrap-distance-right:0" coordorigin="868,707" coordsize="87,0" path="m954,707l868,707e" filled="false" stroked="true" strokeweight=".5pt" strokecolor="#000000">
            <v:path arrowok="t"/>
            <v:stroke dashstyle="solid"/>
            <w10:wrap type="topAndBottom"/>
          </v:shape>
        </w:pict>
      </w:r>
      <w:r>
        <w:rPr/>
        <w:pict>
          <v:shape style="position:absolute;margin-left:43.384998pt;margin-top:53.389999pt;width:4.350pt;height:.1pt;mso-position-horizontal-relative:page;mso-position-vertical-relative:paragraph;z-index:-15546880;mso-wrap-distance-left:0;mso-wrap-distance-right:0" coordorigin="868,1068" coordsize="87,0" path="m954,1068l868,1068e" filled="false" stroked="true" strokeweight=".5pt" strokecolor="#000000">
            <v:path arrowok="t"/>
            <v:stroke dashstyle="solid"/>
            <w10:wrap type="topAndBottom"/>
          </v:shape>
        </w:pict>
      </w:r>
    </w:p>
    <w:p>
      <w:pPr>
        <w:pStyle w:val="BodyText"/>
        <w:spacing w:before="6"/>
        <w:rPr>
          <w:sz w:val="24"/>
        </w:rPr>
      </w:pPr>
    </w:p>
    <w:p>
      <w:pPr>
        <w:pStyle w:val="BodyText"/>
        <w:spacing w:before="6"/>
        <w:rPr>
          <w:sz w:val="24"/>
        </w:rPr>
      </w:pPr>
    </w:p>
    <w:p>
      <w:pPr>
        <w:tabs>
          <w:tab w:pos="947" w:val="left" w:leader="none"/>
          <w:tab w:pos="1406" w:val="left" w:leader="none"/>
          <w:tab w:pos="1866" w:val="left" w:leader="none"/>
          <w:tab w:pos="2325" w:val="left" w:leader="none"/>
          <w:tab w:pos="2785" w:val="left" w:leader="none"/>
          <w:tab w:pos="3187" w:val="left" w:leader="none"/>
        </w:tabs>
        <w:spacing w:before="0"/>
        <w:ind w:left="414" w:right="0" w:firstLine="0"/>
        <w:jc w:val="left"/>
        <w:rPr>
          <w:sz w:val="12"/>
        </w:rPr>
      </w:pPr>
      <w:r>
        <w:rPr>
          <w:sz w:val="12"/>
        </w:rPr>
        <w:t>1987</w:t>
        <w:tab/>
        <w:t>89</w:t>
        <w:tab/>
        <w:t>91</w:t>
        <w:tab/>
        <w:t>93</w:t>
        <w:tab/>
        <w:t>95</w:t>
        <w:tab/>
        <w:t>97</w:t>
        <w:tab/>
      </w:r>
      <w:r>
        <w:rPr>
          <w:spacing w:val="-10"/>
          <w:sz w:val="12"/>
        </w:rPr>
        <w:t>99</w:t>
      </w:r>
    </w:p>
    <w:p>
      <w:pPr>
        <w:pStyle w:val="BodyText"/>
        <w:rPr>
          <w:sz w:val="12"/>
        </w:rPr>
      </w:pPr>
    </w:p>
    <w:p>
      <w:pPr>
        <w:spacing w:line="125" w:lineRule="exact" w:before="0"/>
        <w:ind w:left="184" w:right="0" w:firstLine="0"/>
        <w:jc w:val="left"/>
        <w:rPr>
          <w:sz w:val="12"/>
        </w:rPr>
      </w:pPr>
      <w:r>
        <w:rPr>
          <w:sz w:val="12"/>
        </w:rPr>
        <w:t>(a) Using a four-quarter moving sum of income.</w:t>
      </w:r>
    </w:p>
    <w:p>
      <w:pPr>
        <w:spacing w:before="95"/>
        <w:ind w:left="164" w:right="0" w:firstLine="0"/>
        <w:jc w:val="left"/>
        <w:rPr>
          <w:sz w:val="12"/>
        </w:rPr>
      </w:pPr>
      <w:r>
        <w:rPr/>
        <w:br w:type="column"/>
      </w:r>
      <w:r>
        <w:rPr>
          <w:sz w:val="12"/>
        </w:rPr>
        <w:t>2.5</w:t>
      </w:r>
    </w:p>
    <w:p>
      <w:pPr>
        <w:pStyle w:val="BodyText"/>
        <w:rPr>
          <w:sz w:val="12"/>
        </w:rPr>
      </w:pPr>
    </w:p>
    <w:p>
      <w:pPr>
        <w:spacing w:before="84"/>
        <w:ind w:left="164" w:right="0" w:firstLine="0"/>
        <w:jc w:val="left"/>
        <w:rPr>
          <w:sz w:val="12"/>
        </w:rPr>
      </w:pPr>
      <w:r>
        <w:rPr>
          <w:sz w:val="12"/>
        </w:rPr>
        <w:t>2.0</w:t>
      </w:r>
    </w:p>
    <w:p>
      <w:pPr>
        <w:pStyle w:val="BodyText"/>
        <w:rPr>
          <w:sz w:val="12"/>
        </w:rPr>
      </w:pPr>
    </w:p>
    <w:p>
      <w:pPr>
        <w:spacing w:before="84"/>
        <w:ind w:left="164" w:right="0" w:firstLine="0"/>
        <w:jc w:val="left"/>
        <w:rPr>
          <w:sz w:val="12"/>
        </w:rPr>
      </w:pPr>
      <w:r>
        <w:rPr/>
        <w:pict>
          <v:line style="position:absolute;mso-position-horizontal-relative:page;mso-position-vertical-relative:paragraph;z-index:15916544" from="204.010002pt,8.629557pt" to="199.677002pt,8.629557pt" stroked="true" strokeweight=".5pt" strokecolor="#000000">
            <v:stroke dashstyle="solid"/>
            <w10:wrap type="none"/>
          </v:line>
        </w:pict>
      </w:r>
      <w:r>
        <w:rPr>
          <w:sz w:val="12"/>
        </w:rPr>
        <w:t>1.5</w:t>
      </w:r>
    </w:p>
    <w:p>
      <w:pPr>
        <w:pStyle w:val="BodyText"/>
        <w:rPr>
          <w:sz w:val="12"/>
        </w:rPr>
      </w:pPr>
    </w:p>
    <w:p>
      <w:pPr>
        <w:spacing w:before="84"/>
        <w:ind w:left="164" w:right="0" w:firstLine="0"/>
        <w:jc w:val="left"/>
        <w:rPr>
          <w:sz w:val="12"/>
        </w:rPr>
      </w:pPr>
      <w:r>
        <w:rPr/>
        <w:pict>
          <v:shape style="position:absolute;margin-left:52.486pt;margin-top:5.967564pt;width:151.550pt;height:2.75pt;mso-position-horizontal-relative:page;mso-position-vertical-relative:paragraph;z-index:15915520" coordorigin="1050,119" coordsize="3031,55" path="m1052,173l3930,173m1050,119l1050,173m1510,119l1510,173m2200,119l2200,173m3580,119l3580,173m2660,119l2660,173m3810,119l3810,173m1280,119l1280,173m1740,119l1740,173m2890,119l2890,173m3120,119l3120,173m1970,119l1970,173m3350,119l3350,173m2430,119l2430,173m4080,174l3994,174e" filled="false" stroked="true" strokeweight=".5pt" strokecolor="#000000">
            <v:path arrowok="t"/>
            <v:stroke dashstyle="solid"/>
            <w10:wrap type="none"/>
          </v:shape>
        </w:pict>
      </w:r>
      <w:r>
        <w:rPr>
          <w:sz w:val="12"/>
        </w:rPr>
        <w:t>1.0</w:t>
      </w:r>
    </w:p>
    <w:p>
      <w:pPr>
        <w:pStyle w:val="Heading6"/>
        <w:spacing w:line="280" w:lineRule="atLeast" w:before="143"/>
        <w:ind w:left="184" w:right="181"/>
      </w:pPr>
      <w:r>
        <w:rPr/>
        <w:br w:type="column"/>
      </w:r>
      <w:r>
        <w:rPr/>
        <w:t>Households’ assessment of their likely future financial position may also affect their consumption relative to current income. The more confident that households are about the economic factors that are likely to affect them in the future, the higher current consumption is likely to be, since households will tend to save a smaller share of</w:t>
      </w:r>
    </w:p>
    <w:p>
      <w:pPr>
        <w:spacing w:after="0" w:line="280" w:lineRule="atLeast"/>
        <w:sectPr>
          <w:type w:val="continuous"/>
          <w:pgSz w:w="11900" w:h="16840"/>
          <w:pgMar w:top="1220" w:bottom="280" w:left="620" w:right="640"/>
          <w:cols w:num="3" w:equalWidth="0">
            <w:col w:w="3308" w:space="40"/>
            <w:col w:w="355" w:space="1087"/>
            <w:col w:w="5850"/>
          </w:cols>
        </w:sectPr>
      </w:pPr>
    </w:p>
    <w:p>
      <w:pPr>
        <w:pStyle w:val="ListParagraph"/>
        <w:numPr>
          <w:ilvl w:val="0"/>
          <w:numId w:val="12"/>
        </w:numPr>
        <w:tabs>
          <w:tab w:pos="425" w:val="left" w:leader="none"/>
        </w:tabs>
        <w:spacing w:line="2" w:lineRule="exact" w:before="0" w:after="0"/>
        <w:ind w:left="424" w:right="0" w:hanging="241"/>
        <w:jc w:val="left"/>
        <w:rPr>
          <w:sz w:val="12"/>
        </w:rPr>
      </w:pPr>
      <w:r>
        <w:rPr>
          <w:sz w:val="12"/>
        </w:rPr>
        <w:t>Total</w:t>
      </w:r>
      <w:r>
        <w:rPr>
          <w:spacing w:val="-7"/>
          <w:sz w:val="12"/>
        </w:rPr>
        <w:t> </w:t>
      </w:r>
      <w:r>
        <w:rPr>
          <w:sz w:val="12"/>
        </w:rPr>
        <w:t>household</w:t>
      </w:r>
      <w:r>
        <w:rPr>
          <w:spacing w:val="-6"/>
          <w:sz w:val="12"/>
        </w:rPr>
        <w:t> </w:t>
      </w:r>
      <w:r>
        <w:rPr>
          <w:sz w:val="12"/>
        </w:rPr>
        <w:t>financial</w:t>
      </w:r>
      <w:r>
        <w:rPr>
          <w:spacing w:val="-6"/>
          <w:sz w:val="12"/>
        </w:rPr>
        <w:t> </w:t>
      </w:r>
      <w:r>
        <w:rPr>
          <w:sz w:val="12"/>
        </w:rPr>
        <w:t>assets</w:t>
      </w:r>
      <w:r>
        <w:rPr>
          <w:spacing w:val="-6"/>
          <w:sz w:val="12"/>
        </w:rPr>
        <w:t> </w:t>
      </w:r>
      <w:r>
        <w:rPr>
          <w:sz w:val="12"/>
        </w:rPr>
        <w:t>minus</w:t>
      </w:r>
      <w:r>
        <w:rPr>
          <w:spacing w:val="-6"/>
          <w:sz w:val="12"/>
        </w:rPr>
        <w:t> </w:t>
      </w:r>
      <w:r>
        <w:rPr>
          <w:sz w:val="12"/>
        </w:rPr>
        <w:t>total</w:t>
      </w:r>
      <w:r>
        <w:rPr>
          <w:spacing w:val="-7"/>
          <w:sz w:val="12"/>
        </w:rPr>
        <w:t> </w:t>
      </w:r>
      <w:r>
        <w:rPr>
          <w:sz w:val="12"/>
        </w:rPr>
        <w:t>household</w:t>
      </w:r>
      <w:r>
        <w:rPr>
          <w:spacing w:val="-6"/>
          <w:sz w:val="12"/>
        </w:rPr>
        <w:t> </w:t>
      </w:r>
      <w:r>
        <w:rPr>
          <w:sz w:val="12"/>
        </w:rPr>
        <w:t>financial</w:t>
      </w:r>
      <w:r>
        <w:rPr>
          <w:spacing w:val="-6"/>
          <w:sz w:val="12"/>
        </w:rPr>
        <w:t> </w:t>
      </w:r>
      <w:r>
        <w:rPr>
          <w:sz w:val="12"/>
        </w:rPr>
        <w:t>liabilities,</w:t>
      </w:r>
    </w:p>
    <w:p>
      <w:pPr>
        <w:spacing w:line="127" w:lineRule="exact" w:before="0"/>
        <w:ind w:left="424" w:right="0" w:firstLine="0"/>
        <w:jc w:val="left"/>
        <w:rPr>
          <w:sz w:val="12"/>
        </w:rPr>
      </w:pPr>
      <w:r>
        <w:rPr>
          <w:sz w:val="12"/>
        </w:rPr>
        <w:t>including mortgage debt.</w:t>
      </w:r>
    </w:p>
    <w:p>
      <w:pPr>
        <w:pStyle w:val="Heading6"/>
        <w:spacing w:line="242" w:lineRule="auto" w:before="4"/>
        <w:ind w:left="184"/>
      </w:pPr>
      <w:r>
        <w:rPr/>
        <w:br w:type="column"/>
      </w:r>
      <w:r>
        <w:rPr/>
        <w:t>their current income as a precaution against any potential adverse economic developments. Such economic factors</w:t>
      </w:r>
    </w:p>
    <w:p>
      <w:pPr>
        <w:spacing w:after="0" w:line="242" w:lineRule="auto"/>
        <w:sectPr>
          <w:type w:val="continuous"/>
          <w:pgSz w:w="11900" w:h="16840"/>
          <w:pgMar w:top="1220" w:bottom="280" w:left="620" w:right="640"/>
          <w:cols w:num="2" w:equalWidth="0">
            <w:col w:w="4047" w:space="743"/>
            <w:col w:w="5850"/>
          </w:cols>
        </w:sectPr>
      </w:pPr>
    </w:p>
    <w:p>
      <w:pPr>
        <w:pStyle w:val="BodyText"/>
        <w:rPr>
          <w:sz w:val="20"/>
        </w:rPr>
      </w:pPr>
    </w:p>
    <w:p>
      <w:pPr>
        <w:spacing w:after="0"/>
        <w:rPr>
          <w:sz w:val="20"/>
        </w:rPr>
        <w:sectPr>
          <w:pgSz w:w="11900" w:h="16840"/>
          <w:pgMar w:header="586" w:footer="617" w:top="780" w:bottom="800" w:left="620" w:right="640"/>
        </w:sectPr>
      </w:pPr>
    </w:p>
    <w:p>
      <w:pPr>
        <w:pStyle w:val="BodyText"/>
        <w:spacing w:before="6"/>
        <w:rPr>
          <w:sz w:val="20"/>
        </w:rPr>
      </w:pPr>
    </w:p>
    <w:p>
      <w:pPr>
        <w:pStyle w:val="Heading9"/>
        <w:spacing w:before="0"/>
        <w:ind w:left="171"/>
      </w:pPr>
      <w:bookmarkStart w:name="Investment demand" w:id="38"/>
      <w:bookmarkEnd w:id="38"/>
      <w:r>
        <w:rPr>
          <w:b w:val="0"/>
        </w:rPr>
      </w:r>
      <w:bookmarkStart w:name="_bookmark14" w:id="39"/>
      <w:bookmarkEnd w:id="39"/>
      <w:r>
        <w:rPr>
          <w:b w:val="0"/>
        </w:rPr>
      </w:r>
      <w:r>
        <w:rPr>
          <w:color w:val="0092C7"/>
        </w:rPr>
        <w:t>Chart 2.10</w:t>
      </w:r>
    </w:p>
    <w:p>
      <w:pPr>
        <w:spacing w:line="249" w:lineRule="auto" w:before="10"/>
        <w:ind w:left="171" w:right="20" w:firstLine="0"/>
        <w:jc w:val="left"/>
        <w:rPr>
          <w:sz w:val="12"/>
        </w:rPr>
      </w:pPr>
      <w:r>
        <w:rPr>
          <w:b/>
          <w:color w:val="0092C7"/>
          <w:sz w:val="20"/>
        </w:rPr>
        <w:t>Consumer confidence about future economic conditions</w:t>
      </w:r>
      <w:r>
        <w:rPr>
          <w:position w:val="4"/>
          <w:sz w:val="12"/>
        </w:rPr>
        <w:t>(a)</w:t>
      </w:r>
    </w:p>
    <w:p>
      <w:pPr>
        <w:spacing w:line="242" w:lineRule="auto" w:before="207"/>
        <w:ind w:left="171" w:right="240" w:firstLine="0"/>
        <w:jc w:val="left"/>
        <w:rPr>
          <w:sz w:val="24"/>
        </w:rPr>
      </w:pPr>
      <w:r>
        <w:rPr/>
        <w:br w:type="column"/>
      </w:r>
      <w:r>
        <w:rPr>
          <w:sz w:val="24"/>
        </w:rPr>
        <w:t>might include households’ expectations of unemployment, which would affect consumer confidence about future labour income. Fears of rising</w:t>
      </w:r>
    </w:p>
    <w:p>
      <w:pPr>
        <w:spacing w:after="0" w:line="242" w:lineRule="auto"/>
        <w:jc w:val="left"/>
        <w:rPr>
          <w:sz w:val="24"/>
        </w:rPr>
        <w:sectPr>
          <w:type w:val="continuous"/>
          <w:pgSz w:w="11900" w:h="16840"/>
          <w:pgMar w:top="1220" w:bottom="280" w:left="620" w:right="640"/>
          <w:cols w:num="2" w:equalWidth="0">
            <w:col w:w="4033" w:space="785"/>
            <w:col w:w="5822"/>
          </w:cols>
        </w:sectPr>
      </w:pPr>
    </w:p>
    <w:p>
      <w:pPr>
        <w:spacing w:line="74" w:lineRule="exact" w:before="0"/>
        <w:ind w:left="308" w:right="0" w:firstLine="0"/>
        <w:jc w:val="left"/>
        <w:rPr>
          <w:sz w:val="12"/>
        </w:rPr>
      </w:pPr>
      <w:r>
        <w:rPr>
          <w:sz w:val="12"/>
        </w:rPr>
        <w:t>Percentage point balance</w:t>
      </w:r>
    </w:p>
    <w:p>
      <w:pPr>
        <w:spacing w:line="138" w:lineRule="exact" w:before="0"/>
        <w:ind w:left="161" w:right="0" w:firstLine="0"/>
        <w:jc w:val="left"/>
        <w:rPr>
          <w:sz w:val="12"/>
        </w:rPr>
      </w:pPr>
      <w:r>
        <w:rPr/>
        <w:pict>
          <v:group style="position:absolute;margin-left:58.727001pt;margin-top:8.604429pt;width:152.35pt;height:95.9pt;mso-position-horizontal-relative:page;mso-position-vertical-relative:paragraph;z-index:15936000" coordorigin="1175,172" coordsize="3047,1918">
            <v:shape style="position:absolute;left:1188;top:914;width:903;height:898" coordorigin="1189,914" coordsize="903,898" path="m1189,974l1244,959m1244,959l1311,944m1311,944l1369,914m1369,914l1424,989m1424,989l1494,1199m1494,1199l1549,1124m1549,1124l1606,1184m1606,1184l1674,1244m1674,1244l1729,1334m1729,1334l1786,1199m1786,1199l1841,1379m1841,1379l1909,1319m1909,1319l1966,1274m1966,1274l2021,1259m2021,1259l2091,1812e" filled="false" stroked="true" strokeweight="1pt" strokecolor="#f6bd61">
              <v:path arrowok="t"/>
              <v:stroke dashstyle="solid"/>
            </v:shape>
            <v:line style="position:absolute" from="2081,1813" to="2156,1813" stroked="true" strokeweight="1.125pt" strokecolor="#f6bd61">
              <v:stroke dashstyle="solid"/>
            </v:line>
            <v:shape style="position:absolute;left:2146;top:184;width:1375;height:1895" coordorigin="2146,184" coordsize="1375,1895" path="m2146,1812l2204,2079m2204,2079l2271,1797m2271,1797l2326,1737m2326,1737l2384,1854m2384,1854l2451,1767m2451,1767l2506,1572m2506,1572l2564,1812m2564,1812l2631,1722m2631,1722l2689,1662m2689,1662l2744,1752m2744,1752l2801,1542m2801,1542l2869,1379m2869,1379l2924,1109m2924,1109l2981,632m2981,632l3049,662m3049,662l3104,184m3104,184l3161,424m3161,424l3229,229m3229,229l3284,424m3284,424l3341,572m3341,572l3409,827m3409,827l3466,812m3466,812l3521,872e" filled="false" stroked="true" strokeweight="1pt" strokecolor="#f6bd61">
              <v:path arrowok="t"/>
              <v:stroke dashstyle="solid"/>
            </v:shape>
            <v:line style="position:absolute" from="3511,873" to="3599,873" stroked="true" strokeweight="1.125pt" strokecolor="#f6bd61">
              <v:stroke dashstyle="solid"/>
            </v:line>
            <v:shape style="position:absolute;left:3588;top:871;width:475;height:508" coordorigin="3589,872" coordsize="475,508" path="m3589,872l3646,902m3646,902l3701,1004m3701,1004l3759,1124m3759,1124l3826,1139m3826,1139l3881,1379m3881,1379l3939,1094m3939,1094l4006,1229m4006,1229l4064,1244e" filled="false" stroked="true" strokeweight="1pt" strokecolor="#f6bd61">
              <v:path arrowok="t"/>
              <v:stroke dashstyle="solid"/>
            </v:shape>
            <v:line style="position:absolute" from="1216,1189" to="1216,1777" stroked="true" strokeweight="3.75pt" strokecolor="#008360">
              <v:stroke dashstyle="solid"/>
            </v:line>
            <v:shape style="position:absolute;left:1233;top:1069;width:450;height:708" type="#_x0000_t75" stroked="false">
              <v:imagedata r:id="rId85" o:title=""/>
            </v:shape>
            <v:shape style="position:absolute;left:1673;top:1034;width:113;height:493" coordorigin="1674,1034" coordsize="113,493" path="m1674,1079l1729,1527m1729,1527l1786,1034e" filled="false" stroked="true" strokeweight="1pt" strokecolor="#008360">
              <v:path arrowok="t"/>
              <v:stroke dashstyle="solid"/>
            </v:shape>
            <v:line style="position:absolute" from="1814,1024" to="1814,1762" stroked="true" strokeweight="3.75pt" strokecolor="#008360">
              <v:stroke dashstyle="solid"/>
            </v:line>
            <v:shape style="position:absolute;left:1841;top:646;width:250;height:1105" coordorigin="1841,647" coordsize="250,1105" path="m1841,1752l1909,1079m1909,1079l1966,647m1966,647l2021,1034m2021,1034l2091,1289e" filled="false" stroked="true" strokeweight="1pt" strokecolor="#008360">
              <v:path arrowok="t"/>
              <v:stroke dashstyle="solid"/>
            </v:shape>
            <v:line style="position:absolute" from="2119,682" to="2119,1299" stroked="true" strokeweight="3.75pt" strokecolor="#008360">
              <v:stroke dashstyle="solid"/>
            </v:line>
            <v:shape style="position:absolute;left:2146;top:646;width:305;height:343" coordorigin="2146,647" coordsize="305,343" path="m2146,692l2204,662m2204,662l2271,989m2271,989l2326,959m2326,959l2384,662m2384,662l2451,647e" filled="false" stroked="true" strokeweight="1pt" strokecolor="#008360">
              <v:path arrowok="t"/>
              <v:stroke dashstyle="solid"/>
            </v:shape>
            <v:line style="position:absolute" from="2479,637" to="2479,1209" stroked="true" strokeweight="3.75pt" strokecolor="#008360">
              <v:stroke dashstyle="solid"/>
            </v:line>
            <v:shape style="position:absolute;left:2496;top:636;width:563;height:633" type="#_x0000_t75" stroked="false">
              <v:imagedata r:id="rId86" o:title=""/>
            </v:shape>
            <v:shape style="position:absolute;left:3048;top:451;width:293;height:718" coordorigin="3049,452" coordsize="293,718" path="m3049,1169l3104,722m3104,722l3161,842m3161,842l3229,692m3229,692l3284,872m3284,872l3341,452e" filled="false" stroked="true" strokeweight="1pt" strokecolor="#008360">
              <v:path arrowok="t"/>
              <v:stroke dashstyle="solid"/>
            </v:shape>
            <v:shape style="position:absolute;left:3331;top:234;width:743;height:543" type="#_x0000_t75" stroked="false">
              <v:imagedata r:id="rId87" o:title=""/>
            </v:shape>
            <v:shape style="position:absolute;left:1174;top:424;width:3047;height:1446" coordorigin="1175,424" coordsize="3047,1446" path="m4221,1518l4135,1518m4221,790l4135,790m4221,1143l4135,1143m4221,424l4135,424m4221,1870l4135,1870m1175,1538l4048,1538e" filled="false" stroked="true" strokeweight=".5pt" strokecolor="#000000">
              <v:path arrowok="t"/>
              <v:stroke dashstyle="solid"/>
            </v:shape>
            <v:shape style="position:absolute;left:1174;top:172;width:3047;height:1918" type="#_x0000_t202" filled="false" stroked="false">
              <v:textbox inset="0,0,0,0">
                <w:txbxContent>
                  <w:p>
                    <w:pPr>
                      <w:spacing w:line="218" w:lineRule="auto" w:before="5"/>
                      <w:ind w:left="356" w:right="1454" w:hanging="130"/>
                      <w:jc w:val="left"/>
                      <w:rPr>
                        <w:sz w:val="12"/>
                      </w:rPr>
                    </w:pPr>
                    <w:r>
                      <w:rPr>
                        <w:sz w:val="12"/>
                      </w:rPr>
                      <w:t>Expect improved household financial situation</w:t>
                    </w:r>
                  </w:p>
                  <w:p>
                    <w:pPr>
                      <w:spacing w:before="16"/>
                      <w:ind w:left="356" w:right="0" w:firstLine="0"/>
                      <w:jc w:val="left"/>
                      <w:rPr>
                        <w:sz w:val="12"/>
                      </w:rPr>
                    </w:pPr>
                    <w:r>
                      <w:rPr>
                        <w:sz w:val="12"/>
                      </w:rPr>
                      <w:t>(left-hand scale)</w:t>
                    </w:r>
                  </w:p>
                </w:txbxContent>
              </v:textbox>
              <w10:wrap type="none"/>
            </v:shape>
            <w10:wrap type="none"/>
          </v:group>
        </w:pict>
      </w:r>
      <w:r>
        <w:rPr/>
        <w:pict>
          <v:line style="position:absolute;mso-position-horizontal-relative:page;mso-position-vertical-relative:paragraph;z-index:15938560" from="51.893001pt,3.965648pt" to="47.560001pt,3.965648pt" stroked="true" strokeweight=".5pt" strokecolor="#000000">
            <v:stroke dashstyle="solid"/>
            <w10:wrap type="none"/>
          </v:line>
        </w:pict>
      </w:r>
      <w:r>
        <w:rPr>
          <w:sz w:val="12"/>
        </w:rPr>
        <w:t>12</w:t>
      </w:r>
    </w:p>
    <w:p>
      <w:pPr>
        <w:pStyle w:val="BodyText"/>
        <w:rPr>
          <w:sz w:val="12"/>
        </w:rPr>
      </w:pPr>
    </w:p>
    <w:p>
      <w:pPr>
        <w:pStyle w:val="BodyText"/>
        <w:spacing w:before="6"/>
        <w:rPr>
          <w:sz w:val="17"/>
        </w:rPr>
      </w:pPr>
    </w:p>
    <w:p>
      <w:pPr>
        <w:spacing w:before="0"/>
        <w:ind w:left="221" w:right="0" w:firstLine="0"/>
        <w:jc w:val="left"/>
        <w:rPr>
          <w:sz w:val="12"/>
        </w:rPr>
      </w:pPr>
      <w:r>
        <w:rPr/>
        <w:pict>
          <v:line style="position:absolute;mso-position-horizontal-relative:page;mso-position-vertical-relative:paragraph;z-index:15939072" from="51.893001pt,4.340641pt" to="47.560001pt,4.340641pt" stroked="true" strokeweight=".5pt" strokecolor="#000000">
            <v:stroke dashstyle="solid"/>
            <w10:wrap type="none"/>
          </v:line>
        </w:pict>
      </w:r>
      <w:r>
        <w:rPr>
          <w:sz w:val="12"/>
        </w:rPr>
        <w:t>8</w:t>
      </w:r>
    </w:p>
    <w:p>
      <w:pPr>
        <w:pStyle w:val="BodyText"/>
        <w:rPr>
          <w:sz w:val="12"/>
        </w:rPr>
      </w:pPr>
    </w:p>
    <w:p>
      <w:pPr>
        <w:pStyle w:val="BodyText"/>
        <w:spacing w:before="6"/>
        <w:rPr>
          <w:sz w:val="17"/>
        </w:rPr>
      </w:pPr>
    </w:p>
    <w:p>
      <w:pPr>
        <w:spacing w:before="0"/>
        <w:ind w:left="221" w:right="0" w:firstLine="0"/>
        <w:jc w:val="left"/>
        <w:rPr>
          <w:sz w:val="12"/>
        </w:rPr>
      </w:pPr>
      <w:r>
        <w:rPr/>
        <w:pict>
          <v:line style="position:absolute;mso-position-horizontal-relative:page;mso-position-vertical-relative:paragraph;z-index:15939584" from="51.893001pt,4.703458pt" to="47.560001pt,4.703458pt" stroked="true" strokeweight=".5pt" strokecolor="#000000">
            <v:stroke dashstyle="solid"/>
            <w10:wrap type="none"/>
          </v:line>
        </w:pict>
      </w:r>
      <w:r>
        <w:rPr>
          <w:sz w:val="12"/>
        </w:rPr>
        <w:t>4</w:t>
      </w:r>
    </w:p>
    <w:p>
      <w:pPr>
        <w:pStyle w:val="BodyText"/>
        <w:spacing w:before="10"/>
        <w:rPr>
          <w:sz w:val="13"/>
        </w:rPr>
      </w:pPr>
    </w:p>
    <w:p>
      <w:pPr>
        <w:spacing w:before="0"/>
        <w:ind w:left="320" w:right="0" w:firstLine="0"/>
        <w:jc w:val="left"/>
        <w:rPr>
          <w:sz w:val="16"/>
        </w:rPr>
      </w:pPr>
      <w:r>
        <w:rPr>
          <w:sz w:val="16"/>
        </w:rPr>
        <w:t>+</w:t>
      </w:r>
    </w:p>
    <w:p>
      <w:pPr>
        <w:spacing w:line="123" w:lineRule="exact" w:before="11"/>
        <w:ind w:left="221" w:right="0" w:firstLine="0"/>
        <w:jc w:val="left"/>
        <w:rPr>
          <w:sz w:val="12"/>
        </w:rPr>
      </w:pPr>
      <w:r>
        <w:rPr/>
        <w:pict>
          <v:line style="position:absolute;mso-position-horizontal-relative:page;mso-position-vertical-relative:paragraph;z-index:15936512" from="51.893001pt,5.097214pt" to="47.560001pt,5.097214pt" stroked="true" strokeweight=".5pt" strokecolor="#000000">
            <v:stroke dashstyle="solid"/>
            <w10:wrap type="none"/>
          </v:line>
        </w:pict>
      </w:r>
      <w:r>
        <w:rPr>
          <w:sz w:val="12"/>
        </w:rPr>
        <w:t>0</w:t>
      </w:r>
    </w:p>
    <w:p>
      <w:pPr>
        <w:spacing w:line="169" w:lineRule="exact" w:before="0"/>
        <w:ind w:left="331" w:right="0" w:firstLine="0"/>
        <w:jc w:val="left"/>
        <w:rPr>
          <w:sz w:val="16"/>
        </w:rPr>
      </w:pPr>
      <w:r>
        <w:rPr>
          <w:sz w:val="16"/>
        </w:rPr>
        <w:t>_</w:t>
      </w:r>
    </w:p>
    <w:p>
      <w:pPr>
        <w:pStyle w:val="BodyText"/>
        <w:spacing w:before="1"/>
        <w:rPr>
          <w:sz w:val="16"/>
        </w:rPr>
      </w:pPr>
    </w:p>
    <w:p>
      <w:pPr>
        <w:spacing w:before="1"/>
        <w:ind w:left="221" w:right="0" w:firstLine="0"/>
        <w:jc w:val="left"/>
        <w:rPr>
          <w:sz w:val="12"/>
        </w:rPr>
      </w:pPr>
      <w:r>
        <w:rPr/>
        <w:pict>
          <v:line style="position:absolute;mso-position-horizontal-relative:page;mso-position-vertical-relative:paragraph;z-index:15937024" from="51.893001pt,4.260031pt" to="47.560001pt,4.260031pt" stroked="true" strokeweight=".5pt" strokecolor="#000000">
            <v:stroke dashstyle="solid"/>
            <w10:wrap type="none"/>
          </v:line>
        </w:pict>
      </w:r>
      <w:r>
        <w:rPr>
          <w:sz w:val="12"/>
        </w:rPr>
        <w:t>4</w:t>
      </w:r>
    </w:p>
    <w:p>
      <w:pPr>
        <w:spacing w:line="69" w:lineRule="exact" w:before="0"/>
        <w:ind w:left="161" w:right="0" w:firstLine="0"/>
        <w:jc w:val="left"/>
        <w:rPr>
          <w:sz w:val="12"/>
        </w:rPr>
      </w:pPr>
      <w:r>
        <w:rPr/>
        <w:br w:type="column"/>
      </w:r>
      <w:r>
        <w:rPr>
          <w:sz w:val="12"/>
        </w:rPr>
        <w:t>Percentage point balance</w:t>
      </w:r>
    </w:p>
    <w:p>
      <w:pPr>
        <w:spacing w:line="133" w:lineRule="exact" w:before="0"/>
        <w:ind w:left="1433" w:right="0" w:firstLine="0"/>
        <w:jc w:val="left"/>
        <w:rPr>
          <w:sz w:val="12"/>
        </w:rPr>
      </w:pPr>
      <w:r>
        <w:rPr/>
        <w:pict>
          <v:line style="position:absolute;mso-position-horizontal-relative:page;mso-position-vertical-relative:paragraph;z-index:15941632" from="211.060005pt,3.445671pt" to="206.727005pt,3.445671pt" stroked="true" strokeweight=".5pt" strokecolor="#000000">
            <v:stroke dashstyle="solid"/>
            <w10:wrap type="none"/>
          </v:line>
        </w:pict>
      </w:r>
      <w:r>
        <w:rPr>
          <w:sz w:val="12"/>
        </w:rPr>
        <w:t>40</w:t>
      </w:r>
    </w:p>
    <w:p>
      <w:pPr>
        <w:pStyle w:val="BodyText"/>
        <w:rPr>
          <w:sz w:val="12"/>
        </w:rPr>
      </w:pPr>
    </w:p>
    <w:p>
      <w:pPr>
        <w:spacing w:before="84"/>
        <w:ind w:left="0" w:right="38" w:firstLine="0"/>
        <w:jc w:val="right"/>
        <w:rPr>
          <w:sz w:val="12"/>
        </w:rPr>
      </w:pPr>
      <w:r>
        <w:rPr>
          <w:sz w:val="12"/>
        </w:rPr>
        <w:t>30</w:t>
      </w:r>
    </w:p>
    <w:p>
      <w:pPr>
        <w:pStyle w:val="BodyText"/>
        <w:rPr>
          <w:sz w:val="12"/>
        </w:rPr>
      </w:pPr>
    </w:p>
    <w:p>
      <w:pPr>
        <w:spacing w:before="81"/>
        <w:ind w:left="0" w:right="38" w:firstLine="0"/>
        <w:jc w:val="right"/>
        <w:rPr>
          <w:sz w:val="12"/>
        </w:rPr>
      </w:pPr>
      <w:r>
        <w:rPr>
          <w:sz w:val="12"/>
        </w:rPr>
        <w:t>20</w:t>
      </w:r>
    </w:p>
    <w:p>
      <w:pPr>
        <w:pStyle w:val="BodyText"/>
        <w:rPr>
          <w:sz w:val="12"/>
        </w:rPr>
      </w:pPr>
    </w:p>
    <w:p>
      <w:pPr>
        <w:spacing w:before="82"/>
        <w:ind w:left="0" w:right="38" w:firstLine="0"/>
        <w:jc w:val="right"/>
        <w:rPr>
          <w:sz w:val="12"/>
        </w:rPr>
      </w:pPr>
      <w:r>
        <w:rPr>
          <w:sz w:val="12"/>
        </w:rPr>
        <w:t>10</w:t>
      </w:r>
    </w:p>
    <w:p>
      <w:pPr>
        <w:spacing w:before="29"/>
        <w:ind w:left="1378" w:right="0" w:firstLine="0"/>
        <w:jc w:val="left"/>
        <w:rPr>
          <w:sz w:val="16"/>
        </w:rPr>
      </w:pPr>
      <w:r>
        <w:rPr>
          <w:sz w:val="16"/>
        </w:rPr>
        <w:t>+</w:t>
      </w:r>
    </w:p>
    <w:p>
      <w:pPr>
        <w:spacing w:line="118" w:lineRule="exact" w:before="21"/>
        <w:ind w:left="1493" w:right="0" w:firstLine="0"/>
        <w:jc w:val="left"/>
        <w:rPr>
          <w:sz w:val="12"/>
        </w:rPr>
      </w:pPr>
      <w:r>
        <w:rPr>
          <w:sz w:val="12"/>
        </w:rPr>
        <w:t>0</w:t>
      </w:r>
    </w:p>
    <w:p>
      <w:pPr>
        <w:spacing w:line="164" w:lineRule="exact" w:before="0"/>
        <w:ind w:left="1378" w:right="0" w:firstLine="0"/>
        <w:jc w:val="left"/>
        <w:rPr>
          <w:sz w:val="16"/>
        </w:rPr>
      </w:pPr>
      <w:r>
        <w:rPr>
          <w:sz w:val="16"/>
        </w:rPr>
        <w:t>_</w:t>
      </w:r>
    </w:p>
    <w:p>
      <w:pPr>
        <w:spacing w:before="79"/>
        <w:ind w:left="0" w:right="38" w:firstLine="0"/>
        <w:jc w:val="right"/>
        <w:rPr>
          <w:sz w:val="12"/>
        </w:rPr>
      </w:pPr>
      <w:r>
        <w:rPr>
          <w:sz w:val="12"/>
        </w:rPr>
        <w:t>10</w:t>
      </w:r>
    </w:p>
    <w:p>
      <w:pPr>
        <w:pStyle w:val="Heading6"/>
        <w:spacing w:line="280" w:lineRule="atLeast"/>
        <w:ind w:left="161" w:right="71"/>
      </w:pPr>
      <w:r>
        <w:rPr/>
        <w:br w:type="column"/>
      </w:r>
      <w:r>
        <w:rPr/>
        <w:t>unemployment have receded since the end of 1998 and measures of consumer confidence about households’ future financial situation stabilised at high levels in the second half of 1999 (see Chart 2.10), consistent with continued strength in the outlook for consumption in 2000. Correspondingly, the GfK index of households’ expected future spending reached its highest level in January since the survey began in mid-1995.</w:t>
      </w:r>
    </w:p>
    <w:p>
      <w:pPr>
        <w:spacing w:after="0" w:line="280" w:lineRule="atLeast"/>
        <w:sectPr>
          <w:type w:val="continuous"/>
          <w:pgSz w:w="11900" w:h="16840"/>
          <w:pgMar w:top="1220" w:bottom="280" w:left="620" w:right="640"/>
          <w:cols w:num="3" w:equalWidth="0">
            <w:col w:w="1549" w:space="711"/>
            <w:col w:w="1594" w:space="974"/>
            <w:col w:w="5812"/>
          </w:cols>
        </w:sectPr>
      </w:pPr>
    </w:p>
    <w:p>
      <w:pPr>
        <w:spacing w:line="15" w:lineRule="exact" w:before="0"/>
        <w:ind w:left="1211" w:right="0" w:firstLine="0"/>
        <w:jc w:val="left"/>
        <w:rPr>
          <w:sz w:val="12"/>
        </w:rPr>
      </w:pPr>
      <w:r>
        <w:rPr>
          <w:sz w:val="12"/>
        </w:rPr>
        <w:t>Expect unemployment to rise</w:t>
      </w:r>
    </w:p>
    <w:p>
      <w:pPr>
        <w:tabs>
          <w:tab w:pos="3813" w:val="right" w:leader="none"/>
        </w:tabs>
        <w:spacing w:line="171" w:lineRule="exact" w:before="0"/>
        <w:ind w:left="1278" w:right="0" w:firstLine="0"/>
        <w:jc w:val="left"/>
        <w:rPr>
          <w:sz w:val="12"/>
        </w:rPr>
      </w:pPr>
      <w:r>
        <w:rPr/>
        <w:pict>
          <v:line style="position:absolute;mso-position-horizontal-relative:page;mso-position-vertical-relative:paragraph;z-index:-22204928" from="211.060005pt,2.80427pt" to="206.727005pt,2.80427pt" stroked="true" strokeweight=".5pt" strokecolor="#000000">
            <v:stroke dashstyle="solid"/>
            <w10:wrap type="none"/>
          </v:line>
        </w:pict>
      </w:r>
      <w:r>
        <w:rPr>
          <w:sz w:val="12"/>
        </w:rPr>
        <w:t>(right-hand scale)</w:t>
        <w:tab/>
      </w:r>
      <w:r>
        <w:rPr>
          <w:position w:val="6"/>
          <w:sz w:val="12"/>
        </w:rPr>
        <w:t>20</w:t>
      </w:r>
    </w:p>
    <w:p>
      <w:pPr>
        <w:spacing w:line="124" w:lineRule="exact" w:before="49"/>
        <w:ind w:left="221" w:right="0" w:firstLine="0"/>
        <w:jc w:val="left"/>
        <w:rPr>
          <w:sz w:val="12"/>
        </w:rPr>
      </w:pPr>
      <w:r>
        <w:rPr/>
        <w:pict>
          <v:line style="position:absolute;mso-position-horizontal-relative:page;mso-position-vertical-relative:paragraph;z-index:15937536" from="51.893001pt,6.553848pt" to="47.560001pt,6.553848pt" stroked="true" strokeweight=".5pt" strokecolor="#000000">
            <v:stroke dashstyle="solid"/>
            <w10:wrap type="none"/>
          </v:line>
        </w:pict>
      </w:r>
      <w:r>
        <w:rPr>
          <w:sz w:val="12"/>
        </w:rPr>
        <w:t>8</w:t>
      </w:r>
    </w:p>
    <w:p>
      <w:pPr>
        <w:spacing w:line="124" w:lineRule="exact" w:before="0"/>
        <w:ind w:left="3693" w:right="0" w:firstLine="0"/>
        <w:jc w:val="left"/>
        <w:rPr>
          <w:sz w:val="12"/>
        </w:rPr>
      </w:pPr>
      <w:r>
        <w:rPr/>
        <w:pict>
          <v:line style="position:absolute;mso-position-horizontal-relative:page;mso-position-vertical-relative:paragraph;z-index:15940608" from="211.060005pt,3.551103pt" to="206.727005pt,3.551103pt" stroked="true" strokeweight=".5pt" strokecolor="#000000">
            <v:stroke dashstyle="solid"/>
            <w10:wrap type="none"/>
          </v:line>
        </w:pict>
      </w:r>
      <w:r>
        <w:rPr>
          <w:sz w:val="12"/>
        </w:rPr>
        <w:t>30</w:t>
      </w:r>
    </w:p>
    <w:p>
      <w:pPr>
        <w:pStyle w:val="BodyText"/>
        <w:rPr>
          <w:sz w:val="12"/>
        </w:rPr>
      </w:pPr>
    </w:p>
    <w:p>
      <w:pPr>
        <w:tabs>
          <w:tab w:pos="3693" w:val="left" w:leader="none"/>
        </w:tabs>
        <w:spacing w:before="82"/>
        <w:ind w:left="161" w:right="0" w:firstLine="0"/>
        <w:jc w:val="left"/>
        <w:rPr>
          <w:sz w:val="12"/>
        </w:rPr>
      </w:pPr>
      <w:r>
        <w:rPr/>
        <w:pict>
          <v:shape style="position:absolute;margin-left:58.981998pt;margin-top:5.161664pt;width:143.7pt;height:2.7pt;mso-position-horizontal-relative:page;mso-position-vertical-relative:paragraph;z-index:-22206976" coordorigin="1180,103" coordsize="2874,54" path="m1180,103l1180,157m1900,103l1900,157m2617,103l2617,157m3340,103l3340,157m1180,157l4053,157m4053,103l4053,157e" filled="false" stroked="true" strokeweight=".5pt" strokecolor="#000000">
            <v:path arrowok="t"/>
            <v:stroke dashstyle="solid"/>
            <w10:wrap type="none"/>
          </v:shape>
        </w:pict>
      </w:r>
      <w:r>
        <w:rPr/>
        <w:pict>
          <v:line style="position:absolute;mso-position-horizontal-relative:page;mso-position-vertical-relative:paragraph;z-index:-22203904" from="211.060005pt,7.828665pt" to="206.727005pt,7.828665pt" stroked="true" strokeweight=".5pt" strokecolor="#000000">
            <v:stroke dashstyle="solid"/>
            <w10:wrap type="none"/>
          </v:line>
        </w:pict>
      </w:r>
      <w:r>
        <w:rPr/>
        <w:pict>
          <v:line style="position:absolute;mso-position-horizontal-relative:page;mso-position-vertical-relative:paragraph;z-index:-22202880" from="51.893001pt,7.828665pt" to="47.560001pt,7.828665pt" stroked="true" strokeweight=".5pt" strokecolor="#000000">
            <v:stroke dashstyle="solid"/>
            <w10:wrap type="none"/>
          </v:line>
        </w:pict>
      </w:r>
      <w:r>
        <w:rPr>
          <w:sz w:val="12"/>
        </w:rPr>
        <w:t>12</w:t>
        <w:tab/>
      </w:r>
      <w:r>
        <w:rPr>
          <w:position w:val="1"/>
          <w:sz w:val="12"/>
        </w:rPr>
        <w:t>40</w:t>
      </w:r>
    </w:p>
    <w:p>
      <w:pPr>
        <w:tabs>
          <w:tab w:pos="1593" w:val="left" w:leader="none"/>
          <w:tab w:pos="2331" w:val="left" w:leader="none"/>
          <w:tab w:pos="3081" w:val="left" w:leader="none"/>
        </w:tabs>
        <w:spacing w:before="2"/>
        <w:ind w:left="803" w:right="0" w:firstLine="0"/>
        <w:jc w:val="left"/>
        <w:rPr>
          <w:sz w:val="12"/>
        </w:rPr>
      </w:pPr>
      <w:r>
        <w:rPr>
          <w:sz w:val="12"/>
        </w:rPr>
        <w:t>1996</w:t>
        <w:tab/>
        <w:t>97</w:t>
        <w:tab/>
        <w:t>98</w:t>
        <w:tab/>
        <w:t>99</w:t>
      </w:r>
      <w:r>
        <w:rPr>
          <w:spacing w:val="17"/>
          <w:sz w:val="12"/>
        </w:rPr>
        <w:t> </w:t>
      </w:r>
      <w:r>
        <w:rPr>
          <w:sz w:val="12"/>
        </w:rPr>
        <w:t>2000</w:t>
      </w:r>
    </w:p>
    <w:p>
      <w:pPr>
        <w:spacing w:before="70"/>
        <w:ind w:left="185" w:right="0" w:firstLine="0"/>
        <w:jc w:val="left"/>
        <w:rPr>
          <w:sz w:val="12"/>
        </w:rPr>
      </w:pPr>
      <w:r>
        <w:rPr>
          <w:sz w:val="12"/>
        </w:rPr>
        <w:t>Source: GfK.</w:t>
      </w:r>
    </w:p>
    <w:p>
      <w:pPr>
        <w:spacing w:before="102"/>
        <w:ind w:left="185" w:right="0" w:firstLine="0"/>
        <w:jc w:val="left"/>
        <w:rPr>
          <w:sz w:val="12"/>
        </w:rPr>
      </w:pPr>
      <w:r>
        <w:rPr>
          <w:sz w:val="12"/>
        </w:rPr>
        <w:t>(a) Expectations relate to the year ahead.</w:t>
      </w:r>
    </w:p>
    <w:p>
      <w:pPr>
        <w:pStyle w:val="BodyText"/>
        <w:spacing w:before="4"/>
        <w:rPr>
          <w:sz w:val="11"/>
        </w:rPr>
      </w:pPr>
    </w:p>
    <w:p>
      <w:pPr>
        <w:pStyle w:val="Heading9"/>
        <w:spacing w:before="0"/>
        <w:ind w:left="176"/>
      </w:pPr>
      <w:r>
        <w:rPr>
          <w:color w:val="0092C7"/>
        </w:rPr>
        <w:t>Chart 2.11</w:t>
      </w:r>
    </w:p>
    <w:p>
      <w:pPr>
        <w:spacing w:before="10"/>
        <w:ind w:left="176" w:right="0" w:firstLine="0"/>
        <w:jc w:val="left"/>
        <w:rPr>
          <w:sz w:val="12"/>
        </w:rPr>
      </w:pPr>
      <w:r>
        <w:rPr>
          <w:b/>
          <w:color w:val="0092C7"/>
          <w:sz w:val="20"/>
        </w:rPr>
        <w:t>Gross fixed capital formation</w:t>
      </w:r>
      <w:r>
        <w:rPr>
          <w:position w:val="4"/>
          <w:sz w:val="12"/>
        </w:rPr>
        <w:t>(a)</w:t>
      </w:r>
    </w:p>
    <w:p>
      <w:pPr>
        <w:spacing w:line="115" w:lineRule="exact" w:before="98"/>
        <w:ind w:left="1698" w:right="0" w:firstLine="0"/>
        <w:jc w:val="left"/>
        <w:rPr>
          <w:sz w:val="12"/>
        </w:rPr>
      </w:pPr>
      <w:r>
        <w:rPr>
          <w:sz w:val="12"/>
        </w:rPr>
        <w:t>Percentage changes on a year earlier</w:t>
      </w:r>
    </w:p>
    <w:p>
      <w:pPr>
        <w:spacing w:line="115" w:lineRule="exact" w:before="0"/>
        <w:ind w:left="3488" w:right="0" w:firstLine="0"/>
        <w:jc w:val="left"/>
        <w:rPr>
          <w:sz w:val="12"/>
        </w:rPr>
      </w:pPr>
      <w:r>
        <w:rPr/>
        <w:pict>
          <v:line style="position:absolute;mso-position-horizontal-relative:page;mso-position-vertical-relative:paragraph;z-index:15944704" from="45.752998pt,2.339294pt" to="41.419998pt,2.339294pt" stroked="true" strokeweight=".5pt" strokecolor="#000000">
            <v:stroke dashstyle="solid"/>
            <w10:wrap type="none"/>
          </v:line>
        </w:pict>
      </w:r>
      <w:r>
        <w:rPr/>
        <w:pict>
          <v:line style="position:absolute;mso-position-horizontal-relative:page;mso-position-vertical-relative:paragraph;z-index:15948288" from="202.587006pt,2.339294pt" to="198.253006pt,2.339294pt" stroked="true" strokeweight=".5pt" strokecolor="#000000">
            <v:stroke dashstyle="solid"/>
            <w10:wrap type="none"/>
          </v:line>
        </w:pict>
      </w:r>
      <w:r>
        <w:rPr>
          <w:sz w:val="12"/>
        </w:rPr>
        <w:t>25</w:t>
      </w:r>
    </w:p>
    <w:p>
      <w:pPr>
        <w:pStyle w:val="BodyText"/>
        <w:rPr>
          <w:sz w:val="12"/>
        </w:rPr>
      </w:pPr>
    </w:p>
    <w:p>
      <w:pPr>
        <w:spacing w:before="81"/>
        <w:ind w:left="0" w:right="616" w:firstLine="0"/>
        <w:jc w:val="right"/>
        <w:rPr>
          <w:sz w:val="12"/>
        </w:rPr>
      </w:pPr>
      <w:r>
        <w:rPr/>
        <w:pict>
          <v:group style="position:absolute;margin-left:41.419998pt;margin-top:-.473651pt;width:153pt;height:125.4pt;mso-position-horizontal-relative:page;mso-position-vertical-relative:paragraph;z-index:15943680" coordorigin="828,-9" coordsize="3060,2508">
            <v:shape style="position:absolute;left:993;top:30;width:2885;height:2258" coordorigin="993,31" coordsize="2885,2258" path="m993,31l1056,218m1056,218l1118,808m1118,808l1181,996m1181,996l1243,903m1243,903l1306,1166m1306,1166l1368,1246m1368,1246l1431,1368m1431,1368l1493,1696m1493,1696l1556,1711m1556,1711l1618,1806m1618,1806l1681,1821m1681,1821l1743,2226m1743,2226l1806,2241m1806,2241l1868,2288m1868,2288l1931,2131m1931,2131l1993,1758m1993,1758l2056,1603m2056,1603l2118,1463m2118,1463l2181,1743m2181,1743l2243,1633m2243,1633l2306,1666m2306,1666l2368,1603m2368,1603l2443,1246m2443,1246l2506,1213m2506,1213l2566,1446m2566,1446l2628,1306m2628,1306l2691,1386m2691,1386l2753,1508m2753,1508l2816,1261m2816,1261l2878,1323m2878,1323l2941,1446m2941,1446l3003,1261m3003,1261l3066,1213m3066,1213l3128,1276m3128,1276l3191,1228m3191,1228l3253,1353m3253,1353l3316,1043m3316,1043l3378,1011m3378,1011l3441,808m3441,808l3503,638m3503,638l3566,996m3566,996l3628,793m3628,793l3691,856m3691,856l3753,1121m3753,1121l3816,1106m3816,1106l3878,1386e" filled="false" stroked="true" strokeweight="1pt" strokecolor="#de0035">
              <v:path arrowok="t"/>
              <v:stroke dashstyle="solid"/>
            </v:shape>
            <v:shape style="position:absolute;left:983;top:-10;width:395;height:798" type="#_x0000_t75" stroked="false">
              <v:imagedata r:id="rId88" o:title=""/>
            </v:shape>
            <v:shape style="position:absolute;left:1368;top:373;width:2510;height:2115" coordorigin="1368,373" coordsize="2510,2115" path="m1368,763l1493,1353m1493,1353l1556,1478m1556,1478l1618,1743m1618,1743l1681,1821m1681,1821l1743,1961m1743,1961l1806,2333m1806,2333l1868,2488m1868,2488l1931,2131m1931,2131l1993,2038m1993,2038l2056,1806m2056,1806l2118,1556m2118,1556l2181,2086m2181,2086l2243,1898m2243,1898l2306,2008m2306,2008l2368,1883m2368,1883l2443,1478m2443,1478l2506,1493m2506,1493l2566,1446m2566,1446l2628,1213m2628,1213l2691,1183m2691,1183l2753,1401m2753,1401l2816,948m2816,948l2878,826m2878,826l2941,981m2941,981l3003,483m3003,483l3066,903m3066,903l3128,1198m3128,1198l3191,1213m3191,1213l3253,1291m3253,1291l3316,701m3316,701l3378,638m3378,638l3441,373m3441,373l3503,388m3503,388l3566,793m3566,793l3628,591m3628,591l3691,561m3691,561l3753,871m3753,871l3816,716m3816,716l3878,1183e" filled="false" stroked="true" strokeweight="1pt" strokecolor="#0092c6">
              <v:path arrowok="t"/>
              <v:stroke dashstyle="solid"/>
            </v:shape>
            <v:shape style="position:absolute;left:828;top:153;width:2277;height:2160" coordorigin="828,153" coordsize="2277,2160" path="m915,863l828,863m915,1243l828,1243m915,1603l828,1603m915,1953l828,1953m915,2313l828,2313m915,153l828,153m915,513l828,513m3105,2066l3105,1373e" filled="false" stroked="true" strokeweight=".5pt" strokecolor="#000000">
              <v:path arrowok="t"/>
              <v:stroke dashstyle="solid"/>
            </v:shape>
            <v:shape style="position:absolute;left:3079;top:1305;width:51;height:85" coordorigin="3080,1305" coordsize="51,85" path="m3105,1305l3080,1390,3130,1390,3109,1325,3107,1314,3105,1305xe" filled="true" fillcolor="#000000" stroked="false">
              <v:path arrowok="t"/>
              <v:fill type="solid"/>
            </v:shape>
            <v:line style="position:absolute" from="3878,1603" to="988,1603" stroked="true" strokeweight=".5pt" strokecolor="#000000">
              <v:stroke dashstyle="solid"/>
            </v:line>
            <v:shape style="position:absolute;left:2781;top:217;width:1004;height:134" type="#_x0000_t202" filled="false" stroked="false">
              <v:textbox inset="0,0,0,0">
                <w:txbxContent>
                  <w:p>
                    <w:pPr>
                      <w:spacing w:line="133" w:lineRule="exact" w:before="0"/>
                      <w:ind w:left="0" w:right="0" w:firstLine="0"/>
                      <w:jc w:val="left"/>
                      <w:rPr>
                        <w:sz w:val="12"/>
                      </w:rPr>
                    </w:pPr>
                    <w:r>
                      <w:rPr>
                        <w:sz w:val="12"/>
                      </w:rPr>
                      <w:t>Business investment</w:t>
                    </w:r>
                  </w:p>
                </w:txbxContent>
              </v:textbox>
              <w10:wrap type="none"/>
            </v:shape>
            <v:shape style="position:absolute;left:2785;top:2095;width:980;height:134" type="#_x0000_t202" filled="false" stroked="false">
              <v:textbox inset="0,0,0,0">
                <w:txbxContent>
                  <w:p>
                    <w:pPr>
                      <w:spacing w:line="133" w:lineRule="exact" w:before="0"/>
                      <w:ind w:left="0" w:right="0" w:firstLine="0"/>
                      <w:jc w:val="left"/>
                      <w:rPr>
                        <w:sz w:val="12"/>
                      </w:rPr>
                    </w:pPr>
                    <w:r>
                      <w:rPr>
                        <w:sz w:val="12"/>
                      </w:rPr>
                      <w:t>Whole economy (b)</w:t>
                    </w:r>
                  </w:p>
                </w:txbxContent>
              </v:textbox>
              <w10:wrap type="none"/>
            </v:shape>
            <w10:wrap type="none"/>
          </v:group>
        </w:pict>
      </w:r>
      <w:r>
        <w:rPr/>
        <w:pict>
          <v:line style="position:absolute;mso-position-horizontal-relative:page;mso-position-vertical-relative:paragraph;z-index:15948800" from="202.587006pt,7.651349pt" to="198.253006pt,7.651349pt" stroked="true" strokeweight=".5pt" strokecolor="#000000">
            <v:stroke dashstyle="solid"/>
            <w10:wrap type="none"/>
          </v:line>
        </w:pict>
      </w:r>
      <w:r>
        <w:rPr>
          <w:sz w:val="12"/>
        </w:rPr>
        <w:t>20</w:t>
      </w:r>
    </w:p>
    <w:p>
      <w:pPr>
        <w:pStyle w:val="BodyText"/>
        <w:rPr>
          <w:sz w:val="12"/>
        </w:rPr>
      </w:pPr>
    </w:p>
    <w:p>
      <w:pPr>
        <w:spacing w:before="82"/>
        <w:ind w:left="0" w:right="616" w:firstLine="0"/>
        <w:jc w:val="right"/>
        <w:rPr>
          <w:sz w:val="12"/>
        </w:rPr>
      </w:pPr>
      <w:r>
        <w:rPr/>
        <w:pict>
          <v:line style="position:absolute;mso-position-horizontal-relative:page;mso-position-vertical-relative:paragraph;z-index:15949312" from="202.587006pt,7.826166pt" to="198.253006pt,7.826166pt" stroked="true" strokeweight=".5pt" strokecolor="#000000">
            <v:stroke dashstyle="solid"/>
            <w10:wrap type="none"/>
          </v:line>
        </w:pict>
      </w:r>
      <w:r>
        <w:rPr>
          <w:sz w:val="12"/>
        </w:rPr>
        <w:t>15</w:t>
      </w:r>
    </w:p>
    <w:p>
      <w:pPr>
        <w:pStyle w:val="BodyText"/>
        <w:rPr>
          <w:sz w:val="12"/>
        </w:rPr>
      </w:pPr>
    </w:p>
    <w:p>
      <w:pPr>
        <w:spacing w:before="84"/>
        <w:ind w:left="0" w:right="616" w:firstLine="0"/>
        <w:jc w:val="right"/>
        <w:rPr>
          <w:sz w:val="12"/>
        </w:rPr>
      </w:pPr>
      <w:r>
        <w:rPr/>
        <w:pict>
          <v:line style="position:absolute;mso-position-horizontal-relative:page;mso-position-vertical-relative:paragraph;z-index:15945216" from="202.587006pt,7.426166pt" to="198.253006pt,7.426166pt" stroked="true" strokeweight=".5pt" strokecolor="#000000">
            <v:stroke dashstyle="solid"/>
            <w10:wrap type="none"/>
          </v:line>
        </w:pict>
      </w:r>
      <w:r>
        <w:rPr>
          <w:sz w:val="12"/>
        </w:rPr>
        <w:t>10</w:t>
      </w:r>
    </w:p>
    <w:p>
      <w:pPr>
        <w:pStyle w:val="BodyText"/>
        <w:rPr>
          <w:sz w:val="12"/>
        </w:rPr>
      </w:pPr>
    </w:p>
    <w:p>
      <w:pPr>
        <w:spacing w:before="96"/>
        <w:ind w:left="0" w:right="616" w:firstLine="0"/>
        <w:jc w:val="right"/>
        <w:rPr>
          <w:sz w:val="12"/>
        </w:rPr>
      </w:pPr>
      <w:r>
        <w:rPr/>
        <w:pict>
          <v:line style="position:absolute;mso-position-horizontal-relative:page;mso-position-vertical-relative:paragraph;z-index:15945728" from="202.587006pt,8.400952pt" to="198.253006pt,8.400952pt" stroked="true" strokeweight=".5pt" strokecolor="#000000">
            <v:stroke dashstyle="solid"/>
            <w10:wrap type="none"/>
          </v:line>
        </w:pict>
      </w:r>
      <w:r>
        <w:rPr>
          <w:sz w:val="12"/>
        </w:rPr>
        <w:t>5</w:t>
      </w:r>
    </w:p>
    <w:p>
      <w:pPr>
        <w:spacing w:before="2"/>
        <w:ind w:left="3410" w:right="0" w:firstLine="0"/>
        <w:jc w:val="left"/>
        <w:rPr>
          <w:sz w:val="16"/>
        </w:rPr>
      </w:pPr>
      <w:r>
        <w:rPr>
          <w:sz w:val="16"/>
        </w:rPr>
        <w:t>+</w:t>
      </w:r>
    </w:p>
    <w:p>
      <w:pPr>
        <w:spacing w:before="34"/>
        <w:ind w:left="0" w:right="616" w:firstLine="0"/>
        <w:jc w:val="right"/>
        <w:rPr>
          <w:sz w:val="12"/>
        </w:rPr>
      </w:pPr>
      <w:r>
        <w:rPr/>
        <w:pict>
          <v:line style="position:absolute;mso-position-horizontal-relative:page;mso-position-vertical-relative:paragraph;z-index:15946240" from="202.587006pt,5.426349pt" to="198.253006pt,5.426349pt" stroked="true" strokeweight=".5pt" strokecolor="#000000">
            <v:stroke dashstyle="solid"/>
            <w10:wrap type="none"/>
          </v:line>
        </w:pict>
      </w:r>
      <w:r>
        <w:rPr>
          <w:sz w:val="12"/>
        </w:rPr>
        <w:t>0</w:t>
      </w:r>
    </w:p>
    <w:p>
      <w:pPr>
        <w:spacing w:before="24"/>
        <w:ind w:left="3421" w:right="0" w:firstLine="0"/>
        <w:jc w:val="left"/>
        <w:rPr>
          <w:sz w:val="16"/>
        </w:rPr>
      </w:pPr>
      <w:r>
        <w:rPr>
          <w:sz w:val="16"/>
        </w:rPr>
        <w:t>–</w:t>
      </w:r>
    </w:p>
    <w:p>
      <w:pPr>
        <w:spacing w:before="11"/>
        <w:ind w:left="0" w:right="616" w:firstLine="0"/>
        <w:jc w:val="right"/>
        <w:rPr>
          <w:sz w:val="12"/>
        </w:rPr>
      </w:pPr>
      <w:r>
        <w:rPr/>
        <w:pict>
          <v:line style="position:absolute;mso-position-horizontal-relative:page;mso-position-vertical-relative:paragraph;z-index:15946752" from="202.587006pt,3.901776pt" to="198.253006pt,3.901776pt" stroked="true" strokeweight=".5pt" strokecolor="#000000">
            <v:stroke dashstyle="solid"/>
            <w10:wrap type="none"/>
          </v:line>
        </w:pict>
      </w:r>
      <w:r>
        <w:rPr>
          <w:sz w:val="12"/>
        </w:rPr>
        <w:t>5</w:t>
      </w:r>
    </w:p>
    <w:p>
      <w:pPr>
        <w:pStyle w:val="BodyText"/>
        <w:rPr>
          <w:sz w:val="12"/>
        </w:rPr>
      </w:pPr>
    </w:p>
    <w:p>
      <w:pPr>
        <w:spacing w:before="82"/>
        <w:ind w:left="0" w:right="616" w:firstLine="0"/>
        <w:jc w:val="right"/>
        <w:rPr>
          <w:sz w:val="12"/>
        </w:rPr>
      </w:pPr>
      <w:r>
        <w:rPr/>
        <w:pict>
          <v:line style="position:absolute;mso-position-horizontal-relative:page;mso-position-vertical-relative:paragraph;z-index:15947264" from="202.587006pt,7.576562pt" to="198.253006pt,7.576562pt" stroked="true" strokeweight=".5pt" strokecolor="#000000">
            <v:stroke dashstyle="solid"/>
            <w10:wrap type="none"/>
          </v:line>
        </w:pict>
      </w:r>
      <w:r>
        <w:rPr>
          <w:sz w:val="12"/>
        </w:rPr>
        <w:t>10</w:t>
      </w:r>
    </w:p>
    <w:p>
      <w:pPr>
        <w:pStyle w:val="BodyText"/>
        <w:rPr>
          <w:sz w:val="12"/>
        </w:rPr>
      </w:pPr>
    </w:p>
    <w:p>
      <w:pPr>
        <w:spacing w:line="130" w:lineRule="exact" w:before="84"/>
        <w:ind w:left="3488" w:right="0" w:firstLine="0"/>
        <w:jc w:val="left"/>
        <w:rPr>
          <w:sz w:val="12"/>
        </w:rPr>
      </w:pPr>
      <w:r>
        <w:rPr/>
        <w:pict>
          <v:shape style="position:absolute;margin-left:41.419998pt;margin-top:5.134562pt;width:152.5pt;height:2.7pt;mso-position-horizontal-relative:page;mso-position-vertical-relative:paragraph;z-index:15944192" coordorigin="828,103" coordsize="3050,54" path="m915,156l828,156m988,103l988,156m1238,103l1238,156m1488,103l1488,156m1738,103l1738,156m988,156l3878,156m1988,103l1988,156m2238,103l2238,156m2488,103l2488,156m2738,103l2738,156m2998,103l2998,156m3248,103l3248,156m3498,103l3498,156m3748,103l3748,156e" filled="false" stroked="true" strokeweight=".5pt" strokecolor="#000000">
            <v:path arrowok="t"/>
            <v:stroke dashstyle="solid"/>
            <w10:wrap type="none"/>
          </v:shape>
        </w:pict>
      </w:r>
      <w:r>
        <w:rPr/>
        <w:pict>
          <v:line style="position:absolute;mso-position-horizontal-relative:page;mso-position-vertical-relative:paragraph;z-index:15947776" from="202.587006pt,7.801562pt" to="198.253006pt,7.801562pt" stroked="true" strokeweight=".5pt" strokecolor="#000000">
            <v:stroke dashstyle="solid"/>
            <w10:wrap type="none"/>
          </v:line>
        </w:pict>
      </w:r>
      <w:r>
        <w:rPr>
          <w:sz w:val="12"/>
        </w:rPr>
        <w:t>15</w:t>
      </w:r>
    </w:p>
    <w:p>
      <w:pPr>
        <w:tabs>
          <w:tab w:pos="943" w:val="left" w:leader="none"/>
          <w:tab w:pos="1436" w:val="left" w:leader="none"/>
          <w:tab w:pos="1935" w:val="left" w:leader="none"/>
          <w:tab w:pos="2454" w:val="left" w:leader="none"/>
          <w:tab w:pos="2936" w:val="left" w:leader="none"/>
        </w:tabs>
        <w:spacing w:line="130" w:lineRule="exact" w:before="0"/>
        <w:ind w:left="389" w:right="0" w:firstLine="0"/>
        <w:jc w:val="left"/>
        <w:rPr>
          <w:sz w:val="12"/>
        </w:rPr>
      </w:pPr>
      <w:r>
        <w:rPr>
          <w:sz w:val="12"/>
        </w:rPr>
        <w:t>1988</w:t>
        <w:tab/>
        <w:t>90</w:t>
        <w:tab/>
        <w:t>92</w:t>
        <w:tab/>
        <w:t>94</w:t>
        <w:tab/>
        <w:t>96</w:t>
        <w:tab/>
        <w:t>98</w:t>
      </w:r>
    </w:p>
    <w:p>
      <w:pPr>
        <w:pStyle w:val="ListParagraph"/>
        <w:numPr>
          <w:ilvl w:val="0"/>
          <w:numId w:val="15"/>
        </w:numPr>
        <w:tabs>
          <w:tab w:pos="420" w:val="left" w:leader="none"/>
        </w:tabs>
        <w:spacing w:line="129" w:lineRule="exact" w:before="35" w:after="0"/>
        <w:ind w:left="419" w:right="0" w:hanging="240"/>
        <w:jc w:val="left"/>
        <w:rPr>
          <w:sz w:val="12"/>
        </w:rPr>
      </w:pPr>
      <w:r>
        <w:rPr>
          <w:sz w:val="12"/>
        </w:rPr>
        <w:t>At constant 1995</w:t>
      </w:r>
      <w:r>
        <w:rPr>
          <w:spacing w:val="-3"/>
          <w:sz w:val="12"/>
        </w:rPr>
        <w:t> </w:t>
      </w:r>
      <w:r>
        <w:rPr>
          <w:sz w:val="12"/>
        </w:rPr>
        <w:t>prices.</w:t>
      </w:r>
    </w:p>
    <w:p>
      <w:pPr>
        <w:pStyle w:val="ListParagraph"/>
        <w:numPr>
          <w:ilvl w:val="0"/>
          <w:numId w:val="15"/>
        </w:numPr>
        <w:tabs>
          <w:tab w:pos="421" w:val="left" w:leader="none"/>
        </w:tabs>
        <w:spacing w:line="208" w:lineRule="auto" w:before="6" w:after="0"/>
        <w:ind w:left="420" w:right="653" w:hanging="240"/>
        <w:jc w:val="left"/>
        <w:rPr>
          <w:sz w:val="12"/>
        </w:rPr>
      </w:pPr>
      <w:r>
        <w:rPr>
          <w:sz w:val="12"/>
        </w:rPr>
        <w:t>Includes</w:t>
      </w:r>
      <w:r>
        <w:rPr>
          <w:spacing w:val="-8"/>
          <w:sz w:val="12"/>
        </w:rPr>
        <w:t> </w:t>
      </w:r>
      <w:r>
        <w:rPr>
          <w:sz w:val="12"/>
        </w:rPr>
        <w:t>business</w:t>
      </w:r>
      <w:r>
        <w:rPr>
          <w:spacing w:val="-7"/>
          <w:sz w:val="12"/>
        </w:rPr>
        <w:t> </w:t>
      </w:r>
      <w:r>
        <w:rPr>
          <w:sz w:val="12"/>
        </w:rPr>
        <w:t>investment,</w:t>
      </w:r>
      <w:r>
        <w:rPr>
          <w:spacing w:val="-8"/>
          <w:sz w:val="12"/>
        </w:rPr>
        <w:t> </w:t>
      </w:r>
      <w:r>
        <w:rPr>
          <w:sz w:val="12"/>
        </w:rPr>
        <w:t>investment</w:t>
      </w:r>
      <w:r>
        <w:rPr>
          <w:spacing w:val="-7"/>
          <w:sz w:val="12"/>
        </w:rPr>
        <w:t> </w:t>
      </w:r>
      <w:r>
        <w:rPr>
          <w:sz w:val="12"/>
        </w:rPr>
        <w:t>by</w:t>
      </w:r>
      <w:r>
        <w:rPr>
          <w:spacing w:val="-7"/>
          <w:sz w:val="12"/>
        </w:rPr>
        <w:t> </w:t>
      </w:r>
      <w:r>
        <w:rPr>
          <w:sz w:val="12"/>
        </w:rPr>
        <w:t>general</w:t>
      </w:r>
      <w:r>
        <w:rPr>
          <w:spacing w:val="-8"/>
          <w:sz w:val="12"/>
        </w:rPr>
        <w:t> </w:t>
      </w:r>
      <w:r>
        <w:rPr>
          <w:sz w:val="12"/>
        </w:rPr>
        <w:t>government, private dwelling investment and transfer</w:t>
      </w:r>
      <w:r>
        <w:rPr>
          <w:spacing w:val="-10"/>
          <w:sz w:val="12"/>
        </w:rPr>
        <w:t> </w:t>
      </w:r>
      <w:r>
        <w:rPr>
          <w:sz w:val="12"/>
        </w:rPr>
        <w:t>costs.</w:t>
      </w:r>
    </w:p>
    <w:p>
      <w:pPr>
        <w:pStyle w:val="BodyText"/>
        <w:rPr>
          <w:sz w:val="12"/>
        </w:rPr>
      </w:pPr>
    </w:p>
    <w:p>
      <w:pPr>
        <w:pStyle w:val="BodyText"/>
        <w:spacing w:before="4"/>
        <w:rPr>
          <w:sz w:val="13"/>
        </w:rPr>
      </w:pPr>
    </w:p>
    <w:p>
      <w:pPr>
        <w:pStyle w:val="Heading9"/>
        <w:spacing w:before="0"/>
        <w:ind w:left="188"/>
      </w:pPr>
      <w:r>
        <w:rPr>
          <w:color w:val="0092C7"/>
        </w:rPr>
        <w:t>Chart 2.12</w:t>
      </w:r>
    </w:p>
    <w:p>
      <w:pPr>
        <w:spacing w:before="10"/>
        <w:ind w:left="188" w:right="0" w:firstLine="0"/>
        <w:jc w:val="left"/>
        <w:rPr>
          <w:sz w:val="12"/>
        </w:rPr>
      </w:pPr>
      <w:r>
        <w:rPr>
          <w:b/>
          <w:color w:val="0092C7"/>
          <w:sz w:val="20"/>
        </w:rPr>
        <w:t>Investment intentions and profit expectations</w:t>
      </w:r>
      <w:r>
        <w:rPr>
          <w:position w:val="4"/>
          <w:sz w:val="12"/>
        </w:rPr>
        <w:t>(a)</w:t>
      </w:r>
    </w:p>
    <w:p>
      <w:pPr>
        <w:spacing w:line="120" w:lineRule="exact" w:before="93"/>
        <w:ind w:left="2226" w:right="0" w:firstLine="0"/>
        <w:jc w:val="left"/>
        <w:rPr>
          <w:sz w:val="12"/>
        </w:rPr>
      </w:pPr>
      <w:r>
        <w:rPr>
          <w:sz w:val="12"/>
        </w:rPr>
        <w:t>Percentage point balances</w:t>
      </w:r>
    </w:p>
    <w:p>
      <w:pPr>
        <w:spacing w:line="120" w:lineRule="exact" w:before="0"/>
        <w:ind w:left="3512" w:right="0" w:firstLine="0"/>
        <w:jc w:val="left"/>
        <w:rPr>
          <w:sz w:val="12"/>
        </w:rPr>
      </w:pPr>
      <w:r>
        <w:rPr/>
        <w:pict>
          <v:line style="position:absolute;mso-position-horizontal-relative:page;mso-position-vertical-relative:paragraph;z-index:15950336" from="48.278pt,2.791232pt" to="43.945pt,2.791232pt" stroked="true" strokeweight=".5pt" strokecolor="#000000">
            <v:stroke dashstyle="solid"/>
            <w10:wrap type="none"/>
          </v:line>
        </w:pict>
      </w:r>
      <w:r>
        <w:rPr/>
        <w:pict>
          <v:line style="position:absolute;mso-position-horizontal-relative:page;mso-position-vertical-relative:paragraph;z-index:15952896" from="204.641999pt,2.771232pt" to="200.307999pt,2.771232pt" stroked="true" strokeweight=".5pt" strokecolor="#000000">
            <v:stroke dashstyle="solid"/>
            <w10:wrap type="none"/>
          </v:line>
        </w:pict>
      </w:r>
      <w:r>
        <w:rPr>
          <w:sz w:val="12"/>
        </w:rPr>
        <w:t>70</w:t>
      </w:r>
    </w:p>
    <w:p>
      <w:pPr>
        <w:pStyle w:val="BodyText"/>
        <w:spacing w:before="10"/>
        <w:rPr>
          <w:sz w:val="15"/>
        </w:rPr>
      </w:pPr>
    </w:p>
    <w:p>
      <w:pPr>
        <w:spacing w:before="0"/>
        <w:ind w:left="0" w:right="592" w:firstLine="0"/>
        <w:jc w:val="right"/>
        <w:rPr>
          <w:sz w:val="12"/>
        </w:rPr>
      </w:pPr>
      <w:r>
        <w:rPr/>
        <w:pict>
          <v:line style="position:absolute;mso-position-horizontal-relative:page;mso-position-vertical-relative:paragraph;z-index:15950848" from="48.278pt,3.731566pt" to="43.945pt,3.731566pt" stroked="true" strokeweight=".5pt" strokecolor="#000000">
            <v:stroke dashstyle="solid"/>
            <w10:wrap type="none"/>
          </v:line>
        </w:pict>
      </w:r>
      <w:r>
        <w:rPr/>
        <w:pict>
          <v:line style="position:absolute;mso-position-horizontal-relative:page;mso-position-vertical-relative:paragraph;z-index:15953408" from="204.641999pt,3.710566pt" to="200.307999pt,3.710566pt" stroked="true" strokeweight=".5pt" strokecolor="#000000">
            <v:stroke dashstyle="solid"/>
            <w10:wrap type="none"/>
          </v:line>
        </w:pict>
      </w:r>
      <w:r>
        <w:rPr>
          <w:sz w:val="12"/>
        </w:rPr>
        <w:t>60</w:t>
      </w:r>
    </w:p>
    <w:p>
      <w:pPr>
        <w:pStyle w:val="BodyText"/>
        <w:spacing w:before="8"/>
        <w:rPr>
          <w:sz w:val="24"/>
        </w:rPr>
      </w:pPr>
      <w:r>
        <w:rPr/>
        <w:br w:type="column"/>
      </w:r>
      <w:r>
        <w:rPr>
          <w:sz w:val="24"/>
        </w:rPr>
      </w:r>
    </w:p>
    <w:p>
      <w:pPr>
        <w:pStyle w:val="Heading6"/>
        <w:spacing w:line="242" w:lineRule="auto"/>
        <w:ind w:left="161" w:right="107"/>
      </w:pPr>
      <w:r>
        <w:rPr/>
        <w:t>Given the strength of current and prospective household income, wealth, confidence and borrowing, the MPC judges that consumption growth is likely to remain well above trend in the coming quarters. Somewhat slower consumption growth is projected towards the end of the forecast period, partly reflecting the lagged effects of recent rises in interest rates. There may be some continued softness of total expenditure on durable goods owing to developments in the UK car market, but this is expected to be temporary.</w:t>
      </w:r>
    </w:p>
    <w:p>
      <w:pPr>
        <w:pStyle w:val="BodyText"/>
        <w:spacing w:before="5"/>
        <w:rPr>
          <w:sz w:val="25"/>
        </w:rPr>
      </w:pPr>
    </w:p>
    <w:p>
      <w:pPr>
        <w:spacing w:before="0"/>
        <w:ind w:left="161" w:right="0" w:firstLine="0"/>
        <w:jc w:val="left"/>
        <w:rPr>
          <w:i/>
          <w:sz w:val="24"/>
        </w:rPr>
      </w:pPr>
      <w:r>
        <w:rPr>
          <w:i/>
          <w:color w:val="009391"/>
          <w:sz w:val="24"/>
        </w:rPr>
        <w:t>Investment demand</w:t>
      </w:r>
    </w:p>
    <w:p>
      <w:pPr>
        <w:spacing w:line="242" w:lineRule="auto" w:before="164"/>
        <w:ind w:left="161" w:right="107" w:firstLine="0"/>
        <w:jc w:val="left"/>
        <w:rPr>
          <w:sz w:val="24"/>
        </w:rPr>
      </w:pPr>
      <w:r>
        <w:rPr>
          <w:sz w:val="24"/>
        </w:rPr>
        <w:t>Revisions to the National Accounts have raised estimates of investment in 1998, reinforcing the picture of</w:t>
      </w:r>
    </w:p>
    <w:p>
      <w:pPr>
        <w:spacing w:before="3"/>
        <w:ind w:left="161" w:right="0" w:firstLine="0"/>
        <w:jc w:val="left"/>
        <w:rPr>
          <w:sz w:val="24"/>
        </w:rPr>
      </w:pPr>
      <w:r>
        <w:rPr>
          <w:sz w:val="24"/>
        </w:rPr>
        <w:t>strong investment growth between 1996 and 1998.</w:t>
      </w:r>
    </w:p>
    <w:p>
      <w:pPr>
        <w:spacing w:line="242" w:lineRule="auto" w:before="4"/>
        <w:ind w:left="161" w:right="266" w:firstLine="0"/>
        <w:jc w:val="left"/>
        <w:rPr>
          <w:sz w:val="24"/>
        </w:rPr>
      </w:pPr>
      <w:r>
        <w:rPr>
          <w:sz w:val="24"/>
        </w:rPr>
        <w:t>By contrast, business investment growth in 1999</w:t>
      </w:r>
      <w:r>
        <w:rPr>
          <w:spacing w:val="-23"/>
          <w:sz w:val="24"/>
        </w:rPr>
        <w:t> </w:t>
      </w:r>
      <w:r>
        <w:rPr>
          <w:spacing w:val="-4"/>
          <w:sz w:val="24"/>
        </w:rPr>
        <w:t>slowed </w:t>
      </w:r>
      <w:r>
        <w:rPr>
          <w:sz w:val="24"/>
        </w:rPr>
        <w:t>markedly (see Chart 2.11).  In 1999 Q3, total gross </w:t>
      </w:r>
      <w:r>
        <w:rPr>
          <w:spacing w:val="-3"/>
          <w:sz w:val="24"/>
        </w:rPr>
        <w:t>fixed </w:t>
      </w:r>
      <w:r>
        <w:rPr>
          <w:sz w:val="24"/>
        </w:rPr>
        <w:t>capital formation rose by 0.1% on the previous quarter but, within this, business </w:t>
      </w:r>
      <w:r>
        <w:rPr>
          <w:spacing w:val="-3"/>
          <w:sz w:val="24"/>
        </w:rPr>
        <w:t>investment</w:t>
      </w:r>
      <w:r>
        <w:rPr>
          <w:spacing w:val="-15"/>
          <w:sz w:val="24"/>
        </w:rPr>
        <w:t> </w:t>
      </w:r>
      <w:r>
        <w:rPr>
          <w:sz w:val="24"/>
        </w:rPr>
        <w:t>fell</w:t>
      </w:r>
    </w:p>
    <w:p>
      <w:pPr>
        <w:spacing w:before="5"/>
        <w:ind w:left="161" w:right="0" w:firstLine="0"/>
        <w:jc w:val="left"/>
        <w:rPr>
          <w:sz w:val="24"/>
        </w:rPr>
      </w:pPr>
      <w:r>
        <w:rPr>
          <w:sz w:val="24"/>
        </w:rPr>
        <w:t>by 1.0%, the first quarterly decline since 1996 Q4.</w:t>
      </w:r>
    </w:p>
    <w:p>
      <w:pPr>
        <w:spacing w:line="242" w:lineRule="auto" w:before="4"/>
        <w:ind w:left="161" w:right="181" w:firstLine="0"/>
        <w:jc w:val="left"/>
        <w:rPr>
          <w:sz w:val="24"/>
        </w:rPr>
      </w:pPr>
      <w:r>
        <w:rPr>
          <w:sz w:val="24"/>
        </w:rPr>
        <w:t>The recent weakness of investment has been concentrated in the manufacturing sector, but the fall in business investment in Q3 was also reported in the service sector.</w:t>
      </w:r>
    </w:p>
    <w:p>
      <w:pPr>
        <w:spacing w:after="0" w:line="242" w:lineRule="auto"/>
        <w:jc w:val="left"/>
        <w:rPr>
          <w:sz w:val="24"/>
        </w:rPr>
        <w:sectPr>
          <w:type w:val="continuous"/>
          <w:pgSz w:w="11900" w:h="16840"/>
          <w:pgMar w:top="1220" w:bottom="280" w:left="620" w:right="640"/>
          <w:cols w:num="2" w:equalWidth="0">
            <w:col w:w="4227" w:space="600"/>
            <w:col w:w="5813"/>
          </w:cols>
        </w:sectPr>
      </w:pPr>
    </w:p>
    <w:p>
      <w:pPr>
        <w:pStyle w:val="BodyText"/>
        <w:spacing w:before="10"/>
        <w:rPr>
          <w:sz w:val="21"/>
        </w:rPr>
      </w:pPr>
    </w:p>
    <w:p>
      <w:pPr>
        <w:pStyle w:val="BodyText"/>
        <w:spacing w:line="20" w:lineRule="exact"/>
        <w:ind w:left="253"/>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before="0"/>
        <w:ind w:left="710" w:right="0" w:firstLine="0"/>
        <w:jc w:val="left"/>
        <w:rPr>
          <w:sz w:val="12"/>
        </w:rPr>
      </w:pPr>
      <w:r>
        <w:rPr>
          <w:sz w:val="12"/>
        </w:rPr>
        <w:t>Profit expectations (b)</w:t>
      </w:r>
    </w:p>
    <w:p>
      <w:pPr>
        <w:pStyle w:val="BodyText"/>
        <w:spacing w:before="5" w:after="39"/>
        <w:rPr>
          <w:sz w:val="14"/>
        </w:rPr>
      </w:pPr>
    </w:p>
    <w:p>
      <w:pPr>
        <w:pStyle w:val="BodyText"/>
        <w:spacing w:line="20" w:lineRule="exact"/>
        <w:ind w:left="253"/>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8"/>
        <w:rPr>
          <w:sz w:val="22"/>
        </w:rPr>
      </w:pPr>
      <w:r>
        <w:rPr/>
        <w:pict>
          <v:shape style="position:absolute;margin-left:43.945pt;margin-top:15.27pt;width:4.350pt;height:.1pt;mso-position-horizontal-relative:page;mso-position-vertical-relative:paragraph;z-index:-15523328;mso-wrap-distance-left:0;mso-wrap-distance-right:0" coordorigin="879,305" coordsize="87,0" path="m966,305l879,305e" filled="false" stroked="true" strokeweight=".5pt" strokecolor="#000000">
            <v:path arrowok="t"/>
            <v:stroke dashstyle="solid"/>
            <w10:wrap type="topAndBottom"/>
          </v:shape>
        </w:pict>
      </w:r>
      <w:r>
        <w:rPr/>
        <w:pict>
          <v:shape style="position:absolute;margin-left:43.945pt;margin-top:31.289pt;width:4.350pt;height:.1pt;mso-position-horizontal-relative:page;mso-position-vertical-relative:paragraph;z-index:-15522816;mso-wrap-distance-left:0;mso-wrap-distance-right:0" coordorigin="879,626" coordsize="87,0" path="m966,626l879,626e" filled="false" stroked="true" strokeweight=".5pt" strokecolor="#000000">
            <v:path arrowok="t"/>
            <v:stroke dashstyle="solid"/>
            <w10:wrap type="topAndBottom"/>
          </v:shape>
        </w:pict>
      </w:r>
      <w:r>
        <w:rPr/>
        <w:pict>
          <v:shape style="position:absolute;margin-left:43.945pt;margin-top:47.308998pt;width:4.350pt;height:.1pt;mso-position-horizontal-relative:page;mso-position-vertical-relative:paragraph;z-index:-15522304;mso-wrap-distance-left:0;mso-wrap-distance-right:0" coordorigin="879,946" coordsize="87,0" path="m966,946l879,946e" filled="false" stroked="true" strokeweight=".5pt" strokecolor="#000000">
            <v:path arrowok="t"/>
            <v:stroke dashstyle="solid"/>
            <w10:wrap type="topAndBottom"/>
          </v:shape>
        </w:pict>
      </w:r>
    </w:p>
    <w:p>
      <w:pPr>
        <w:pStyle w:val="BodyText"/>
        <w:rPr>
          <w:sz w:val="21"/>
        </w:rPr>
      </w:pPr>
    </w:p>
    <w:p>
      <w:pPr>
        <w:pStyle w:val="BodyText"/>
        <w:rPr>
          <w:sz w:val="21"/>
        </w:rPr>
      </w:pPr>
    </w:p>
    <w:p>
      <w:pPr>
        <w:pStyle w:val="BodyText"/>
        <w:spacing w:before="9"/>
        <w:rPr>
          <w:sz w:val="15"/>
        </w:rPr>
      </w:pPr>
      <w:r>
        <w:rPr/>
        <w:br w:type="column"/>
      </w:r>
      <w:r>
        <w:rPr>
          <w:sz w:val="15"/>
        </w:rPr>
      </w:r>
    </w:p>
    <w:p>
      <w:pPr>
        <w:spacing w:line="102" w:lineRule="exact" w:before="0"/>
        <w:ind w:left="710" w:right="0" w:firstLine="0"/>
        <w:jc w:val="left"/>
        <w:rPr>
          <w:sz w:val="12"/>
        </w:rPr>
      </w:pPr>
      <w:r>
        <w:rPr>
          <w:sz w:val="12"/>
        </w:rPr>
        <w:t>50</w:t>
      </w:r>
    </w:p>
    <w:p>
      <w:pPr>
        <w:pStyle w:val="Heading6"/>
        <w:spacing w:line="228" w:lineRule="exact"/>
        <w:ind w:left="2187"/>
      </w:pPr>
      <w:r>
        <w:rPr/>
        <w:pict>
          <v:group style="position:absolute;margin-left:52.599998pt;margin-top:-2.819767pt;width:152.050pt;height:113.9pt;mso-position-horizontal-relative:page;mso-position-vertical-relative:paragraph;z-index:-22195200" coordorigin="1052,-56" coordsize="3041,2278">
            <v:shape style="position:absolute;left:1062;top:326;width:1143;height:1438" coordorigin="1062,326" coordsize="1143,1438" path="m1062,434l1127,1006m1127,1006l1194,1099m1194,1099l1259,1166m1259,1166l1324,911m1324,911l1392,1031m1392,1031l1467,1579m1467,1579l1534,1764m1534,1764l1599,1551m1599,1551l1667,1484m1667,1484l1732,646m1732,646l1797,751m1797,751l1864,779m1864,779l1929,551m1929,551l1997,1444m1997,1444l2062,966m2062,966l2127,434m2127,434l2204,326e" filled="false" stroked="true" strokeweight="1pt" strokecolor="#006caa">
              <v:path arrowok="t"/>
              <v:stroke dashstyle="dash"/>
            </v:shape>
            <v:line style="position:absolute" from="2194,327" to="2279,327" stroked="true" strokeweight="1.125pt" strokecolor="#006caa">
              <v:stroke dashstyle="dash"/>
            </v:line>
            <v:shape style="position:absolute;left:2269;top:6;width:1673;height:1505" coordorigin="2269,6" coordsize="1673,1505" path="m2269,326l2337,166m2337,166l2402,206m2402,206l2469,139m2469,139l2534,6m2534,6l2599,139m2599,139l2667,274m2667,274l2732,459m2732,459l2799,366m2799,366l2874,434m2874,434l2942,299m2942,299l3007,326m3007,326l3072,139m3072,139l3139,46m3139,46l3204,139m3204,139l3272,459m3272,459l3337,526m3337,526l3402,459m3402,459l3469,619m3469,619l3534,911m3534,911l3612,1511m3612,1511l3677,1391m3677,1391l3744,1006m3744,1006l3809,846m3809,846l3877,326m3877,326l3942,139e" filled="false" stroked="true" strokeweight="1pt" strokecolor="#006caa">
              <v:path arrowok="t"/>
              <v:stroke dashstyle="dash"/>
            </v:shape>
            <v:shape style="position:absolute;left:1062;top:1006;width:198;height:253" coordorigin="1062,1006" coordsize="198,253" path="m1062,1006l1127,1166m1127,1166l1194,1126m1194,1126l1259,1259e" filled="false" stroked="true" strokeweight="1pt" strokecolor="#006caa">
              <v:path arrowok="t"/>
              <v:stroke dashstyle="solid"/>
            </v:shape>
            <v:line style="position:absolute" from="1249,1260" to="1334,1260" stroked="true" strokeweight="1.125pt" strokecolor="#006caa">
              <v:stroke dashstyle="solid"/>
            </v:line>
            <v:shape style="position:absolute;left:1324;top:1031;width:945;height:1093" coordorigin="1324,1031" coordsize="945,1093" path="m1324,1259l1392,1444m1392,1444l1467,1579m1467,1579l1534,1871m1534,1871l1599,2124m1599,2124l1667,1991m1667,1991l1732,1831m1732,1831l1797,1644m1797,1644l1864,1671m1864,1671l1929,1551m1929,1551l1997,1644m1997,1644l2062,1484m2062,1484l2127,1284m2127,1284l2204,1166m2204,1166l2269,1031e" filled="false" stroked="true" strokeweight="1pt" strokecolor="#006caa">
              <v:path arrowok="t"/>
              <v:stroke dashstyle="solid"/>
            </v:shape>
            <v:line style="position:absolute" from="2259,1032" to="2347,1032" stroked="true" strokeweight="1.125pt" strokecolor="#006caa">
              <v:stroke dashstyle="solid"/>
            </v:line>
            <v:shape style="position:absolute;left:2337;top:751;width:263;height:280" coordorigin="2337,751" coordsize="263,280" path="m2337,1031l2402,939m2402,939l2469,871m2469,871l2534,751m2534,751l2599,779e" filled="false" stroked="true" strokeweight="1pt" strokecolor="#006caa">
              <v:path arrowok="t"/>
              <v:stroke dashstyle="solid"/>
            </v:shape>
            <v:line style="position:absolute" from="2589,780" to="2677,780" stroked="true" strokeweight="1.125pt" strokecolor="#006caa">
              <v:stroke dashstyle="solid"/>
            </v:line>
            <v:line style="position:absolute" from="2667,779" to="2732,846" stroked="true" strokeweight="1pt" strokecolor="#006caa">
              <v:stroke dashstyle="solid"/>
            </v:line>
            <v:line style="position:absolute" from="2722,847" to="2809,847" stroked="true" strokeweight="1.125pt" strokecolor="#006caa">
              <v:stroke dashstyle="solid"/>
            </v:line>
            <v:line style="position:absolute" from="2799,846" to="2874,871" stroked="true" strokeweight="1pt" strokecolor="#006caa">
              <v:stroke dashstyle="solid"/>
            </v:line>
            <v:line style="position:absolute" from="2864,872" to="2952,872" stroked="true" strokeweight="1.125pt" strokecolor="#006caa">
              <v:stroke dashstyle="solid"/>
            </v:line>
            <v:shape style="position:absolute;left:2942;top:778;width:1000;height:825" coordorigin="2942,779" coordsize="1000,825" path="m2942,871l3007,966m3007,966l3072,871m3072,871l3139,1006m3139,1006l3204,779m3204,779l3272,871m3272,871l3337,939m3337,939l3402,846m3402,846l3469,1071m3469,1071l3534,1166m3534,1166l3612,1579m3612,1579l3677,1604m3677,1604l3744,1444m3744,1444l3809,1484m3809,1484l3877,1231m3877,1231l3942,1126e" filled="false" stroked="true" strokeweight="1pt" strokecolor="#006caa">
              <v:path arrowok="t"/>
              <v:stroke dashstyle="solid"/>
            </v:shape>
            <v:shape style="position:absolute;left:1062;top:686;width:198;height:440" coordorigin="1062,686" coordsize="198,440" path="m1062,686l1127,1006m1127,1006l1194,1071m1194,1071l1259,1126e" filled="false" stroked="true" strokeweight="1pt" strokecolor="#de0035">
              <v:path arrowok="t"/>
              <v:stroke dashstyle="solid"/>
            </v:shape>
            <v:line style="position:absolute" from="1249,1127" to="1334,1127" stroked="true" strokeweight="1.125pt" strokecolor="#de0035">
              <v:stroke dashstyle="solid"/>
            </v:line>
            <v:shape style="position:absolute;left:1324;top:1098;width:945;height:958" coordorigin="1324,1099" coordsize="945,958" path="m1324,1126l1392,1284m1392,1284l1467,1511m1467,1511l1534,1739m1534,1739l1599,2056m1599,2056l1667,1896m1667,1896l1732,1739m1732,1739l1797,1764m1797,1764l1864,1604m1864,1604l1929,1484m1929,1484l1997,1711m1997,1711l2127,1391m2127,1391l2204,1259m2204,1259l2269,1099e" filled="false" stroked="true" strokeweight="1pt" strokecolor="#de0035">
              <v:path arrowok="t"/>
              <v:stroke dashstyle="solid"/>
            </v:shape>
            <v:line style="position:absolute" from="2259,1100" to="2347,1100" stroked="true" strokeweight="1.125pt" strokecolor="#de0035">
              <v:stroke dashstyle="solid"/>
            </v:line>
            <v:shape style="position:absolute;left:2337;top:711;width:463;height:388" coordorigin="2337,711" coordsize="463,388" path="m2337,1099l2402,1071m2402,1071l2469,1031m2469,1031l2534,1099m2534,1099l2599,1006m2599,1006l2667,711m2667,711l2732,939m2732,939l2799,966e" filled="false" stroked="true" strokeweight="1pt" strokecolor="#de0035">
              <v:path arrowok="t"/>
              <v:stroke dashstyle="solid"/>
            </v:shape>
            <v:line style="position:absolute" from="2789,967" to="2884,967" stroked="true" strokeweight="1.125pt" strokecolor="#de0035">
              <v:stroke dashstyle="solid"/>
            </v:line>
            <v:line style="position:absolute" from="2874,966" to="2942,806" stroked="true" strokeweight="1pt" strokecolor="#de0035">
              <v:stroke dashstyle="solid"/>
            </v:line>
            <v:line style="position:absolute" from="2932,807" to="3017,807" stroked="true" strokeweight="1.125pt" strokecolor="#de0035">
              <v:stroke dashstyle="solid"/>
            </v:line>
            <v:shape style="position:absolute;left:3007;top:686;width:198;height:225" coordorigin="3007,686" coordsize="198,225" path="m3007,806l3072,911m3072,911l3139,806m3139,806l3204,686e" filled="false" stroked="true" strokeweight="1pt" strokecolor="#de0035">
              <v:path arrowok="t"/>
              <v:stroke dashstyle="solid"/>
            </v:shape>
            <v:line style="position:absolute" from="3194,687" to="3282,687" stroked="true" strokeweight="1.125pt" strokecolor="#de0035">
              <v:stroke dashstyle="solid"/>
            </v:line>
            <v:shape style="position:absolute;left:3272;top:551;width:670;height:575" coordorigin="3272,551" coordsize="670,575" path="m3272,686l3337,551m3337,551l3402,806m3402,806l3469,751m3469,751l3534,711m3534,711l3612,1126m3612,1126l3677,1031m3677,1031l3744,1006m3744,1006l3809,1031m3809,1031l3877,911m3877,911l3942,779e" filled="false" stroked="true" strokeweight="1pt" strokecolor="#de0035">
              <v:path arrowok="t"/>
              <v:stroke dashstyle="solid"/>
            </v:shape>
            <v:line style="position:absolute" from="1062,46" to="1127,526" stroked="true" strokeweight="1pt" strokecolor="#de0035">
              <v:stroke dashstyle="dash"/>
            </v:line>
            <v:line style="position:absolute" from="1117,527" to="1204,527" stroked="true" strokeweight="1.125pt" strokecolor="#de0035">
              <v:stroke dashstyle="dash"/>
            </v:line>
            <v:shape style="position:absolute;left:1194;top:526;width:405;height:1025" coordorigin="1194,526" coordsize="405,1025" path="m1194,526l1259,686m1259,686l1324,751m1324,751l1392,939m1392,939l1467,1444m1467,1444l1534,1551m1534,1551l1599,1324e" filled="false" stroked="true" strokeweight="1pt" strokecolor="#de0035">
              <v:path arrowok="t"/>
              <v:stroke dashstyle="dash"/>
            </v:shape>
            <v:line style="position:absolute" from="1589,1325" to="1677,1325" stroked="true" strokeweight="1.125pt" strokecolor="#de0035">
              <v:stroke dashstyle="dash"/>
            </v:line>
            <v:shape style="position:absolute;left:1667;top:-47;width:2210;height:1490" coordorigin="1667,-46" coordsize="2210,1490" path="m1667,1324l1732,646m1732,646l1797,871m1797,871l1864,911m1864,911l1929,646m1929,646l1997,1444m1997,1444l2062,939m2062,939l2127,526m2127,526l2204,326m2204,326l2269,166m2269,166l2337,434m2337,434l2402,274m2402,274l2469,234m2469,234l2534,299m2534,299l2599,394m2599,394l2667,366m2667,366l2732,619m2732,619l2799,711m2799,711l2874,551m2874,551l2942,234m2942,234l3007,274m3007,274l3072,139m3072,139l3139,-46m3139,-46l3204,74m3204,74l3272,139m3272,139l3337,46m3337,46l3402,206m3402,206l3469,274m3469,274l3534,486m3534,486l3612,1031m3612,1031l3677,1099m3677,1099l3744,711m3744,711l3809,619m3809,619l3877,326e" filled="false" stroked="true" strokeweight="1pt" strokecolor="#de0035">
              <v:path arrowok="t"/>
              <v:stroke dashstyle="dash"/>
            </v:shape>
            <v:line style="position:absolute" from="3867,327" to="3952,327" stroked="true" strokeweight="1.125pt" strokecolor="#de0035">
              <v:stroke dashstyle="dash"/>
            </v:line>
            <v:shape style="position:absolute;left:1068;top:-28;width:3025;height:2244" coordorigin="1068,-27" coordsize="3025,2244" path="m1071,2216l3942,2216m1068,2162l1068,2216m1603,2162l1603,2216m2405,2162l2405,2216m2940,2162l2940,2216m1336,2162l1336,2216m1870,2162l1870,2216m3207,2162l3207,2216m3742,2162l3742,2216m2138,2162l2138,2216m2672,2162l2672,2216m4093,-27l4006,-27m4093,934l4006,934m4093,2215l4006,2215m4093,613l4006,613m4093,1254l4006,1254m4093,1895l4006,1895m4093,293l4006,293m3475,2162l3475,2216e" filled="false" stroked="true" strokeweight=".5pt" strokecolor="#000000">
              <v:path arrowok="t"/>
              <v:stroke dashstyle="solid"/>
            </v:shape>
            <w10:wrap type="none"/>
          </v:group>
        </w:pict>
      </w:r>
      <w:r>
        <w:rPr/>
        <w:t>The slowdown in business investment growth is likely to</w:t>
      </w:r>
    </w:p>
    <w:p>
      <w:pPr>
        <w:tabs>
          <w:tab w:pos="2187" w:val="left" w:leader="none"/>
        </w:tabs>
        <w:spacing w:line="292" w:lineRule="exact" w:before="0"/>
        <w:ind w:left="710" w:right="0" w:firstLine="0"/>
        <w:jc w:val="left"/>
        <w:rPr>
          <w:sz w:val="24"/>
        </w:rPr>
      </w:pPr>
      <w:r>
        <w:rPr>
          <w:position w:val="14"/>
          <w:sz w:val="12"/>
        </w:rPr>
        <w:t>40</w:t>
        <w:tab/>
      </w:r>
      <w:r>
        <w:rPr>
          <w:spacing w:val="-3"/>
          <w:sz w:val="24"/>
        </w:rPr>
        <w:t>have </w:t>
      </w:r>
      <w:r>
        <w:rPr>
          <w:sz w:val="24"/>
        </w:rPr>
        <w:t>reflected the lagged effects of a sharp decline</w:t>
      </w:r>
      <w:r>
        <w:rPr>
          <w:spacing w:val="-24"/>
          <w:sz w:val="24"/>
        </w:rPr>
        <w:t> </w:t>
      </w:r>
      <w:r>
        <w:rPr>
          <w:sz w:val="24"/>
        </w:rPr>
        <w:t>in</w:t>
      </w:r>
    </w:p>
    <w:p>
      <w:pPr>
        <w:tabs>
          <w:tab w:pos="2187" w:val="left" w:leader="none"/>
        </w:tabs>
        <w:spacing w:before="4"/>
        <w:ind w:left="710" w:right="0" w:firstLine="0"/>
        <w:jc w:val="left"/>
        <w:rPr>
          <w:sz w:val="24"/>
        </w:rPr>
      </w:pPr>
      <w:r>
        <w:rPr>
          <w:position w:val="10"/>
          <w:sz w:val="12"/>
        </w:rPr>
        <w:t>30</w:t>
        <w:tab/>
      </w:r>
      <w:r>
        <w:rPr>
          <w:sz w:val="24"/>
        </w:rPr>
        <w:t>firms’ profit expectations in 1998 (see Chart</w:t>
      </w:r>
      <w:r>
        <w:rPr>
          <w:spacing w:val="-24"/>
          <w:sz w:val="24"/>
        </w:rPr>
        <w:t> </w:t>
      </w:r>
      <w:r>
        <w:rPr>
          <w:sz w:val="24"/>
        </w:rPr>
        <w:t>2.12),</w:t>
      </w:r>
    </w:p>
    <w:p>
      <w:pPr>
        <w:tabs>
          <w:tab w:pos="2187" w:val="left" w:leader="none"/>
        </w:tabs>
        <w:spacing w:before="4"/>
        <w:ind w:left="710" w:right="0" w:firstLine="0"/>
        <w:jc w:val="left"/>
        <w:rPr>
          <w:sz w:val="24"/>
        </w:rPr>
      </w:pPr>
      <w:r>
        <w:rPr>
          <w:position w:val="6"/>
          <w:sz w:val="12"/>
        </w:rPr>
        <w:t>20</w:t>
        <w:tab/>
      </w:r>
      <w:r>
        <w:rPr>
          <w:sz w:val="24"/>
        </w:rPr>
        <w:t>which was followed by a fall in actual</w:t>
      </w:r>
      <w:r>
        <w:rPr>
          <w:spacing w:val="-21"/>
          <w:sz w:val="24"/>
        </w:rPr>
        <w:t> </w:t>
      </w:r>
      <w:r>
        <w:rPr>
          <w:sz w:val="24"/>
        </w:rPr>
        <w:t>corporate</w:t>
      </w:r>
    </w:p>
    <w:p>
      <w:pPr>
        <w:tabs>
          <w:tab w:pos="2187" w:val="left" w:leader="none"/>
        </w:tabs>
        <w:spacing w:line="258" w:lineRule="exact" w:before="4"/>
        <w:ind w:left="710" w:right="0" w:firstLine="0"/>
        <w:jc w:val="left"/>
        <w:rPr>
          <w:sz w:val="24"/>
        </w:rPr>
      </w:pPr>
      <w:r>
        <w:rPr>
          <w:position w:val="2"/>
          <w:sz w:val="12"/>
        </w:rPr>
        <w:t>10</w:t>
        <w:tab/>
      </w:r>
      <w:r>
        <w:rPr>
          <w:sz w:val="24"/>
        </w:rPr>
        <w:t>profits in late 1998 and early 1999. </w:t>
      </w:r>
      <w:r>
        <w:rPr>
          <w:spacing w:val="-5"/>
          <w:sz w:val="24"/>
        </w:rPr>
        <w:t>Weaker</w:t>
      </w:r>
      <w:r>
        <w:rPr>
          <w:spacing w:val="-17"/>
          <w:sz w:val="24"/>
        </w:rPr>
        <w:t> </w:t>
      </w:r>
      <w:r>
        <w:rPr>
          <w:spacing w:val="-3"/>
          <w:sz w:val="24"/>
        </w:rPr>
        <w:t>investment</w:t>
      </w:r>
    </w:p>
    <w:p>
      <w:pPr>
        <w:spacing w:after="0" w:line="258" w:lineRule="exact"/>
        <w:jc w:val="left"/>
        <w:rPr>
          <w:sz w:val="24"/>
        </w:rPr>
        <w:sectPr>
          <w:type w:val="continuous"/>
          <w:pgSz w:w="11900" w:h="16840"/>
          <w:pgMar w:top="1220" w:bottom="280" w:left="620" w:right="640"/>
          <w:cols w:num="2" w:equalWidth="0">
            <w:col w:w="1824" w:space="978"/>
            <w:col w:w="7838"/>
          </w:cols>
        </w:sectPr>
      </w:pPr>
    </w:p>
    <w:p>
      <w:pPr>
        <w:tabs>
          <w:tab w:pos="2879" w:val="left" w:leader="none"/>
        </w:tabs>
        <w:spacing w:line="166" w:lineRule="exact" w:before="0"/>
        <w:ind w:left="0" w:right="485" w:firstLine="0"/>
        <w:jc w:val="right"/>
        <w:rPr>
          <w:sz w:val="16"/>
        </w:rPr>
      </w:pPr>
      <w:r>
        <w:rPr>
          <w:sz w:val="16"/>
          <w:u w:val="single"/>
        </w:rPr>
        <w:t> </w:t>
        <w:tab/>
      </w:r>
      <w:r>
        <w:rPr>
          <w:sz w:val="16"/>
        </w:rPr>
        <w:t> </w:t>
      </w:r>
      <w:r>
        <w:rPr>
          <w:spacing w:val="-16"/>
          <w:sz w:val="16"/>
        </w:rPr>
        <w:t> </w:t>
      </w:r>
      <w:r>
        <w:rPr>
          <w:sz w:val="16"/>
          <w:u w:val="single"/>
        </w:rPr>
        <w:t> </w:t>
      </w:r>
      <w:r>
        <w:rPr>
          <w:spacing w:val="6"/>
          <w:sz w:val="16"/>
          <w:u w:val="single"/>
        </w:rPr>
        <w:t> </w:t>
      </w:r>
      <w:r>
        <w:rPr>
          <w:sz w:val="16"/>
        </w:rPr>
        <w:t>+</w:t>
      </w:r>
    </w:p>
    <w:p>
      <w:pPr>
        <w:spacing w:line="98" w:lineRule="exact" w:before="0"/>
        <w:ind w:left="3572" w:right="0" w:firstLine="0"/>
        <w:jc w:val="left"/>
        <w:rPr>
          <w:sz w:val="12"/>
        </w:rPr>
      </w:pPr>
      <w:r>
        <w:rPr/>
        <w:pict>
          <v:line style="position:absolute;mso-position-horizontal-relative:page;mso-position-vertical-relative:paragraph;z-index:15951360" from="48.278pt,3.34115pt" to="43.945pt,3.34115pt" stroked="true" strokeweight=".5pt" strokecolor="#000000">
            <v:stroke dashstyle="solid"/>
            <w10:wrap type="none"/>
          </v:line>
        </w:pict>
      </w:r>
      <w:r>
        <w:rPr>
          <w:sz w:val="12"/>
        </w:rPr>
        <w:t>0</w:t>
      </w:r>
    </w:p>
    <w:p>
      <w:pPr>
        <w:spacing w:line="156" w:lineRule="exact" w:before="0"/>
        <w:ind w:left="0" w:right="483" w:firstLine="0"/>
        <w:jc w:val="right"/>
        <w:rPr>
          <w:sz w:val="16"/>
        </w:rPr>
      </w:pPr>
      <w:r>
        <w:rPr>
          <w:sz w:val="16"/>
        </w:rPr>
        <w:t>–</w:t>
      </w:r>
    </w:p>
    <w:p>
      <w:pPr>
        <w:tabs>
          <w:tab w:pos="3631" w:val="right" w:leader="none"/>
        </w:tabs>
        <w:spacing w:before="44"/>
        <w:ind w:left="1188" w:right="0" w:firstLine="0"/>
        <w:jc w:val="left"/>
        <w:rPr>
          <w:sz w:val="12"/>
        </w:rPr>
      </w:pPr>
      <w:r>
        <w:rPr/>
        <w:pict>
          <v:line style="position:absolute;mso-position-horizontal-relative:page;mso-position-vertical-relative:paragraph;z-index:15952384" from="48.278pt,6.664361pt" to="43.945pt,6.664361pt" stroked="true" strokeweight=".5pt" strokecolor="#000000">
            <v:stroke dashstyle="solid"/>
            <w10:wrap type="none"/>
          </v:line>
        </w:pict>
      </w:r>
      <w:r>
        <w:rPr>
          <w:position w:val="1"/>
          <w:sz w:val="12"/>
        </w:rPr>
        <w:t>Investment intentions (c)</w:t>
        <w:tab/>
      </w:r>
      <w:r>
        <w:rPr>
          <w:sz w:val="12"/>
        </w:rPr>
        <w:t>10</w:t>
      </w:r>
    </w:p>
    <w:p>
      <w:pPr>
        <w:pStyle w:val="BodyText"/>
        <w:spacing w:before="9"/>
        <w:rPr>
          <w:sz w:val="15"/>
        </w:rPr>
      </w:pPr>
    </w:p>
    <w:p>
      <w:pPr>
        <w:spacing w:line="125" w:lineRule="exact" w:before="0"/>
        <w:ind w:left="3512" w:right="0" w:firstLine="0"/>
        <w:jc w:val="left"/>
        <w:rPr>
          <w:sz w:val="12"/>
        </w:rPr>
      </w:pPr>
      <w:r>
        <w:rPr/>
        <w:pict>
          <v:line style="position:absolute;mso-position-horizontal-relative:page;mso-position-vertical-relative:paragraph;z-index:15951872" from="48.278pt,3.997566pt" to="43.945pt,3.997566pt" stroked="true" strokeweight=".5pt" strokecolor="#000000">
            <v:stroke dashstyle="solid"/>
            <w10:wrap type="none"/>
          </v:line>
        </w:pict>
      </w:r>
      <w:r>
        <w:rPr>
          <w:sz w:val="12"/>
        </w:rPr>
        <w:t>20</w:t>
      </w:r>
    </w:p>
    <w:p>
      <w:pPr>
        <w:spacing w:line="125" w:lineRule="exact" w:before="0"/>
        <w:ind w:left="446" w:right="0" w:firstLine="0"/>
        <w:jc w:val="left"/>
        <w:rPr>
          <w:sz w:val="12"/>
        </w:rPr>
      </w:pPr>
      <w:r>
        <w:rPr>
          <w:sz w:val="12"/>
        </w:rPr>
        <w:t>1989 90 91 92 93 94 95 96 97 98 99</w:t>
      </w:r>
    </w:p>
    <w:p>
      <w:pPr>
        <w:spacing w:before="104"/>
        <w:ind w:left="185" w:right="0" w:firstLine="0"/>
        <w:jc w:val="left"/>
        <w:rPr>
          <w:sz w:val="12"/>
        </w:rPr>
      </w:pPr>
      <w:r>
        <w:rPr>
          <w:sz w:val="12"/>
        </w:rPr>
        <w:t>Source: BCC.</w:t>
      </w:r>
    </w:p>
    <w:p>
      <w:pPr>
        <w:pStyle w:val="BodyText"/>
        <w:spacing w:before="1"/>
        <w:rPr>
          <w:sz w:val="10"/>
        </w:rPr>
      </w:pPr>
    </w:p>
    <w:p>
      <w:pPr>
        <w:pStyle w:val="ListParagraph"/>
        <w:numPr>
          <w:ilvl w:val="0"/>
          <w:numId w:val="16"/>
        </w:numPr>
        <w:tabs>
          <w:tab w:pos="426" w:val="left" w:leader="none"/>
        </w:tabs>
        <w:spacing w:line="208" w:lineRule="auto" w:before="0" w:after="0"/>
        <w:ind w:left="425" w:right="164" w:hanging="240"/>
        <w:jc w:val="left"/>
        <w:rPr>
          <w:sz w:val="12"/>
        </w:rPr>
      </w:pPr>
      <w:r>
        <w:rPr>
          <w:sz w:val="12"/>
        </w:rPr>
        <w:t>Manufacturing sector responses shown in blue, service sector responses shown in</w:t>
      </w:r>
      <w:r>
        <w:rPr>
          <w:spacing w:val="-3"/>
          <w:sz w:val="12"/>
        </w:rPr>
        <w:t> </w:t>
      </w:r>
      <w:r>
        <w:rPr>
          <w:sz w:val="12"/>
        </w:rPr>
        <w:t>red.</w:t>
      </w:r>
    </w:p>
    <w:p>
      <w:pPr>
        <w:pStyle w:val="ListParagraph"/>
        <w:numPr>
          <w:ilvl w:val="0"/>
          <w:numId w:val="16"/>
        </w:numPr>
        <w:tabs>
          <w:tab w:pos="427" w:val="left" w:leader="none"/>
        </w:tabs>
        <w:spacing w:line="208" w:lineRule="auto" w:before="0" w:after="0"/>
        <w:ind w:left="426" w:right="124" w:hanging="240"/>
        <w:jc w:val="left"/>
        <w:rPr>
          <w:sz w:val="12"/>
        </w:rPr>
      </w:pPr>
      <w:r>
        <w:rPr>
          <w:sz w:val="12"/>
        </w:rPr>
        <w:t>Balance of responses to the question: ‘Do you believe that over the next twelve</w:t>
      </w:r>
      <w:r>
        <w:rPr>
          <w:spacing w:val="-5"/>
          <w:sz w:val="12"/>
        </w:rPr>
        <w:t> </w:t>
      </w:r>
      <w:r>
        <w:rPr>
          <w:sz w:val="12"/>
        </w:rPr>
        <w:t>months</w:t>
      </w:r>
      <w:r>
        <w:rPr>
          <w:spacing w:val="-4"/>
          <w:sz w:val="12"/>
        </w:rPr>
        <w:t> </w:t>
      </w:r>
      <w:r>
        <w:rPr>
          <w:sz w:val="12"/>
        </w:rPr>
        <w:t>profitability</w:t>
      </w:r>
      <w:r>
        <w:rPr>
          <w:spacing w:val="-4"/>
          <w:sz w:val="12"/>
        </w:rPr>
        <w:t> </w:t>
      </w:r>
      <w:r>
        <w:rPr>
          <w:sz w:val="12"/>
        </w:rPr>
        <w:t>will</w:t>
      </w:r>
      <w:r>
        <w:rPr>
          <w:spacing w:val="-4"/>
          <w:sz w:val="12"/>
        </w:rPr>
        <w:t> </w:t>
      </w:r>
      <w:r>
        <w:rPr>
          <w:sz w:val="12"/>
        </w:rPr>
        <w:t>improve/remain</w:t>
      </w:r>
      <w:r>
        <w:rPr>
          <w:spacing w:val="-4"/>
          <w:sz w:val="12"/>
        </w:rPr>
        <w:t> </w:t>
      </w:r>
      <w:r>
        <w:rPr>
          <w:sz w:val="12"/>
        </w:rPr>
        <w:t>the</w:t>
      </w:r>
      <w:r>
        <w:rPr>
          <w:spacing w:val="-4"/>
          <w:sz w:val="12"/>
        </w:rPr>
        <w:t> </w:t>
      </w:r>
      <w:r>
        <w:rPr>
          <w:sz w:val="12"/>
        </w:rPr>
        <w:t>same/worsen?’</w:t>
      </w:r>
    </w:p>
    <w:p>
      <w:pPr>
        <w:pStyle w:val="ListParagraph"/>
        <w:numPr>
          <w:ilvl w:val="0"/>
          <w:numId w:val="16"/>
        </w:numPr>
        <w:tabs>
          <w:tab w:pos="426" w:val="left" w:leader="none"/>
        </w:tabs>
        <w:spacing w:line="208" w:lineRule="auto" w:before="0" w:after="0"/>
        <w:ind w:left="426" w:right="38" w:hanging="240"/>
        <w:jc w:val="left"/>
        <w:rPr>
          <w:sz w:val="12"/>
        </w:rPr>
      </w:pPr>
      <w:r>
        <w:rPr>
          <w:sz w:val="12"/>
        </w:rPr>
        <w:t>Balance of responses to the question: ‘Over the past three months, which changes</w:t>
      </w:r>
      <w:r>
        <w:rPr>
          <w:spacing w:val="-5"/>
          <w:sz w:val="12"/>
        </w:rPr>
        <w:t> </w:t>
      </w:r>
      <w:r>
        <w:rPr>
          <w:sz w:val="12"/>
        </w:rPr>
        <w:t>have</w:t>
      </w:r>
      <w:r>
        <w:rPr>
          <w:spacing w:val="-5"/>
          <w:sz w:val="12"/>
        </w:rPr>
        <w:t> </w:t>
      </w:r>
      <w:r>
        <w:rPr>
          <w:sz w:val="12"/>
        </w:rPr>
        <w:t>you</w:t>
      </w:r>
      <w:r>
        <w:rPr>
          <w:spacing w:val="-5"/>
          <w:sz w:val="12"/>
        </w:rPr>
        <w:t> </w:t>
      </w:r>
      <w:r>
        <w:rPr>
          <w:sz w:val="12"/>
        </w:rPr>
        <w:t>made</w:t>
      </w:r>
      <w:r>
        <w:rPr>
          <w:spacing w:val="-4"/>
          <w:sz w:val="12"/>
        </w:rPr>
        <w:t> </w:t>
      </w:r>
      <w:r>
        <w:rPr>
          <w:sz w:val="12"/>
        </w:rPr>
        <w:t>in</w:t>
      </w:r>
      <w:r>
        <w:rPr>
          <w:spacing w:val="-5"/>
          <w:sz w:val="12"/>
        </w:rPr>
        <w:t> </w:t>
      </w:r>
      <w:r>
        <w:rPr>
          <w:sz w:val="12"/>
        </w:rPr>
        <w:t>your</w:t>
      </w:r>
      <w:r>
        <w:rPr>
          <w:spacing w:val="-5"/>
          <w:sz w:val="12"/>
        </w:rPr>
        <w:t> </w:t>
      </w:r>
      <w:r>
        <w:rPr>
          <w:sz w:val="12"/>
        </w:rPr>
        <w:t>investment</w:t>
      </w:r>
      <w:r>
        <w:rPr>
          <w:spacing w:val="-5"/>
          <w:sz w:val="12"/>
        </w:rPr>
        <w:t> </w:t>
      </w:r>
      <w:r>
        <w:rPr>
          <w:sz w:val="12"/>
        </w:rPr>
        <w:t>plans</w:t>
      </w:r>
      <w:r>
        <w:rPr>
          <w:spacing w:val="-4"/>
          <w:sz w:val="12"/>
        </w:rPr>
        <w:t> </w:t>
      </w:r>
      <w:r>
        <w:rPr>
          <w:sz w:val="12"/>
        </w:rPr>
        <w:t>for</w:t>
      </w:r>
      <w:r>
        <w:rPr>
          <w:spacing w:val="-5"/>
          <w:sz w:val="12"/>
        </w:rPr>
        <w:t> </w:t>
      </w:r>
      <w:r>
        <w:rPr>
          <w:sz w:val="12"/>
        </w:rPr>
        <w:t>plant</w:t>
      </w:r>
      <w:r>
        <w:rPr>
          <w:spacing w:val="-5"/>
          <w:sz w:val="12"/>
        </w:rPr>
        <w:t> </w:t>
      </w:r>
      <w:r>
        <w:rPr>
          <w:sz w:val="12"/>
        </w:rPr>
        <w:t>and</w:t>
      </w:r>
      <w:r>
        <w:rPr>
          <w:spacing w:val="-5"/>
          <w:sz w:val="12"/>
        </w:rPr>
        <w:t> </w:t>
      </w:r>
      <w:r>
        <w:rPr>
          <w:sz w:val="12"/>
        </w:rPr>
        <w:t>machinery: revise upwards/no change/revise</w:t>
      </w:r>
      <w:r>
        <w:rPr>
          <w:spacing w:val="-6"/>
          <w:sz w:val="12"/>
        </w:rPr>
        <w:t> </w:t>
      </w:r>
      <w:r>
        <w:rPr>
          <w:sz w:val="12"/>
        </w:rPr>
        <w:t>downwards?’</w:t>
      </w:r>
    </w:p>
    <w:p>
      <w:pPr>
        <w:pStyle w:val="Heading6"/>
        <w:spacing w:line="242" w:lineRule="auto" w:before="22"/>
        <w:ind w:left="186" w:right="254"/>
      </w:pPr>
      <w:r>
        <w:rPr/>
        <w:br w:type="column"/>
      </w:r>
      <w:r>
        <w:rPr/>
        <w:t>growth in mid-1999 could also have reflected millennium-related influences on the timing of business investment decisions. For example, concerns about the ‘millennium bug’ might have brought forward some planned investment in information technology (IT) equipment that would otherwise have taken place at a later time, in order to ensure ‘Y2K compliance’.</w:t>
      </w:r>
    </w:p>
    <w:p>
      <w:pPr>
        <w:spacing w:line="242" w:lineRule="auto" w:before="9"/>
        <w:ind w:left="186" w:right="145" w:firstLine="0"/>
        <w:jc w:val="left"/>
        <w:rPr>
          <w:sz w:val="24"/>
        </w:rPr>
      </w:pPr>
      <w:r>
        <w:rPr>
          <w:sz w:val="24"/>
        </w:rPr>
        <w:t>Caution about the possible effects of any ‘bug’ might also have delayed some planned IT investment until after</w:t>
      </w:r>
    </w:p>
    <w:p>
      <w:pPr>
        <w:spacing w:after="0" w:line="242" w:lineRule="auto"/>
        <w:jc w:val="left"/>
        <w:rPr>
          <w:sz w:val="24"/>
        </w:rPr>
        <w:sectPr>
          <w:type w:val="continuous"/>
          <w:pgSz w:w="11900" w:h="16840"/>
          <w:pgMar w:top="1220" w:bottom="280" w:left="620" w:right="640"/>
          <w:cols w:num="2" w:equalWidth="0">
            <w:col w:w="4035" w:space="768"/>
            <w:col w:w="5837"/>
          </w:cols>
        </w:sectPr>
      </w:pPr>
    </w:p>
    <w:p>
      <w:pPr>
        <w:pStyle w:val="BodyText"/>
        <w:rPr>
          <w:sz w:val="20"/>
        </w:rPr>
      </w:pPr>
    </w:p>
    <w:p>
      <w:pPr>
        <w:spacing w:after="0"/>
        <w:rPr>
          <w:sz w:val="20"/>
        </w:rPr>
        <w:sectPr>
          <w:pgSz w:w="11900" w:h="16840"/>
          <w:pgMar w:header="586" w:footer="597" w:top="780" w:bottom="780" w:left="620" w:right="640"/>
        </w:sectPr>
      </w:pPr>
    </w:p>
    <w:p>
      <w:pPr>
        <w:pStyle w:val="BodyText"/>
        <w:rPr>
          <w:sz w:val="22"/>
        </w:rPr>
      </w:pPr>
    </w:p>
    <w:p>
      <w:pPr>
        <w:pStyle w:val="BodyText"/>
        <w:rPr>
          <w:sz w:val="22"/>
        </w:rPr>
      </w:pPr>
    </w:p>
    <w:p>
      <w:pPr>
        <w:pStyle w:val="BodyText"/>
        <w:rPr>
          <w:sz w:val="22"/>
        </w:rPr>
      </w:pPr>
    </w:p>
    <w:p>
      <w:pPr>
        <w:pStyle w:val="BodyText"/>
        <w:spacing w:before="10"/>
        <w:rPr>
          <w:sz w:val="17"/>
        </w:rPr>
      </w:pPr>
    </w:p>
    <w:p>
      <w:pPr>
        <w:pStyle w:val="Heading9"/>
        <w:spacing w:before="0"/>
        <w:ind w:left="175"/>
      </w:pPr>
      <w:r>
        <w:rPr>
          <w:color w:val="0092C7"/>
        </w:rPr>
        <w:t>Chart 2.13</w:t>
      </w:r>
    </w:p>
    <w:p>
      <w:pPr>
        <w:spacing w:line="249" w:lineRule="auto" w:before="10"/>
        <w:ind w:left="175" w:right="19" w:firstLine="0"/>
        <w:jc w:val="left"/>
        <w:rPr>
          <w:sz w:val="12"/>
        </w:rPr>
      </w:pPr>
      <w:r>
        <w:rPr>
          <w:b/>
          <w:color w:val="0092C7"/>
          <w:sz w:val="20"/>
        </w:rPr>
        <w:t>Business sector capital stock and investment as a share of GDP</w:t>
      </w:r>
      <w:r>
        <w:rPr>
          <w:position w:val="4"/>
          <w:sz w:val="12"/>
        </w:rPr>
        <w:t>(a)</w:t>
      </w:r>
    </w:p>
    <w:p>
      <w:pPr>
        <w:spacing w:line="242" w:lineRule="auto" w:before="227"/>
        <w:ind w:left="175" w:right="208" w:firstLine="0"/>
        <w:jc w:val="left"/>
        <w:rPr>
          <w:sz w:val="24"/>
        </w:rPr>
      </w:pPr>
      <w:r>
        <w:rPr/>
        <w:br w:type="column"/>
      </w:r>
      <w:r>
        <w:rPr>
          <w:sz w:val="24"/>
        </w:rPr>
        <w:t>the turn of the millennium. Reports from the Bank’s regional Agents support the hypothesis that the decline in business investment in 1999 was influenced by these considerations.</w:t>
      </w:r>
    </w:p>
    <w:p>
      <w:pPr>
        <w:pStyle w:val="BodyText"/>
        <w:spacing w:before="9"/>
        <w:rPr>
          <w:sz w:val="24"/>
        </w:rPr>
      </w:pPr>
    </w:p>
    <w:p>
      <w:pPr>
        <w:spacing w:line="228" w:lineRule="exact" w:before="0"/>
        <w:ind w:left="175" w:right="0" w:firstLine="0"/>
        <w:jc w:val="left"/>
        <w:rPr>
          <w:sz w:val="24"/>
        </w:rPr>
      </w:pPr>
      <w:r>
        <w:rPr>
          <w:sz w:val="24"/>
        </w:rPr>
        <w:t>The ONS has released new calculations of the capital</w:t>
      </w:r>
    </w:p>
    <w:p>
      <w:pPr>
        <w:spacing w:after="0" w:line="228" w:lineRule="exact"/>
        <w:jc w:val="left"/>
        <w:rPr>
          <w:sz w:val="24"/>
        </w:rPr>
        <w:sectPr>
          <w:type w:val="continuous"/>
          <w:pgSz w:w="11900" w:h="16840"/>
          <w:pgMar w:top="1220" w:bottom="280" w:left="620" w:right="640"/>
          <w:cols w:num="2" w:equalWidth="0">
            <w:col w:w="3987" w:space="831"/>
            <w:col w:w="5822"/>
          </w:cols>
        </w:sectPr>
      </w:pPr>
    </w:p>
    <w:p>
      <w:pPr>
        <w:spacing w:line="107" w:lineRule="exact" w:before="0"/>
        <w:ind w:left="426" w:right="0" w:firstLine="0"/>
        <w:jc w:val="left"/>
        <w:rPr>
          <w:sz w:val="11"/>
        </w:rPr>
      </w:pPr>
      <w:r>
        <w:rPr>
          <w:w w:val="105"/>
          <w:sz w:val="11"/>
        </w:rPr>
        <w:t>Per cent</w:t>
      </w:r>
    </w:p>
    <w:p>
      <w:pPr>
        <w:spacing w:line="108" w:lineRule="exact" w:before="0"/>
        <w:ind w:left="249" w:right="0" w:firstLine="0"/>
        <w:jc w:val="left"/>
        <w:rPr>
          <w:sz w:val="11"/>
        </w:rPr>
      </w:pPr>
      <w:r>
        <w:rPr/>
        <w:pict>
          <v:group style="position:absolute;margin-left:52.783001pt;margin-top:7.568085pt;width:152.2pt;height:91.4pt;mso-position-horizontal-relative:page;mso-position-vertical-relative:paragraph;z-index:15964672" coordorigin="1056,151" coordsize="3044,1828">
            <v:shape style="position:absolute;left:1211;top:161;width:2878;height:1808" coordorigin="1212,161" coordsize="2878,1808" path="m1212,893l1569,1375m1569,1375l1937,1615m1937,1615l2294,1931m2294,1931l2652,1969m2652,1969l3007,1715m3007,1715l3377,1375m3377,1375l3734,881m3734,881l4089,161e" filled="false" stroked="true" strokeweight="1pt" strokecolor="#de0035">
              <v:path arrowok="t"/>
              <v:stroke dashstyle="solid"/>
            </v:shape>
            <v:shape style="position:absolute;left:1211;top:451;width:2878;height:1492" coordorigin="1212,451" coordsize="2878,1492" path="m1212,1513l1569,729m1569,729l1937,451m1937,451l2294,907m2294,907l2652,1639m2652,1639l3007,1867m3007,1867l3377,1855m3377,1855l3734,1943m3734,1943l4089,1715e" filled="false" stroked="true" strokeweight="1pt" strokecolor="#008360">
              <v:path arrowok="t"/>
              <v:stroke dashstyle="solid"/>
            </v:shape>
            <v:shape style="position:absolute;left:1055;top:498;width:87;height:1378" coordorigin="1056,499" coordsize="87,1378" path="m1142,499l1056,499m1142,955l1056,955m1142,1420l1056,1420m1142,1876l1056,1876e" filled="false" stroked="true" strokeweight=".5pt" strokecolor="#000000">
              <v:path arrowok="t"/>
              <v:stroke dashstyle="solid"/>
            </v:shape>
            <v:shape style="position:absolute;left:1055;top:151;width:3044;height:1828" type="#_x0000_t202" filled="false" stroked="false">
              <v:textbox inset="0,0,0,0">
                <w:txbxContent>
                  <w:p>
                    <w:pPr>
                      <w:spacing w:line="240" w:lineRule="auto" w:before="0"/>
                      <w:rPr>
                        <w:sz w:val="12"/>
                      </w:rPr>
                    </w:pPr>
                  </w:p>
                  <w:p>
                    <w:pPr>
                      <w:spacing w:line="240" w:lineRule="auto" w:before="5"/>
                      <w:rPr>
                        <w:sz w:val="9"/>
                      </w:rPr>
                    </w:pPr>
                  </w:p>
                  <w:p>
                    <w:pPr>
                      <w:spacing w:line="252" w:lineRule="auto" w:before="0"/>
                      <w:ind w:left="1085" w:right="874" w:hanging="60"/>
                      <w:jc w:val="left"/>
                      <w:rPr>
                        <w:sz w:val="11"/>
                      </w:rPr>
                    </w:pPr>
                    <w:r>
                      <w:rPr>
                        <w:w w:val="105"/>
                        <w:sz w:val="11"/>
                      </w:rPr>
                      <w:t>Capital stock/GDP ratio (right-hand scale)</w:t>
                    </w:r>
                  </w:p>
                </w:txbxContent>
              </v:textbox>
              <w10:wrap type="none"/>
            </v:shape>
            <w10:wrap type="none"/>
          </v:group>
        </w:pict>
      </w:r>
      <w:r>
        <w:rPr/>
        <w:pict>
          <v:line style="position:absolute;mso-position-horizontal-relative:page;mso-position-vertical-relative:paragraph;z-index:15966208" from="57.117001pt,2.131085pt" to="52.783001pt,2.131085pt" stroked="true" strokeweight=".5pt" strokecolor="#000000">
            <v:stroke dashstyle="solid"/>
            <w10:wrap type="none"/>
          </v:line>
        </w:pict>
      </w:r>
      <w:r>
        <w:rPr>
          <w:w w:val="105"/>
          <w:sz w:val="11"/>
        </w:rPr>
        <w:t>16</w:t>
      </w:r>
    </w:p>
    <w:p>
      <w:pPr>
        <w:pStyle w:val="BodyText"/>
        <w:rPr>
          <w:sz w:val="12"/>
        </w:rPr>
      </w:pPr>
    </w:p>
    <w:p>
      <w:pPr>
        <w:pStyle w:val="BodyText"/>
        <w:spacing w:before="5"/>
        <w:rPr>
          <w:sz w:val="16"/>
        </w:rPr>
      </w:pPr>
    </w:p>
    <w:p>
      <w:pPr>
        <w:spacing w:before="0"/>
        <w:ind w:left="249" w:right="0" w:firstLine="0"/>
        <w:jc w:val="left"/>
        <w:rPr>
          <w:sz w:val="11"/>
        </w:rPr>
      </w:pPr>
      <w:r>
        <w:rPr>
          <w:w w:val="105"/>
          <w:sz w:val="11"/>
        </w:rPr>
        <w:t>15</w:t>
      </w:r>
    </w:p>
    <w:p>
      <w:pPr>
        <w:pStyle w:val="BodyText"/>
        <w:rPr>
          <w:sz w:val="12"/>
        </w:rPr>
      </w:pPr>
    </w:p>
    <w:p>
      <w:pPr>
        <w:pStyle w:val="BodyText"/>
        <w:spacing w:before="7"/>
        <w:rPr>
          <w:sz w:val="16"/>
        </w:rPr>
      </w:pPr>
    </w:p>
    <w:p>
      <w:pPr>
        <w:spacing w:before="0"/>
        <w:ind w:left="249" w:right="0" w:firstLine="0"/>
        <w:jc w:val="left"/>
        <w:rPr>
          <w:sz w:val="11"/>
        </w:rPr>
      </w:pPr>
      <w:r>
        <w:rPr>
          <w:w w:val="105"/>
          <w:sz w:val="11"/>
        </w:rPr>
        <w:t>14</w:t>
      </w:r>
    </w:p>
    <w:p>
      <w:pPr>
        <w:pStyle w:val="BodyText"/>
        <w:rPr>
          <w:sz w:val="12"/>
        </w:rPr>
      </w:pPr>
    </w:p>
    <w:p>
      <w:pPr>
        <w:pStyle w:val="BodyText"/>
        <w:spacing w:before="8"/>
        <w:rPr>
          <w:sz w:val="17"/>
        </w:rPr>
      </w:pPr>
    </w:p>
    <w:p>
      <w:pPr>
        <w:spacing w:before="0"/>
        <w:ind w:left="249" w:right="0" w:firstLine="0"/>
        <w:jc w:val="left"/>
        <w:rPr>
          <w:sz w:val="11"/>
        </w:rPr>
      </w:pPr>
      <w:r>
        <w:rPr>
          <w:w w:val="105"/>
          <w:sz w:val="11"/>
        </w:rPr>
        <w:t>13</w:t>
      </w:r>
    </w:p>
    <w:p>
      <w:pPr>
        <w:pStyle w:val="BodyText"/>
        <w:rPr>
          <w:sz w:val="12"/>
        </w:rPr>
      </w:pPr>
    </w:p>
    <w:p>
      <w:pPr>
        <w:pStyle w:val="BodyText"/>
        <w:spacing w:before="5"/>
        <w:rPr>
          <w:sz w:val="16"/>
        </w:rPr>
      </w:pPr>
    </w:p>
    <w:p>
      <w:pPr>
        <w:spacing w:before="0"/>
        <w:ind w:left="249" w:right="0" w:firstLine="0"/>
        <w:jc w:val="left"/>
        <w:rPr>
          <w:sz w:val="11"/>
        </w:rPr>
      </w:pPr>
      <w:r>
        <w:rPr>
          <w:w w:val="105"/>
          <w:sz w:val="11"/>
        </w:rPr>
        <w:t>12</w:t>
      </w:r>
    </w:p>
    <w:p>
      <w:pPr>
        <w:pStyle w:val="BodyText"/>
        <w:rPr>
          <w:sz w:val="12"/>
        </w:rPr>
      </w:pPr>
    </w:p>
    <w:p>
      <w:pPr>
        <w:pStyle w:val="BodyText"/>
        <w:spacing w:before="8"/>
        <w:rPr>
          <w:sz w:val="16"/>
        </w:rPr>
      </w:pPr>
    </w:p>
    <w:p>
      <w:pPr>
        <w:spacing w:before="0"/>
        <w:ind w:left="249" w:right="0" w:firstLine="0"/>
        <w:jc w:val="left"/>
        <w:rPr>
          <w:sz w:val="11"/>
        </w:rPr>
      </w:pPr>
      <w:r>
        <w:rPr/>
        <w:pict>
          <v:line style="position:absolute;mso-position-horizontal-relative:page;mso-position-vertical-relative:paragraph;z-index:15965696" from="57.117001pt,3.195654pt" to="52.783001pt,3.195654pt" stroked="true" strokeweight=".5pt" strokecolor="#000000">
            <v:stroke dashstyle="solid"/>
            <w10:wrap type="none"/>
          </v:line>
        </w:pict>
      </w:r>
      <w:r>
        <w:rPr>
          <w:w w:val="105"/>
          <w:sz w:val="11"/>
        </w:rPr>
        <w:t>11</w:t>
      </w:r>
    </w:p>
    <w:p>
      <w:pPr>
        <w:pStyle w:val="BodyText"/>
        <w:rPr>
          <w:sz w:val="12"/>
        </w:rPr>
      </w:pPr>
    </w:p>
    <w:p>
      <w:pPr>
        <w:pStyle w:val="BodyText"/>
        <w:spacing w:before="5"/>
        <w:rPr>
          <w:sz w:val="16"/>
        </w:rPr>
      </w:pPr>
    </w:p>
    <w:p>
      <w:pPr>
        <w:spacing w:line="33" w:lineRule="exact" w:before="0"/>
        <w:ind w:left="249" w:right="0" w:firstLine="0"/>
        <w:jc w:val="left"/>
        <w:rPr>
          <w:sz w:val="11"/>
        </w:rPr>
      </w:pPr>
      <w:r>
        <w:rPr/>
        <w:pict>
          <v:group style="position:absolute;margin-left:52.783001pt;margin-top:3.064746pt;width:161.950pt;height:6.95pt;mso-position-horizontal-relative:page;mso-position-vertical-relative:paragraph;z-index:-22179840" coordorigin="1056,61" coordsize="3239,139">
            <v:shape style="position:absolute;left:4249;top:68;width:40;height:121" coordorigin="4249,68" coordsize="40,121" path="m4269,68l4269,94,4249,109,4289,122,4249,141,4289,157,4266,166,4265,189e" filled="false" stroked="true" strokeweight=".5pt" strokecolor="#000000">
              <v:path arrowok="t"/>
              <v:stroke dashstyle="solid"/>
            </v:shape>
            <v:line style="position:absolute" from="4269,66" to="4182,66" stroked="true" strokeweight=".5pt" strokecolor="#000000">
              <v:stroke dashstyle="solid"/>
            </v:line>
            <v:shape style="position:absolute;left:1125;top:74;width:40;height:121" coordorigin="1125,74" coordsize="40,121" path="m1145,74l1145,100,1125,115,1165,128,1125,147,1165,163,1142,172,1142,195e" filled="false" stroked="true" strokeweight=".5pt" strokecolor="#000000">
              <v:path arrowok="t"/>
              <v:stroke dashstyle="solid"/>
            </v:shape>
            <v:shape style="position:absolute;left:1055;top:66;width:3214;height:129" coordorigin="1056,66" coordsize="3214,129" path="m1142,66l1056,66m1209,144l1209,195m1569,144l1569,195m1929,144l1929,195m2289,144l2289,195m1064,195l4269,195m2649,144l2649,195m3009,144l3009,195m3369,144l3369,195m3729,144l3729,195m4089,144l4089,195e" filled="false" stroked="true" strokeweight=".5pt" strokecolor="#000000">
              <v:path arrowok="t"/>
              <v:stroke dashstyle="solid"/>
            </v:shape>
            <w10:wrap type="none"/>
          </v:group>
        </w:pict>
      </w:r>
      <w:r>
        <w:rPr>
          <w:w w:val="105"/>
          <w:sz w:val="11"/>
        </w:rPr>
        <w:t>10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3"/>
        </w:rPr>
      </w:pPr>
    </w:p>
    <w:p>
      <w:pPr>
        <w:spacing w:before="0"/>
        <w:ind w:left="309" w:right="14" w:hanging="60"/>
        <w:jc w:val="left"/>
        <w:rPr>
          <w:sz w:val="11"/>
        </w:rPr>
      </w:pPr>
      <w:r>
        <w:rPr>
          <w:w w:val="105"/>
          <w:sz w:val="11"/>
        </w:rPr>
        <w:t>Investment/GDP ratio (left-hand scale)</w:t>
      </w:r>
    </w:p>
    <w:p>
      <w:pPr>
        <w:spacing w:line="126" w:lineRule="exact" w:before="0"/>
        <w:ind w:left="249" w:right="0" w:firstLine="0"/>
        <w:jc w:val="left"/>
        <w:rPr>
          <w:sz w:val="11"/>
        </w:rPr>
      </w:pPr>
      <w:r>
        <w:rPr/>
        <w:br w:type="column"/>
      </w:r>
      <w:r>
        <w:rPr>
          <w:w w:val="105"/>
          <w:sz w:val="11"/>
        </w:rPr>
        <w:t>Per </w:t>
      </w:r>
      <w:r>
        <w:rPr>
          <w:spacing w:val="-5"/>
          <w:w w:val="105"/>
          <w:sz w:val="11"/>
        </w:rPr>
        <w:t>cent</w:t>
      </w:r>
    </w:p>
    <w:p>
      <w:pPr>
        <w:pStyle w:val="BodyText"/>
        <w:spacing w:line="20" w:lineRule="exact"/>
        <w:ind w:left="515" w:right="-58"/>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4"/>
        <w:rPr>
          <w:sz w:val="25"/>
        </w:rPr>
      </w:pPr>
      <w:r>
        <w:rPr/>
        <w:pict>
          <v:shape style="position:absolute;margin-left:209.117004pt;margin-top:16.810009pt;width:4.350pt;height:.1pt;mso-position-horizontal-relative:page;mso-position-vertical-relative:paragraph;z-index:-15502848;mso-wrap-distance-left:0;mso-wrap-distance-right:0" coordorigin="4182,336" coordsize="87,0" path="m4269,336l4182,336e" filled="false" stroked="true" strokeweight=".5pt" strokecolor="#000000">
            <v:path arrowok="t"/>
            <v:stroke dashstyle="solid"/>
            <w10:wrap type="topAndBottom"/>
          </v:shape>
        </w:pict>
      </w:r>
      <w:r>
        <w:rPr/>
        <w:pict>
          <v:shape style="position:absolute;margin-left:209.117004pt;margin-top:34.38501pt;width:4.350pt;height:.1pt;mso-position-horizontal-relative:page;mso-position-vertical-relative:paragraph;z-index:-15502336;mso-wrap-distance-left:0;mso-wrap-distance-right:0" coordorigin="4182,688" coordsize="87,0" path="m4269,688l4182,688e" filled="false" stroked="true" strokeweight=".5pt" strokecolor="#000000">
            <v:path arrowok="t"/>
            <v:stroke dashstyle="solid"/>
            <w10:wrap type="topAndBottom"/>
          </v:shape>
        </w:pict>
      </w:r>
      <w:r>
        <w:rPr/>
        <w:pict>
          <v:shape style="position:absolute;margin-left:209.117004pt;margin-top:51.485008pt;width:4.350pt;height:.1pt;mso-position-horizontal-relative:page;mso-position-vertical-relative:paragraph;z-index:-15501824;mso-wrap-distance-left:0;mso-wrap-distance-right:0" coordorigin="4182,1030" coordsize="87,0" path="m4269,1030l4182,1030e" filled="false" stroked="true" strokeweight=".5pt" strokecolor="#000000">
            <v:path arrowok="t"/>
            <v:stroke dashstyle="solid"/>
            <w10:wrap type="topAndBottom"/>
          </v:shape>
        </w:pict>
      </w:r>
      <w:r>
        <w:rPr/>
        <w:pict>
          <v:shape style="position:absolute;margin-left:209.117004pt;margin-top:69.060013pt;width:4.350pt;height:.1pt;mso-position-horizontal-relative:page;mso-position-vertical-relative:paragraph;z-index:-15501312;mso-wrap-distance-left:0;mso-wrap-distance-right:0" coordorigin="4182,1381" coordsize="87,0" path="m4269,1381l4182,1381e" filled="false" stroked="true" strokeweight=".5pt" strokecolor="#000000">
            <v:path arrowok="t"/>
            <v:stroke dashstyle="solid"/>
            <w10:wrap type="topAndBottom"/>
          </v:shape>
        </w:pict>
      </w:r>
      <w:r>
        <w:rPr/>
        <w:pict>
          <v:shape style="position:absolute;margin-left:209.117004pt;margin-top:86.160011pt;width:4.350pt;height:.1pt;mso-position-horizontal-relative:page;mso-position-vertical-relative:paragraph;z-index:-15500800;mso-wrap-distance-left:0;mso-wrap-distance-right:0" coordorigin="4182,1723" coordsize="87,0" path="m4269,1723l4182,1723e" filled="false" stroked="true" strokeweight=".5pt" strokecolor="#000000">
            <v:path arrowok="t"/>
            <v:stroke dashstyle="solid"/>
            <w10:wrap type="topAndBottom"/>
          </v:shape>
        </w:pict>
      </w:r>
      <w:r>
        <w:rPr/>
        <w:pict>
          <v:shape style="position:absolute;margin-left:209.117004pt;margin-top:103.26001pt;width:4.350pt;height:.1pt;mso-position-horizontal-relative:page;mso-position-vertical-relative:paragraph;z-index:-15500288;mso-wrap-distance-left:0;mso-wrap-distance-right:0" coordorigin="4182,2065" coordsize="87,0" path="m4269,2065l4182,2065e" filled="false" stroked="true" strokeweight=".5pt" strokecolor="#000000">
            <v:path arrowok="t"/>
            <v:stroke dashstyle="solid"/>
            <w10:wrap type="topAndBottom"/>
          </v:shape>
        </w:pict>
      </w:r>
      <w:r>
        <w:rPr/>
        <w:pict>
          <v:shape style="position:absolute;margin-left:209.117004pt;margin-top:120.360008pt;width:4.350pt;height:.1pt;mso-position-horizontal-relative:page;mso-position-vertical-relative:paragraph;z-index:-15499776;mso-wrap-distance-left:0;mso-wrap-distance-right:0" coordorigin="4182,2407" coordsize="87,0" path="m4269,2407l4182,2407e" filled="false" stroked="true" strokeweight=".5pt" strokecolor="#000000">
            <v:path arrowok="t"/>
            <v:stroke dashstyle="solid"/>
            <w10:wrap type="topAndBottom"/>
          </v:shape>
        </w:pict>
      </w:r>
    </w:p>
    <w:p>
      <w:pPr>
        <w:pStyle w:val="BodyText"/>
        <w:spacing w:before="9"/>
        <w:rPr>
          <w:sz w:val="23"/>
        </w:rPr>
      </w:pPr>
    </w:p>
    <w:p>
      <w:pPr>
        <w:pStyle w:val="BodyText"/>
        <w:spacing w:before="11"/>
        <w:rPr>
          <w:sz w:val="22"/>
        </w:rPr>
      </w:pPr>
    </w:p>
    <w:p>
      <w:pPr>
        <w:pStyle w:val="BodyText"/>
        <w:spacing w:before="9"/>
        <w:rPr>
          <w:sz w:val="23"/>
        </w:rPr>
      </w:pPr>
    </w:p>
    <w:p>
      <w:pPr>
        <w:pStyle w:val="BodyText"/>
        <w:spacing w:before="11"/>
        <w:rPr>
          <w:sz w:val="22"/>
        </w:rPr>
      </w:pPr>
    </w:p>
    <w:p>
      <w:pPr>
        <w:pStyle w:val="BodyText"/>
        <w:spacing w:before="11"/>
        <w:rPr>
          <w:sz w:val="22"/>
        </w:rPr>
      </w:pPr>
    </w:p>
    <w:p>
      <w:pPr>
        <w:pStyle w:val="BodyText"/>
        <w:spacing w:before="11"/>
        <w:rPr>
          <w:sz w:val="22"/>
        </w:rPr>
      </w:pPr>
    </w:p>
    <w:p>
      <w:pPr>
        <w:spacing w:before="94"/>
        <w:ind w:left="9" w:right="0" w:firstLine="0"/>
        <w:jc w:val="left"/>
        <w:rPr>
          <w:sz w:val="11"/>
        </w:rPr>
      </w:pPr>
      <w:r>
        <w:rPr/>
        <w:br w:type="column"/>
      </w:r>
      <w:r>
        <w:rPr>
          <w:w w:val="105"/>
          <w:sz w:val="11"/>
        </w:rPr>
        <w:t>136</w:t>
      </w:r>
    </w:p>
    <w:p>
      <w:pPr>
        <w:pStyle w:val="BodyText"/>
        <w:rPr>
          <w:sz w:val="12"/>
        </w:rPr>
      </w:pPr>
    </w:p>
    <w:p>
      <w:pPr>
        <w:spacing w:before="75"/>
        <w:ind w:left="9" w:right="0" w:firstLine="0"/>
        <w:jc w:val="left"/>
        <w:rPr>
          <w:sz w:val="11"/>
        </w:rPr>
      </w:pPr>
      <w:r>
        <w:rPr>
          <w:w w:val="105"/>
          <w:sz w:val="11"/>
        </w:rPr>
        <w:t>134</w:t>
      </w:r>
    </w:p>
    <w:p>
      <w:pPr>
        <w:pStyle w:val="BodyText"/>
        <w:rPr>
          <w:sz w:val="12"/>
        </w:rPr>
      </w:pPr>
    </w:p>
    <w:p>
      <w:pPr>
        <w:spacing w:before="78"/>
        <w:ind w:left="9" w:right="0" w:firstLine="0"/>
        <w:jc w:val="left"/>
        <w:rPr>
          <w:sz w:val="11"/>
        </w:rPr>
      </w:pPr>
      <w:r>
        <w:rPr>
          <w:w w:val="105"/>
          <w:sz w:val="11"/>
        </w:rPr>
        <w:t>132</w:t>
      </w:r>
    </w:p>
    <w:p>
      <w:pPr>
        <w:pStyle w:val="BodyText"/>
        <w:rPr>
          <w:sz w:val="12"/>
        </w:rPr>
      </w:pPr>
    </w:p>
    <w:p>
      <w:pPr>
        <w:spacing w:before="77"/>
        <w:ind w:left="9" w:right="0" w:firstLine="0"/>
        <w:jc w:val="left"/>
        <w:rPr>
          <w:sz w:val="11"/>
        </w:rPr>
      </w:pPr>
      <w:r>
        <w:rPr>
          <w:w w:val="105"/>
          <w:sz w:val="11"/>
        </w:rPr>
        <w:t>130</w:t>
      </w:r>
    </w:p>
    <w:p>
      <w:pPr>
        <w:pStyle w:val="BodyText"/>
        <w:rPr>
          <w:sz w:val="12"/>
        </w:rPr>
      </w:pPr>
    </w:p>
    <w:p>
      <w:pPr>
        <w:spacing w:before="90"/>
        <w:ind w:left="9" w:right="0" w:firstLine="0"/>
        <w:jc w:val="left"/>
        <w:rPr>
          <w:sz w:val="11"/>
        </w:rPr>
      </w:pPr>
      <w:r>
        <w:rPr>
          <w:w w:val="105"/>
          <w:sz w:val="11"/>
        </w:rPr>
        <w:t>128</w:t>
      </w:r>
    </w:p>
    <w:p>
      <w:pPr>
        <w:pStyle w:val="BodyText"/>
        <w:rPr>
          <w:sz w:val="12"/>
        </w:rPr>
      </w:pPr>
    </w:p>
    <w:p>
      <w:pPr>
        <w:spacing w:before="75"/>
        <w:ind w:left="9" w:right="0" w:firstLine="0"/>
        <w:jc w:val="left"/>
        <w:rPr>
          <w:sz w:val="11"/>
        </w:rPr>
      </w:pPr>
      <w:r>
        <w:rPr>
          <w:w w:val="105"/>
          <w:sz w:val="11"/>
        </w:rPr>
        <w:t>126</w:t>
      </w:r>
    </w:p>
    <w:p>
      <w:pPr>
        <w:pStyle w:val="BodyText"/>
        <w:rPr>
          <w:sz w:val="12"/>
        </w:rPr>
      </w:pPr>
    </w:p>
    <w:p>
      <w:pPr>
        <w:spacing w:before="77"/>
        <w:ind w:left="9" w:right="0" w:firstLine="0"/>
        <w:jc w:val="left"/>
        <w:rPr>
          <w:sz w:val="11"/>
        </w:rPr>
      </w:pPr>
      <w:r>
        <w:rPr>
          <w:w w:val="105"/>
          <w:sz w:val="11"/>
        </w:rPr>
        <w:t>124</w:t>
      </w:r>
    </w:p>
    <w:p>
      <w:pPr>
        <w:pStyle w:val="BodyText"/>
        <w:rPr>
          <w:sz w:val="12"/>
        </w:rPr>
      </w:pPr>
    </w:p>
    <w:p>
      <w:pPr>
        <w:spacing w:before="78"/>
        <w:ind w:left="9" w:right="0" w:firstLine="0"/>
        <w:jc w:val="left"/>
        <w:rPr>
          <w:sz w:val="11"/>
        </w:rPr>
      </w:pPr>
      <w:r>
        <w:rPr>
          <w:w w:val="105"/>
          <w:sz w:val="11"/>
        </w:rPr>
        <w:t>122</w:t>
      </w:r>
    </w:p>
    <w:p>
      <w:pPr>
        <w:pStyle w:val="BodyText"/>
        <w:rPr>
          <w:sz w:val="12"/>
        </w:rPr>
      </w:pPr>
    </w:p>
    <w:p>
      <w:pPr>
        <w:spacing w:line="27" w:lineRule="exact" w:before="75"/>
        <w:ind w:left="9" w:right="0" w:firstLine="0"/>
        <w:jc w:val="left"/>
        <w:rPr>
          <w:sz w:val="11"/>
        </w:rPr>
      </w:pPr>
      <w:r>
        <w:rPr>
          <w:w w:val="105"/>
          <w:sz w:val="11"/>
        </w:rPr>
        <w:t>120</w:t>
      </w:r>
    </w:p>
    <w:p>
      <w:pPr>
        <w:pStyle w:val="Heading6"/>
        <w:spacing w:line="242" w:lineRule="auto" w:before="52"/>
        <w:ind w:left="249" w:right="191"/>
      </w:pPr>
      <w:r>
        <w:rPr/>
        <w:br w:type="column"/>
      </w:r>
      <w:r>
        <w:rPr/>
        <w:t>stock for 1998, together with revisions extending back </w:t>
      </w:r>
      <w:r>
        <w:rPr>
          <w:spacing w:val="-3"/>
        </w:rPr>
        <w:t>over </w:t>
      </w:r>
      <w:r>
        <w:rPr/>
        <w:t>a number of years. The </w:t>
      </w:r>
      <w:r>
        <w:rPr>
          <w:spacing w:val="-3"/>
        </w:rPr>
        <w:t>level </w:t>
      </w:r>
      <w:r>
        <w:rPr/>
        <w:t>of the business </w:t>
      </w:r>
      <w:r>
        <w:rPr>
          <w:spacing w:val="-3"/>
        </w:rPr>
        <w:t>sector’s </w:t>
      </w:r>
      <w:r>
        <w:rPr/>
        <w:t>capital stock since 1994 is lower than previously estimated, and although the ratio of business </w:t>
      </w:r>
      <w:r>
        <w:rPr>
          <w:spacing w:val="-3"/>
        </w:rPr>
        <w:t>investment </w:t>
      </w:r>
      <w:r>
        <w:rPr/>
        <w:t>to GDP has risen to historically high levels, the ratio of the capital stock to GDP has been broadly flat </w:t>
      </w:r>
      <w:r>
        <w:rPr>
          <w:spacing w:val="-3"/>
        </w:rPr>
        <w:t>over </w:t>
      </w:r>
      <w:r>
        <w:rPr/>
        <w:t>that period (see Chart 2.13).</w:t>
      </w:r>
      <w:r>
        <w:rPr>
          <w:position w:val="5"/>
          <w:sz w:val="16"/>
        </w:rPr>
        <w:t>(1) </w:t>
      </w:r>
      <w:r>
        <w:rPr/>
        <w:t>The revision reflects an assessment by the ONS that the rate of depreciation applicable to </w:t>
      </w:r>
      <w:r>
        <w:rPr>
          <w:spacing w:val="-3"/>
        </w:rPr>
        <w:t>investment </w:t>
      </w:r>
      <w:r>
        <w:rPr/>
        <w:t>goods in recent years is higher than was previously thought. That primarily reflects</w:t>
      </w:r>
      <w:r>
        <w:rPr>
          <w:spacing w:val="-37"/>
        </w:rPr>
        <w:t> </w:t>
      </w:r>
      <w:r>
        <w:rPr/>
        <w:t>a</w:t>
      </w:r>
    </w:p>
    <w:p>
      <w:pPr>
        <w:spacing w:after="0" w:line="242" w:lineRule="auto"/>
        <w:sectPr>
          <w:type w:val="continuous"/>
          <w:pgSz w:w="11900" w:h="16840"/>
          <w:pgMar w:top="1220" w:bottom="280" w:left="620" w:right="640"/>
          <w:cols w:num="5" w:equalWidth="0">
            <w:col w:w="837" w:space="184"/>
            <w:col w:w="1294" w:space="727"/>
            <w:col w:w="621" w:space="39"/>
            <w:col w:w="221" w:space="821"/>
            <w:col w:w="5896"/>
          </w:cols>
        </w:sectPr>
      </w:pPr>
    </w:p>
    <w:p>
      <w:pPr>
        <w:tabs>
          <w:tab w:pos="3791" w:val="left" w:leader="none"/>
        </w:tabs>
        <w:spacing w:line="124" w:lineRule="exact" w:before="91"/>
        <w:ind w:left="269" w:right="0" w:firstLine="0"/>
        <w:jc w:val="center"/>
        <w:rPr>
          <w:sz w:val="11"/>
        </w:rPr>
      </w:pPr>
      <w:r>
        <w:rPr>
          <w:w w:val="105"/>
          <w:sz w:val="11"/>
        </w:rPr>
        <w:t>0</w:t>
        <w:tab/>
      </w:r>
      <w:r>
        <w:rPr>
          <w:w w:val="105"/>
          <w:position w:val="1"/>
          <w:sz w:val="11"/>
        </w:rPr>
        <w:t>0</w:t>
      </w:r>
    </w:p>
    <w:p>
      <w:pPr>
        <w:tabs>
          <w:tab w:pos="690" w:val="left" w:leader="none"/>
          <w:tab w:pos="1040" w:val="left" w:leader="none"/>
          <w:tab w:pos="1390" w:val="left" w:leader="none"/>
          <w:tab w:pos="1768" w:val="left" w:leader="none"/>
          <w:tab w:pos="2115" w:val="left" w:leader="none"/>
          <w:tab w:pos="2493" w:val="left" w:leader="none"/>
          <w:tab w:pos="2845" w:val="left" w:leader="none"/>
        </w:tabs>
        <w:spacing w:line="114" w:lineRule="exact" w:before="0"/>
        <w:ind w:left="241" w:right="0" w:firstLine="0"/>
        <w:jc w:val="center"/>
        <w:rPr>
          <w:sz w:val="11"/>
        </w:rPr>
      </w:pPr>
      <w:r>
        <w:rPr>
          <w:w w:val="105"/>
          <w:sz w:val="11"/>
        </w:rPr>
        <w:t>1990</w:t>
        <w:tab/>
        <w:t>91</w:t>
        <w:tab/>
        <w:t>92</w:t>
        <w:tab/>
        <w:t>93</w:t>
        <w:tab/>
        <w:t>94</w:t>
        <w:tab/>
        <w:t>95</w:t>
        <w:tab/>
        <w:t>96</w:t>
        <w:tab/>
        <w:t>97</w:t>
      </w:r>
      <w:r>
        <w:rPr>
          <w:spacing w:val="23"/>
          <w:w w:val="105"/>
          <w:sz w:val="11"/>
        </w:rPr>
        <w:t> </w:t>
      </w:r>
      <w:r>
        <w:rPr>
          <w:w w:val="105"/>
          <w:sz w:val="11"/>
        </w:rPr>
        <w:t>98</w:t>
      </w:r>
    </w:p>
    <w:p>
      <w:pPr>
        <w:pStyle w:val="BodyText"/>
        <w:spacing w:before="9"/>
        <w:rPr>
          <w:sz w:val="9"/>
        </w:rPr>
      </w:pPr>
    </w:p>
    <w:p>
      <w:pPr>
        <w:spacing w:before="1"/>
        <w:ind w:left="170" w:right="0" w:firstLine="0"/>
        <w:jc w:val="left"/>
        <w:rPr>
          <w:sz w:val="12"/>
        </w:rPr>
      </w:pPr>
      <w:r>
        <w:rPr>
          <w:sz w:val="12"/>
        </w:rPr>
        <w:t>(a) At constant 1995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pStyle w:val="Heading9"/>
        <w:spacing w:before="1"/>
        <w:ind w:left="194"/>
      </w:pPr>
      <w:r>
        <w:rPr>
          <w:color w:val="0092C7"/>
        </w:rPr>
        <w:t>Chart 2.14</w:t>
      </w:r>
    </w:p>
    <w:p>
      <w:pPr>
        <w:spacing w:before="10"/>
        <w:ind w:left="194" w:right="0" w:firstLine="0"/>
        <w:jc w:val="left"/>
        <w:rPr>
          <w:sz w:val="12"/>
        </w:rPr>
      </w:pPr>
      <w:r>
        <w:rPr>
          <w:b/>
          <w:color w:val="0092C7"/>
          <w:sz w:val="20"/>
        </w:rPr>
        <w:t>Investment by asset type</w:t>
      </w:r>
      <w:r>
        <w:rPr>
          <w:position w:val="4"/>
          <w:sz w:val="12"/>
        </w:rPr>
        <w:t>(a)</w:t>
      </w:r>
    </w:p>
    <w:p>
      <w:pPr>
        <w:spacing w:line="121" w:lineRule="exact" w:before="37"/>
        <w:ind w:left="1649" w:right="0" w:firstLine="0"/>
        <w:jc w:val="left"/>
        <w:rPr>
          <w:sz w:val="12"/>
        </w:rPr>
      </w:pPr>
      <w:r>
        <w:rPr>
          <w:sz w:val="12"/>
        </w:rPr>
        <w:t>Percentage shares of total investment</w:t>
      </w:r>
    </w:p>
    <w:p>
      <w:pPr>
        <w:spacing w:line="121" w:lineRule="exact" w:before="0"/>
        <w:ind w:left="3451" w:right="0" w:firstLine="0"/>
        <w:jc w:val="left"/>
        <w:rPr>
          <w:sz w:val="12"/>
        </w:rPr>
      </w:pPr>
      <w:r>
        <w:rPr/>
        <w:pict>
          <v:line style="position:absolute;mso-position-horizontal-relative:page;mso-position-vertical-relative:paragraph;z-index:15962112" from="46.353pt,2.676655pt" to="42.02pt,2.676655pt" stroked="true" strokeweight=".5pt" strokecolor="#000000">
            <v:stroke dashstyle="solid"/>
            <w10:wrap type="none"/>
          </v:line>
        </w:pict>
      </w:r>
      <w:r>
        <w:rPr/>
        <w:pict>
          <v:line style="position:absolute;mso-position-horizontal-relative:page;mso-position-vertical-relative:paragraph;z-index:15963648" from="202.123001pt,2.697655pt" to="197.789001pt,2.697655pt" stroked="true" strokeweight=".5pt" strokecolor="#000000">
            <v:stroke dashstyle="solid"/>
            <w10:wrap type="none"/>
          </v:line>
        </w:pict>
      </w:r>
      <w:r>
        <w:rPr>
          <w:sz w:val="12"/>
        </w:rPr>
        <w:t>50</w:t>
      </w:r>
    </w:p>
    <w:p>
      <w:pPr>
        <w:pStyle w:val="BodyText"/>
        <w:rPr>
          <w:sz w:val="13"/>
        </w:rPr>
      </w:pPr>
    </w:p>
    <w:p>
      <w:pPr>
        <w:spacing w:before="0"/>
        <w:ind w:left="3451" w:right="0" w:firstLine="0"/>
        <w:jc w:val="left"/>
        <w:rPr>
          <w:sz w:val="12"/>
        </w:rPr>
      </w:pPr>
      <w:r>
        <w:rPr/>
        <w:pict>
          <v:group style="position:absolute;margin-left:41.474998pt;margin-top:3.263377pt;width:160.65pt;height:58.15pt;mso-position-horizontal-relative:page;mso-position-vertical-relative:paragraph;z-index:15960064" coordorigin="829,65" coordsize="3213,1163">
            <v:shape style="position:absolute;left:1007;top:556;width:295;height:175" coordorigin="1007,557" coordsize="295,175" path="m1007,557l1104,624m1104,624l1204,637m1204,637l1302,732e" filled="false" stroked="true" strokeweight="1pt" strokecolor="#972140">
              <v:path arrowok="t"/>
              <v:stroke dashstyle="solid"/>
            </v:shape>
            <v:line style="position:absolute" from="1292,733" to="1397,733" stroked="true" strokeweight="1.125pt" strokecolor="#972140">
              <v:stroke dashstyle="solid"/>
            </v:line>
            <v:shape style="position:absolute;left:1387;top:676;width:490;height:163" coordorigin="1387,677" coordsize="490,163" path="m1387,732l1484,677m1484,677l1582,704m1582,704l1682,719m1682,719l1779,839m1779,839l1877,677e" filled="false" stroked="true" strokeweight="1pt" strokecolor="#972140">
              <v:path arrowok="t"/>
              <v:stroke dashstyle="solid"/>
            </v:shape>
            <v:line style="position:absolute" from="1867,678" to="1972,678" stroked="true" strokeweight="1.125pt" strokecolor="#972140">
              <v:stroke dashstyle="solid"/>
            </v:line>
            <v:shape style="position:absolute;left:1962;top:156;width:1728;height:520" coordorigin="1962,157" coordsize="1728,520" path="m1962,677l2062,664m2062,664l2257,504m2257,504l2354,369m2354,369l2452,384m2452,384l2539,304m2539,304l2637,384m2637,384l2734,329m2734,329l2832,344m2832,344l2929,329m2929,329l3029,304m3029,304l3114,237m3114,237l3212,249m3212,249l3309,197m3309,197l3409,157m3409,157l3507,169m3507,169l3604,157m3604,157l3689,169e" filled="false" stroked="true" strokeweight="1pt" strokecolor="#972140">
              <v:path arrowok="t"/>
              <v:stroke dashstyle="solid"/>
            </v:shape>
            <v:line style="position:absolute" from="3679,171" to="3797,171" stroked="true" strokeweight="1.125pt" strokecolor="#972140">
              <v:stroke dashstyle="solid"/>
            </v:line>
            <v:line style="position:absolute" from="3787,169" to="3887,117" stroked="true" strokeweight="1pt" strokecolor="#972140">
              <v:stroke dashstyle="solid"/>
            </v:line>
            <v:line style="position:absolute" from="1007,704" to="1104,719" stroked="true" strokeweight="1pt" strokecolor="#f5b37a">
              <v:stroke dashstyle="solid"/>
            </v:line>
            <v:line style="position:absolute" from="1094,721" to="1214,721" stroked="true" strokeweight="1.125pt" strokecolor="#f5b37a">
              <v:stroke dashstyle="solid"/>
            </v:line>
            <v:shape style="position:absolute;left:1204;top:691;width:2683;height:468" coordorigin="1204,692" coordsize="2683,468" path="m1204,719l1302,692m1302,692l1387,719m1387,719l1484,744m1484,744l1582,784m1582,784l1682,732m1682,732l1779,772m1779,772l1877,704m1877,704l1962,772m1962,772l2062,824m2062,824l2159,864m2159,864l2257,919m2354,919l2452,947m2452,947l2539,959m2539,959l2637,1012m2637,1012l2832,1067m2832,1067l2929,1052m2929,1052l3029,1012m3029,1012l3114,1027m3114,1027l3212,1012m3212,1012l3309,1092m3309,1092l3409,1159m3409,1159l3507,1052m3507,1052l3604,1027m3604,1027l3689,1052m3689,1052l3787,1027m3787,1027l3887,1012e" filled="false" stroked="true" strokeweight="1pt" strokecolor="#f5b37a">
              <v:path arrowok="t"/>
              <v:stroke dashstyle="solid"/>
            </v:shape>
            <v:shape style="position:absolute;left:829;top:70;width:3213;height:1153" coordorigin="829,70" coordsize="3213,1153" path="m927,70l840,70m927,358l840,358m927,934l840,934m927,646l840,646m916,1222l829,1222m4042,71l3956,71m4042,359l3956,359m4042,935l3956,935m4042,647l3956,647m4032,1223l3945,1223e" filled="false" stroked="true" strokeweight=".5pt" strokecolor="#000000">
              <v:path arrowok="t"/>
              <v:stroke dashstyle="solid"/>
            </v:shape>
            <v:shape style="position:absolute;left:1638;top:71;width:1676;height:134" type="#_x0000_t202" filled="false" stroked="false">
              <v:textbox inset="0,0,0,0">
                <w:txbxContent>
                  <w:p>
                    <w:pPr>
                      <w:spacing w:line="133" w:lineRule="exact" w:before="0"/>
                      <w:ind w:left="0" w:right="0" w:firstLine="0"/>
                      <w:jc w:val="left"/>
                      <w:rPr>
                        <w:sz w:val="12"/>
                      </w:rPr>
                    </w:pPr>
                    <w:r>
                      <w:rPr>
                        <w:sz w:val="12"/>
                      </w:rPr>
                      <w:t>General equipment and machinery</w:t>
                    </w:r>
                  </w:p>
                </w:txbxContent>
              </v:textbox>
              <w10:wrap type="none"/>
            </v:shape>
            <v:shape style="position:absolute;left:2247;top:778;width:1287;height:134" type="#_x0000_t202" filled="false" stroked="false">
              <v:textbox inset="0,0,0,0">
                <w:txbxContent>
                  <w:p>
                    <w:pPr>
                      <w:spacing w:line="133" w:lineRule="exact" w:before="0"/>
                      <w:ind w:left="0" w:right="0" w:firstLine="0"/>
                      <w:jc w:val="left"/>
                      <w:rPr>
                        <w:sz w:val="12"/>
                      </w:rPr>
                    </w:pPr>
                    <w:r>
                      <w:rPr>
                        <w:sz w:val="12"/>
                        <w:u w:val="thick" w:color="F5B37A"/>
                      </w:rPr>
                      <w:t>  N</w:t>
                    </w:r>
                    <w:r>
                      <w:rPr>
                        <w:sz w:val="12"/>
                      </w:rPr>
                      <w:t>on-residential buildings</w:t>
                    </w:r>
                  </w:p>
                </w:txbxContent>
              </v:textbox>
              <w10:wrap type="none"/>
            </v:shape>
            <w10:wrap type="none"/>
          </v:group>
        </w:pict>
      </w:r>
      <w:r>
        <w:rPr>
          <w:sz w:val="12"/>
        </w:rPr>
        <w:t>45</w:t>
      </w:r>
    </w:p>
    <w:p>
      <w:pPr>
        <w:pStyle w:val="BodyText"/>
        <w:rPr>
          <w:sz w:val="13"/>
        </w:rPr>
      </w:pPr>
    </w:p>
    <w:p>
      <w:pPr>
        <w:spacing w:before="1"/>
        <w:ind w:left="3451" w:right="0" w:firstLine="0"/>
        <w:jc w:val="left"/>
        <w:rPr>
          <w:sz w:val="12"/>
        </w:rPr>
      </w:pPr>
      <w:r>
        <w:rPr>
          <w:sz w:val="12"/>
        </w:rPr>
        <w:t>40</w:t>
      </w:r>
    </w:p>
    <w:p>
      <w:pPr>
        <w:pStyle w:val="BodyText"/>
        <w:rPr>
          <w:sz w:val="13"/>
        </w:rPr>
      </w:pPr>
    </w:p>
    <w:p>
      <w:pPr>
        <w:spacing w:before="0"/>
        <w:ind w:left="3451" w:right="0" w:firstLine="0"/>
        <w:jc w:val="left"/>
        <w:rPr>
          <w:sz w:val="12"/>
        </w:rPr>
      </w:pPr>
      <w:r>
        <w:rPr>
          <w:sz w:val="12"/>
        </w:rPr>
        <w:t>35</w:t>
      </w:r>
    </w:p>
    <w:p>
      <w:pPr>
        <w:pStyle w:val="BodyText"/>
        <w:rPr>
          <w:sz w:val="13"/>
        </w:rPr>
      </w:pPr>
    </w:p>
    <w:p>
      <w:pPr>
        <w:spacing w:before="0"/>
        <w:ind w:left="3451" w:right="0" w:firstLine="0"/>
        <w:jc w:val="left"/>
        <w:rPr>
          <w:sz w:val="12"/>
        </w:rPr>
      </w:pPr>
      <w:r>
        <w:rPr>
          <w:sz w:val="12"/>
        </w:rPr>
        <w:t>30</w:t>
      </w:r>
    </w:p>
    <w:p>
      <w:pPr>
        <w:pStyle w:val="BodyText"/>
        <w:rPr>
          <w:sz w:val="13"/>
        </w:rPr>
      </w:pPr>
    </w:p>
    <w:p>
      <w:pPr>
        <w:spacing w:before="1"/>
        <w:ind w:left="3451" w:right="0" w:firstLine="0"/>
        <w:jc w:val="left"/>
        <w:rPr>
          <w:sz w:val="12"/>
        </w:rPr>
      </w:pPr>
      <w:r>
        <w:rPr>
          <w:sz w:val="12"/>
        </w:rPr>
        <w:t>25</w:t>
      </w:r>
    </w:p>
    <w:p>
      <w:pPr>
        <w:pStyle w:val="BodyText"/>
        <w:rPr>
          <w:sz w:val="13"/>
        </w:rPr>
      </w:pPr>
    </w:p>
    <w:p>
      <w:pPr>
        <w:spacing w:before="0"/>
        <w:ind w:left="3451" w:right="0" w:firstLine="0"/>
        <w:jc w:val="left"/>
        <w:rPr>
          <w:sz w:val="12"/>
        </w:rPr>
      </w:pPr>
      <w:r>
        <w:rPr/>
        <w:pict>
          <v:group style="position:absolute;margin-left:41.474998pt;margin-top:1.652374pt;width:160.65pt;height:16.6pt;mso-position-horizontal-relative:page;mso-position-vertical-relative:paragraph;z-index:15961088" coordorigin="829,33" coordsize="3213,332">
            <v:shape style="position:absolute;left:1007;top:55;width:575;height:135" coordorigin="1007,56" coordsize="575,135" path="m1007,163l1104,191m1104,191l1204,163m1204,163l1302,96m1302,96l1387,123m1387,123l1484,56m1484,56l1582,83e" filled="false" stroked="true" strokeweight="1pt" strokecolor="#00a2a0">
              <v:path arrowok="t"/>
              <v:stroke dashstyle="solid"/>
            </v:shape>
            <v:line style="position:absolute" from="1572,84" to="1692,84" stroked="true" strokeweight="1.125pt" strokecolor="#00a2a0">
              <v:stroke dashstyle="solid"/>
            </v:line>
            <v:shape style="position:absolute;left:1682;top:43;width:1348;height:200" coordorigin="1682,43" coordsize="1348,200" path="m1682,83l1779,43m1779,43l1877,111m1877,111l1962,96m1962,96l2062,111m2062,111l2159,83m2159,83l2257,123m2257,123l2354,203m2354,203l2452,191m2452,191l2539,231m2539,231l2637,176m2637,176l2734,163m2734,163l2832,136m2832,136l2929,176m2929,176l3029,243e" filled="false" stroked="true" strokeweight="1pt" strokecolor="#00a2a0">
              <v:path arrowok="t"/>
              <v:stroke dashstyle="solid"/>
            </v:shape>
            <v:shape style="position:absolute;left:3019;top:244;width:300;height:2" coordorigin="3019,244" coordsize="300,0" path="m3019,244l3124,244m3104,244l3222,244m3202,244l3319,244e" filled="false" stroked="true" strokeweight="1.125pt" strokecolor="#00a2a0">
              <v:path arrowok="t"/>
              <v:stroke dashstyle="solid"/>
            </v:shape>
            <v:shape style="position:absolute;left:3309;top:230;width:478;height:120" coordorigin="3309,231" coordsize="478,120" path="m3309,243l3409,231m3409,231l3507,296m3507,296l3604,338m3604,338l3689,323m3689,323l3787,351e" filled="false" stroked="true" strokeweight="1pt" strokecolor="#00a2a0">
              <v:path arrowok="t"/>
              <v:stroke dashstyle="solid"/>
            </v:shape>
            <v:line style="position:absolute" from="3777,352" to="3897,352" stroked="true" strokeweight="1.125pt" strokecolor="#00a2a0">
              <v:stroke dashstyle="solid"/>
            </v:line>
            <v:shape style="position:absolute;left:829;top:71;width:3213;height:289" coordorigin="829,71" coordsize="3213,289" path="m927,71l840,71m916,359l829,359m4042,72l3956,72m4032,360l3945,360e" filled="false" stroked="true" strokeweight=".5pt" strokecolor="#000000">
              <v:path arrowok="t"/>
              <v:stroke dashstyle="solid"/>
            </v:shape>
            <v:shape style="position:absolute;left:829;top:33;width:3213;height:332" type="#_x0000_t202" filled="false" stroked="false">
              <v:textbox inset="0,0,0,0">
                <w:txbxContent>
                  <w:p>
                    <w:pPr>
                      <w:spacing w:before="15"/>
                      <w:ind w:left="2125" w:right="0" w:firstLine="0"/>
                      <w:jc w:val="left"/>
                      <w:rPr>
                        <w:sz w:val="12"/>
                      </w:rPr>
                    </w:pPr>
                    <w:r>
                      <w:rPr>
                        <w:sz w:val="12"/>
                      </w:rPr>
                      <w:t>Dwellings</w:t>
                    </w:r>
                  </w:p>
                </w:txbxContent>
              </v:textbox>
              <w10:wrap type="none"/>
            </v:shape>
            <w10:wrap type="none"/>
          </v:group>
        </w:pict>
      </w:r>
      <w:r>
        <w:rPr>
          <w:sz w:val="12"/>
        </w:rPr>
        <w:t>20</w:t>
      </w:r>
    </w:p>
    <w:p>
      <w:pPr>
        <w:pStyle w:val="BodyText"/>
        <w:rPr>
          <w:sz w:val="13"/>
        </w:rPr>
      </w:pPr>
    </w:p>
    <w:p>
      <w:pPr>
        <w:spacing w:line="113" w:lineRule="exact" w:before="0"/>
        <w:ind w:left="3451" w:right="0" w:firstLine="0"/>
        <w:jc w:val="left"/>
        <w:rPr>
          <w:sz w:val="12"/>
        </w:rPr>
      </w:pPr>
      <w:r>
        <w:rPr>
          <w:sz w:val="12"/>
        </w:rPr>
        <w:t>15</w:t>
      </w:r>
    </w:p>
    <w:p>
      <w:pPr>
        <w:spacing w:line="113" w:lineRule="exact" w:before="0"/>
        <w:ind w:left="911" w:right="0" w:firstLine="0"/>
        <w:jc w:val="left"/>
        <w:rPr>
          <w:sz w:val="12"/>
        </w:rPr>
      </w:pPr>
      <w:r>
        <w:rPr/>
        <w:pict>
          <v:group style="position:absolute;margin-left:42.02pt;margin-top:6.339462pt;width:160.15pt;height:12.4pt;mso-position-horizontal-relative:page;mso-position-vertical-relative:paragraph;z-index:15958528" coordorigin="840,127" coordsize="3203,248">
            <v:shape style="position:absolute;left:1007;top:136;width:1153;height:228" coordorigin="1007,137" coordsize="1153,228" path="m1007,364l1105,297m1105,297l1205,309m1205,309l1302,337m1302,337l1387,189m1387,189l1485,337m1485,337l1582,244m1582,244l1682,269m1682,269l1780,137m1780,137l1877,284m1877,284l1962,244m1962,244l2062,189m2062,189l2160,257e" filled="false" stroked="true" strokeweight="1pt" strokecolor="#006caa">
              <v:path arrowok="t"/>
              <v:stroke dashstyle="solid"/>
            </v:shape>
            <v:line style="position:absolute" from="2150,258" to="2267,258" stroked="true" strokeweight="1.125pt" strokecolor="#006caa">
              <v:stroke dashstyle="solid"/>
            </v:line>
            <v:shape style="position:absolute;left:2257;top:216;width:1433;height:93" coordorigin="2257,217" coordsize="1433,93" path="m2257,257l2355,284m2355,284l2452,297m2452,297l2540,309m2540,309l2637,217m2637,217l2735,269m2735,269l2930,244m2930,244l3030,229m3030,229l3115,269m3115,269l3310,244m3310,244l3410,229m3410,229l3507,269m3507,269l3605,257m3605,257l3690,217e" filled="false" stroked="true" strokeweight="1pt" strokecolor="#006caa">
              <v:path arrowok="t"/>
              <v:stroke dashstyle="solid"/>
            </v:shape>
            <v:line style="position:absolute" from="3680,218" to="3797,218" stroked="true" strokeweight="1.125pt" strokecolor="#006caa">
              <v:stroke dashstyle="solid"/>
            </v:line>
            <v:line style="position:absolute" from="3787,217" to="3887,269" stroked="true" strokeweight="1pt" strokecolor="#006caa">
              <v:stroke dashstyle="solid"/>
            </v:line>
            <v:shape style="position:absolute;left:840;top:246;width:3203;height:2" coordorigin="840,246" coordsize="3203,1" path="m927,246l840,246m4042,247l3956,247e" filled="false" stroked="true" strokeweight=".5pt" strokecolor="#000000">
              <v:path arrowok="t"/>
              <v:stroke dashstyle="solid"/>
            </v:shape>
            <w10:wrap type="none"/>
          </v:group>
        </w:pict>
      </w:r>
      <w:r>
        <w:rPr>
          <w:sz w:val="12"/>
        </w:rPr>
        <w:t>Transport equipment</w:t>
      </w:r>
    </w:p>
    <w:p>
      <w:pPr>
        <w:spacing w:before="61"/>
        <w:ind w:left="3451" w:right="0" w:firstLine="0"/>
        <w:jc w:val="left"/>
        <w:rPr>
          <w:sz w:val="12"/>
        </w:rPr>
      </w:pPr>
      <w:r>
        <w:rPr>
          <w:sz w:val="12"/>
        </w:rPr>
        <w:t>10</w:t>
      </w:r>
    </w:p>
    <w:p>
      <w:pPr>
        <w:tabs>
          <w:tab w:pos="3571" w:val="right" w:leader="none"/>
        </w:tabs>
        <w:spacing w:before="140"/>
        <w:ind w:left="1867" w:right="0" w:firstLine="0"/>
        <w:jc w:val="left"/>
        <w:rPr>
          <w:sz w:val="12"/>
        </w:rPr>
      </w:pPr>
      <w:r>
        <w:rPr/>
        <w:pict>
          <v:group style="position:absolute;margin-left:42.02pt;margin-top:10.859953pt;width:160.15pt;height:8.3pt;mso-position-horizontal-relative:page;mso-position-vertical-relative:paragraph;z-index:-22183424" coordorigin="840,217" coordsize="3203,166">
            <v:line style="position:absolute" from="997,294" to="1115,294" stroked="true" strokeweight="1.125pt" strokecolor="#a64991">
              <v:stroke dashstyle="solid"/>
            </v:line>
            <v:line style="position:absolute" from="1105,292" to="1205,307" stroked="true" strokeweight="1pt" strokecolor="#a64991">
              <v:stroke dashstyle="solid"/>
            </v:line>
            <v:shape style="position:absolute;left:1194;top:308;width:203;height:2" coordorigin="1195,309" coordsize="203,0" path="m1195,309l1312,309m1292,309l1397,309e" filled="false" stroked="true" strokeweight="1.125pt" strokecolor="#a64991">
              <v:path arrowok="t"/>
              <v:stroke dashstyle="solid"/>
            </v:shape>
            <v:shape style="position:absolute;left:1387;top:307;width:490;height:25" coordorigin="1387,307" coordsize="490,25" path="m1387,307l1485,320m1485,320l1582,307m1582,307l1682,320m1682,320l1780,332m1780,332l1877,320e" filled="false" stroked="true" strokeweight="1pt" strokecolor="#a64991">
              <v:path arrowok="t"/>
              <v:stroke dashstyle="solid"/>
            </v:shape>
            <v:shape style="position:absolute;left:1867;top:321;width:498;height:2" coordorigin="1867,321" coordsize="498,0" path="m1867,321l1972,321m1952,321l2072,321m2052,321l2170,321m2150,321l2267,321m2247,321l2365,321e" filled="false" stroked="true" strokeweight="1.125pt" strokecolor="#a64991">
              <v:path arrowok="t"/>
              <v:stroke dashstyle="solid"/>
            </v:shape>
            <v:shape style="position:absolute;left:2354;top:292;width:1055;height:55" coordorigin="2355,292" coordsize="1055,55" path="m2355,320l2452,292m2452,292l2540,307m2540,307l2637,320m2637,320l2735,307m2735,307l2832,320m2832,320l2930,307m2930,307l3030,320m3030,320l3115,332m3115,332l3212,347m3212,347l3310,332m3310,332l3410,320e" filled="false" stroked="true" strokeweight="1pt" strokecolor="#a64991">
              <v:path arrowok="t"/>
              <v:stroke dashstyle="solid"/>
            </v:shape>
            <v:line style="position:absolute" from="3400,321" to="3517,321" stroked="true" strokeweight="1.125pt" strokecolor="#a64991">
              <v:stroke dashstyle="solid"/>
            </v:line>
            <v:shape style="position:absolute;left:3507;top:319;width:380;height:53" coordorigin="3507,320" coordsize="380,53" path="m3507,320l3605,332m3605,332l3690,347m3690,347l3787,360m3787,360l3887,372e" filled="false" stroked="true" strokeweight="1pt" strokecolor="#a64991">
              <v:path arrowok="t"/>
              <v:stroke dashstyle="solid"/>
            </v:shape>
            <v:shape style="position:absolute;left:840;top:222;width:3203;height:2" coordorigin="840,222" coordsize="3203,1" path="m927,222l840,222m4042,223l3956,223e" filled="false" stroked="true" strokeweight=".5pt" strokecolor="#000000">
              <v:path arrowok="t"/>
              <v:stroke dashstyle="solid"/>
            </v:shape>
            <w10:wrap type="none"/>
          </v:group>
        </w:pict>
      </w:r>
      <w:r>
        <w:rPr>
          <w:position w:val="1"/>
          <w:sz w:val="12"/>
        </w:rPr>
        <w:t>Intangible fixed assets</w:t>
        <w:tab/>
      </w:r>
      <w:r>
        <w:rPr>
          <w:sz w:val="12"/>
        </w:rPr>
        <w:t>5</w:t>
      </w:r>
    </w:p>
    <w:p>
      <w:pPr>
        <w:pStyle w:val="BodyText"/>
        <w:rPr>
          <w:sz w:val="13"/>
        </w:rPr>
      </w:pPr>
    </w:p>
    <w:p>
      <w:pPr>
        <w:spacing w:line="120" w:lineRule="exact" w:before="0"/>
        <w:ind w:left="3511" w:right="0" w:firstLine="0"/>
        <w:jc w:val="left"/>
        <w:rPr>
          <w:sz w:val="12"/>
        </w:rPr>
      </w:pPr>
      <w:r>
        <w:rPr/>
        <w:pict>
          <v:line style="position:absolute;mso-position-horizontal-relative:page;mso-position-vertical-relative:paragraph;z-index:15962624" from="46.353pt,3.622562pt" to="42.02pt,3.622562pt" stroked="true" strokeweight=".5pt" strokecolor="#000000">
            <v:stroke dashstyle="solid"/>
            <w10:wrap type="none"/>
          </v:line>
        </w:pict>
      </w:r>
      <w:r>
        <w:rPr/>
        <w:pict>
          <v:shape style="position:absolute;margin-left:50.653pt;margin-top:.934563pt;width:151.5pt;height:2.75pt;mso-position-horizontal-relative:page;mso-position-vertical-relative:paragraph;z-index:15963136" coordorigin="1013,19" coordsize="3030,55" path="m1016,72l3887,72m1013,19l1013,72m1778,19l1778,72m2927,19l2927,72m1396,19l1396,72m2161,19l2161,72m2544,19l2544,72m3309,19l3309,72m3692,19l3692,72m4042,73l3956,73e" filled="false" stroked="true" strokeweight=".5pt" strokecolor="#000000">
            <v:path arrowok="t"/>
            <v:stroke dashstyle="solid"/>
            <w10:wrap type="none"/>
          </v:shape>
        </w:pict>
      </w:r>
      <w:r>
        <w:rPr>
          <w:sz w:val="12"/>
        </w:rPr>
        <w:t>0</w:t>
      </w:r>
    </w:p>
    <w:p>
      <w:pPr>
        <w:tabs>
          <w:tab w:pos="914" w:val="left" w:leader="none"/>
          <w:tab w:pos="1306" w:val="left" w:leader="none"/>
          <w:tab w:pos="1686" w:val="left" w:leader="none"/>
          <w:tab w:pos="2066" w:val="left" w:leader="none"/>
          <w:tab w:pos="2459" w:val="left" w:leader="none"/>
          <w:tab w:pos="2839" w:val="left" w:leader="none"/>
        </w:tabs>
        <w:spacing w:line="120" w:lineRule="exact" w:before="0"/>
        <w:ind w:left="444" w:right="0" w:firstLine="0"/>
        <w:jc w:val="left"/>
        <w:rPr>
          <w:sz w:val="12"/>
        </w:rPr>
      </w:pPr>
      <w:r>
        <w:rPr>
          <w:sz w:val="12"/>
        </w:rPr>
        <w:t>1992</w:t>
        <w:tab/>
        <w:t>93</w:t>
        <w:tab/>
        <w:t>94</w:t>
        <w:tab/>
        <w:t>95</w:t>
        <w:tab/>
        <w:t>96</w:t>
        <w:tab/>
        <w:t>97</w:t>
        <w:tab/>
        <w:t>98</w:t>
      </w:r>
      <w:r>
        <w:rPr>
          <w:spacing w:val="5"/>
          <w:sz w:val="12"/>
        </w:rPr>
        <w:t> </w:t>
      </w:r>
      <w:r>
        <w:rPr>
          <w:sz w:val="12"/>
        </w:rPr>
        <w:t>99</w:t>
      </w:r>
    </w:p>
    <w:p>
      <w:pPr>
        <w:pStyle w:val="BodyText"/>
        <w:spacing w:before="4"/>
        <w:rPr>
          <w:sz w:val="13"/>
        </w:rPr>
      </w:pPr>
    </w:p>
    <w:p>
      <w:pPr>
        <w:pStyle w:val="ListParagraph"/>
        <w:numPr>
          <w:ilvl w:val="0"/>
          <w:numId w:val="17"/>
        </w:numPr>
        <w:tabs>
          <w:tab w:pos="418" w:val="left" w:leader="none"/>
        </w:tabs>
        <w:spacing w:line="208" w:lineRule="auto" w:before="0" w:after="0"/>
        <w:ind w:left="418" w:right="286" w:hanging="240"/>
        <w:jc w:val="left"/>
        <w:rPr>
          <w:sz w:val="12"/>
        </w:rPr>
      </w:pPr>
      <w:r>
        <w:rPr>
          <w:sz w:val="12"/>
        </w:rPr>
        <w:t>At constant 1995 prices. Figures refer to shares in whole-economy investment.</w:t>
      </w:r>
    </w:p>
    <w:p>
      <w:pPr>
        <w:pStyle w:val="Heading6"/>
        <w:spacing w:line="242" w:lineRule="auto"/>
        <w:ind w:left="172" w:right="340"/>
      </w:pPr>
      <w:r>
        <w:rPr/>
        <w:br w:type="column"/>
      </w:r>
      <w:r>
        <w:rPr/>
        <w:t>view that a growing proportion of UK investment has been directed towards capital goods with shorter</w:t>
      </w:r>
    </w:p>
    <w:p>
      <w:pPr>
        <w:spacing w:line="242" w:lineRule="auto" w:before="0"/>
        <w:ind w:left="172" w:right="340" w:firstLine="0"/>
        <w:jc w:val="left"/>
        <w:rPr>
          <w:sz w:val="24"/>
        </w:rPr>
      </w:pPr>
      <w:r>
        <w:rPr>
          <w:sz w:val="24"/>
        </w:rPr>
        <w:t>life-spans, such as IT equipment. Spending on IT is included in ONS figures for investment in general equipment and machinery, whose share in total investment has indeed been rising since 1994 (see Chart 2.14).</w:t>
      </w:r>
      <w:r>
        <w:rPr>
          <w:position w:val="5"/>
          <w:sz w:val="16"/>
        </w:rPr>
        <w:t>(2) </w:t>
      </w:r>
      <w:r>
        <w:rPr>
          <w:sz w:val="24"/>
        </w:rPr>
        <w:t>A rise in the share of IT equipment in</w:t>
      </w:r>
    </w:p>
    <w:p>
      <w:pPr>
        <w:spacing w:line="242" w:lineRule="auto" w:before="0"/>
        <w:ind w:left="172" w:right="0" w:firstLine="0"/>
        <w:jc w:val="left"/>
        <w:rPr>
          <w:sz w:val="24"/>
        </w:rPr>
      </w:pPr>
      <w:r>
        <w:rPr>
          <w:sz w:val="24"/>
        </w:rPr>
        <w:t>total business investment is consistent with the decline in prices of IT goods relative to other investment goods throughout the 1990s.</w:t>
      </w:r>
    </w:p>
    <w:p>
      <w:pPr>
        <w:pStyle w:val="BodyText"/>
        <w:spacing w:before="6"/>
        <w:rPr>
          <w:sz w:val="24"/>
        </w:rPr>
      </w:pPr>
    </w:p>
    <w:p>
      <w:pPr>
        <w:spacing w:line="242" w:lineRule="auto" w:before="1"/>
        <w:ind w:left="172" w:right="199" w:firstLine="0"/>
        <w:jc w:val="left"/>
        <w:rPr>
          <w:sz w:val="24"/>
        </w:rPr>
      </w:pPr>
      <w:r>
        <w:rPr>
          <w:sz w:val="24"/>
        </w:rPr>
        <w:t>Forward-looking indicators tend to support a stronger outlook for business investment growth in the near term. Following several quarters of negative growth, the gross operating surplus of UK companies rose by 3.5% in 1999 Q3, and was 1.6% higher than a year earlier. Oil companies accounted for much of that increase, but a recovery in corporate profits was also reported in the non-oil sector. Survey evidence for both the manufacturing and service sectors suggests that profit expectations and investment intentions have risen (see Chart 2.12), and that capacity utilisation increased in these sectors in 1999. Consistent with these indicators, the MPC has assumed in its central projection that some of the slowdown in investment in 1999 reflects a temporary ‘pause’ owing to the impact of the millennium. The Committee projects a modest recovery in investment growth in 2000 from its current low rates,</w:t>
      </w:r>
    </w:p>
    <w:p>
      <w:pPr>
        <w:pStyle w:val="BodyText"/>
        <w:spacing w:before="6"/>
        <w:rPr>
          <w:sz w:val="20"/>
        </w:rPr>
      </w:pPr>
      <w:r>
        <w:rPr/>
        <w:pict>
          <v:shape style="position:absolute;margin-left:279pt;margin-top:13.877016pt;width:276.5pt;height:.1pt;mso-position-horizontal-relative:page;mso-position-vertical-relative:paragraph;z-index:-15499264;mso-wrap-distance-left:0;mso-wrap-distance-right:0" coordorigin="5580,278" coordsize="5530,0" path="m5580,278l11110,278e" filled="false" stroked="true" strokeweight=".125pt" strokecolor="#000000">
            <v:path arrowok="t"/>
            <v:stroke dashstyle="solid"/>
            <w10:wrap type="topAndBottom"/>
          </v:shape>
        </w:pict>
      </w:r>
    </w:p>
    <w:p>
      <w:pPr>
        <w:pStyle w:val="ListParagraph"/>
        <w:numPr>
          <w:ilvl w:val="1"/>
          <w:numId w:val="17"/>
        </w:numPr>
        <w:tabs>
          <w:tab w:pos="411" w:val="left" w:leader="none"/>
        </w:tabs>
        <w:spacing w:line="208" w:lineRule="auto" w:before="0" w:after="0"/>
        <w:ind w:left="410" w:right="651" w:hanging="240"/>
        <w:jc w:val="left"/>
        <w:rPr>
          <w:sz w:val="16"/>
        </w:rPr>
      </w:pPr>
      <w:r>
        <w:rPr>
          <w:sz w:val="16"/>
        </w:rPr>
        <w:t>These estimates are provisional and final figures will be published in the 2000 edition of the National Accounts </w:t>
      </w:r>
      <w:r>
        <w:rPr>
          <w:i/>
          <w:sz w:val="16"/>
        </w:rPr>
        <w:t>Blue Book</w:t>
      </w:r>
      <w:r>
        <w:rPr>
          <w:sz w:val="16"/>
        </w:rPr>
        <w:t>. The ONS reassessment of the capital stock and depreciation rate is detailed in two articles by West, P and Clifton-Fearnside, A: ‘The capital stock of the United Kingdom—some new developments in coverage and methodology’, </w:t>
      </w:r>
      <w:r>
        <w:rPr>
          <w:i/>
          <w:sz w:val="16"/>
        </w:rPr>
        <w:t>Economic Trends</w:t>
      </w:r>
      <w:r>
        <w:rPr>
          <w:sz w:val="16"/>
        </w:rPr>
        <w:t>, No 544, March 1999, pages 39–48, and ‘Improving the non-financial balance sheets and capital stocks estimates’, </w:t>
      </w:r>
      <w:r>
        <w:rPr>
          <w:i/>
          <w:sz w:val="16"/>
        </w:rPr>
        <w:t>Economic </w:t>
      </w:r>
      <w:r>
        <w:rPr>
          <w:i/>
          <w:sz w:val="16"/>
        </w:rPr>
        <w:t>Trends</w:t>
      </w:r>
      <w:r>
        <w:rPr>
          <w:sz w:val="16"/>
        </w:rPr>
        <w:t>, No 552, November 1999, pages</w:t>
      </w:r>
      <w:r>
        <w:rPr>
          <w:spacing w:val="-1"/>
          <w:sz w:val="16"/>
        </w:rPr>
        <w:t> </w:t>
      </w:r>
      <w:r>
        <w:rPr>
          <w:sz w:val="16"/>
        </w:rPr>
        <w:t>53–67.</w:t>
      </w:r>
    </w:p>
    <w:p>
      <w:pPr>
        <w:pStyle w:val="ListParagraph"/>
        <w:numPr>
          <w:ilvl w:val="1"/>
          <w:numId w:val="17"/>
        </w:numPr>
        <w:tabs>
          <w:tab w:pos="411" w:val="left" w:leader="none"/>
        </w:tabs>
        <w:spacing w:line="208" w:lineRule="auto" w:before="0" w:after="0"/>
        <w:ind w:left="410" w:right="683" w:hanging="240"/>
        <w:jc w:val="left"/>
        <w:rPr>
          <w:sz w:val="16"/>
        </w:rPr>
      </w:pPr>
      <w:r>
        <w:rPr>
          <w:sz w:val="16"/>
        </w:rPr>
        <w:t>National Accounts data do not provide a more disaggregated measure of investment</w:t>
      </w:r>
      <w:r>
        <w:rPr>
          <w:spacing w:val="-6"/>
          <w:sz w:val="16"/>
        </w:rPr>
        <w:t> </w:t>
      </w:r>
      <w:r>
        <w:rPr>
          <w:sz w:val="16"/>
        </w:rPr>
        <w:t>in</w:t>
      </w:r>
      <w:r>
        <w:rPr>
          <w:spacing w:val="-5"/>
          <w:sz w:val="16"/>
        </w:rPr>
        <w:t> </w:t>
      </w:r>
      <w:r>
        <w:rPr>
          <w:sz w:val="16"/>
        </w:rPr>
        <w:t>types</w:t>
      </w:r>
      <w:r>
        <w:rPr>
          <w:spacing w:val="-5"/>
          <w:sz w:val="16"/>
        </w:rPr>
        <w:t> </w:t>
      </w:r>
      <w:r>
        <w:rPr>
          <w:sz w:val="16"/>
        </w:rPr>
        <w:t>of</w:t>
      </w:r>
      <w:r>
        <w:rPr>
          <w:spacing w:val="-5"/>
          <w:sz w:val="16"/>
        </w:rPr>
        <w:t> </w:t>
      </w:r>
      <w:r>
        <w:rPr>
          <w:sz w:val="16"/>
        </w:rPr>
        <w:t>capital</w:t>
      </w:r>
      <w:r>
        <w:rPr>
          <w:spacing w:val="-5"/>
          <w:sz w:val="16"/>
        </w:rPr>
        <w:t> </w:t>
      </w:r>
      <w:r>
        <w:rPr>
          <w:sz w:val="16"/>
        </w:rPr>
        <w:t>asset</w:t>
      </w:r>
      <w:r>
        <w:rPr>
          <w:spacing w:val="-6"/>
          <w:sz w:val="16"/>
        </w:rPr>
        <w:t> </w:t>
      </w:r>
      <w:r>
        <w:rPr>
          <w:sz w:val="16"/>
        </w:rPr>
        <w:t>within</w:t>
      </w:r>
      <w:r>
        <w:rPr>
          <w:spacing w:val="-5"/>
          <w:sz w:val="16"/>
        </w:rPr>
        <w:t> </w:t>
      </w:r>
      <w:r>
        <w:rPr>
          <w:sz w:val="16"/>
        </w:rPr>
        <w:t>the</w:t>
      </w:r>
      <w:r>
        <w:rPr>
          <w:spacing w:val="-5"/>
          <w:sz w:val="16"/>
        </w:rPr>
        <w:t> </w:t>
      </w:r>
      <w:r>
        <w:rPr>
          <w:sz w:val="16"/>
        </w:rPr>
        <w:t>class</w:t>
      </w:r>
      <w:r>
        <w:rPr>
          <w:spacing w:val="-5"/>
          <w:sz w:val="16"/>
        </w:rPr>
        <w:t> </w:t>
      </w:r>
      <w:r>
        <w:rPr>
          <w:sz w:val="16"/>
        </w:rPr>
        <w:t>of</w:t>
      </w:r>
      <w:r>
        <w:rPr>
          <w:spacing w:val="-4"/>
          <w:sz w:val="16"/>
        </w:rPr>
        <w:t> </w:t>
      </w:r>
      <w:r>
        <w:rPr>
          <w:sz w:val="16"/>
        </w:rPr>
        <w:t>‘general</w:t>
      </w:r>
      <w:r>
        <w:rPr>
          <w:spacing w:val="-6"/>
          <w:sz w:val="16"/>
        </w:rPr>
        <w:t> </w:t>
      </w:r>
      <w:r>
        <w:rPr>
          <w:sz w:val="16"/>
        </w:rPr>
        <w:t>equipment and</w:t>
      </w:r>
      <w:r>
        <w:rPr>
          <w:spacing w:val="-2"/>
          <w:sz w:val="16"/>
        </w:rPr>
        <w:t> </w:t>
      </w:r>
      <w:r>
        <w:rPr>
          <w:sz w:val="16"/>
        </w:rPr>
        <w:t>machinery’.</w:t>
      </w:r>
    </w:p>
    <w:p>
      <w:pPr>
        <w:spacing w:after="0" w:line="208" w:lineRule="auto"/>
        <w:jc w:val="left"/>
        <w:rPr>
          <w:sz w:val="16"/>
        </w:rPr>
        <w:sectPr>
          <w:type w:val="continuous"/>
          <w:pgSz w:w="11900" w:h="16840"/>
          <w:pgMar w:top="1220" w:bottom="280" w:left="620" w:right="640"/>
          <w:cols w:num="2" w:equalWidth="0">
            <w:col w:w="3929" w:space="893"/>
            <w:col w:w="5818"/>
          </w:cols>
        </w:sectPr>
      </w:pPr>
    </w:p>
    <w:p>
      <w:pPr>
        <w:pStyle w:val="BodyText"/>
        <w:rPr>
          <w:sz w:val="20"/>
        </w:rPr>
      </w:pPr>
    </w:p>
    <w:p>
      <w:pPr>
        <w:pStyle w:val="Heading6"/>
        <w:spacing w:line="242" w:lineRule="auto" w:before="227"/>
        <w:ind w:left="4969"/>
      </w:pPr>
      <w:bookmarkStart w:name="Inventories" w:id="40"/>
      <w:bookmarkEnd w:id="40"/>
      <w:r>
        <w:rPr/>
      </w:r>
      <w:bookmarkStart w:name="Public sector demand" w:id="41"/>
      <w:bookmarkEnd w:id="41"/>
      <w:r>
        <w:rPr/>
      </w:r>
      <w:bookmarkStart w:name="_bookmark15" w:id="42"/>
      <w:bookmarkEnd w:id="42"/>
      <w:r>
        <w:rPr/>
      </w:r>
      <w:r>
        <w:rPr/>
        <w:t>with the strength of recent survey data suggesting a possible upside risk to this central projection.</w:t>
      </w:r>
    </w:p>
    <w:p>
      <w:pPr>
        <w:pStyle w:val="BodyText"/>
        <w:spacing w:before="9"/>
        <w:rPr>
          <w:sz w:val="16"/>
        </w:rPr>
      </w:pPr>
    </w:p>
    <w:p>
      <w:pPr>
        <w:spacing w:after="0"/>
        <w:rPr>
          <w:sz w:val="16"/>
        </w:rPr>
        <w:sectPr>
          <w:pgSz w:w="11900" w:h="16840"/>
          <w:pgMar w:header="586" w:footer="617" w:top="780" w:bottom="800" w:left="62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9"/>
        <w:spacing w:before="162"/>
        <w:ind w:left="179"/>
      </w:pPr>
      <w:r>
        <w:rPr>
          <w:color w:val="0092C7"/>
        </w:rPr>
        <w:t>Chart 2.15</w:t>
      </w:r>
    </w:p>
    <w:p>
      <w:pPr>
        <w:spacing w:before="10"/>
        <w:ind w:left="179" w:right="0" w:firstLine="0"/>
        <w:jc w:val="left"/>
        <w:rPr>
          <w:sz w:val="12"/>
        </w:rPr>
      </w:pPr>
      <w:r>
        <w:rPr>
          <w:b/>
          <w:color w:val="0092C7"/>
          <w:sz w:val="20"/>
        </w:rPr>
        <w:t>Changes in inventories</w:t>
      </w:r>
      <w:r>
        <w:rPr>
          <w:position w:val="4"/>
          <w:sz w:val="12"/>
        </w:rPr>
        <w:t>(a)</w:t>
      </w:r>
    </w:p>
    <w:p>
      <w:pPr>
        <w:tabs>
          <w:tab w:pos="1500" w:val="left" w:leader="none"/>
        </w:tabs>
        <w:spacing w:before="93"/>
        <w:ind w:left="427" w:right="0" w:firstLine="0"/>
        <w:jc w:val="left"/>
        <w:rPr>
          <w:sz w:val="12"/>
        </w:rPr>
      </w:pPr>
      <w:r>
        <w:rPr/>
        <w:pict>
          <v:group style="position:absolute;margin-left:41.382pt;margin-top:5.085181pt;width:7.85pt;height:25.5pt;mso-position-horizontal-relative:page;mso-position-vertical-relative:paragraph;z-index:15980032" coordorigin="828,102" coordsize="157,510">
            <v:line style="position:absolute" from="914,607" to="828,607" stroked="true" strokeweight=".5pt" strokecolor="#000000">
              <v:stroke dashstyle="solid"/>
            </v:line>
            <v:rect style="position:absolute;left:832;top:106;width:147;height:147" filled="true" fillcolor="#006caa" stroked="false">
              <v:fill type="solid"/>
            </v:rect>
            <v:rect style="position:absolute;left:832;top:106;width:147;height:147" filled="false" stroked="true" strokeweight=".5pt" strokecolor="#000000">
              <v:stroke dashstyle="solid"/>
            </v:rect>
            <v:rect style="position:absolute;left:832;top:253;width:147;height:147" filled="true" fillcolor="#f5b37a" stroked="false">
              <v:fill type="solid"/>
            </v:rect>
            <v:rect style="position:absolute;left:832;top:253;width:147;height:147" filled="false" stroked="true" strokeweight=".5pt" strokecolor="#000000">
              <v:stroke dashstyle="solid"/>
            </v:rect>
            <v:rect style="position:absolute;left:832;top:400;width:147;height:147" filled="true" fillcolor="#00a2a0" stroked="false">
              <v:fill type="solid"/>
            </v:rect>
            <v:rect style="position:absolute;left:832;top:400;width:147;height:147" filled="false" stroked="true" strokeweight=".5pt" strokecolor="#000000">
              <v:stroke dashstyle="solid"/>
            </v:rect>
            <w10:wrap type="none"/>
          </v:group>
        </w:pict>
      </w:r>
      <w:r>
        <w:rPr/>
        <w:pict>
          <v:group style="position:absolute;margin-left:106.044998pt;margin-top:5.085181pt;width:7.85pt;height:7.85pt;mso-position-horizontal-relative:page;mso-position-vertical-relative:paragraph;z-index:-22163968" coordorigin="2121,102" coordsize="157,157">
            <v:rect style="position:absolute;left:2125;top:106;width:147;height:147" filled="true" fillcolor="#cee7e8" stroked="false">
              <v:fill type="solid"/>
            </v:rect>
            <v:rect style="position:absolute;left:2125;top:106;width:147;height:147" filled="false" stroked="true" strokeweight=".5pt" strokecolor="#000000">
              <v:stroke dashstyle="solid"/>
            </v:rect>
            <w10:wrap type="none"/>
          </v:group>
        </w:pict>
      </w:r>
      <w:r>
        <w:rPr>
          <w:sz w:val="12"/>
        </w:rPr>
        <w:t>Manufacturing</w:t>
        <w:tab/>
      </w:r>
      <w:r>
        <w:rPr>
          <w:sz w:val="12"/>
          <w:u w:val="single" w:color="DE0035"/>
        </w:rPr>
        <w:t> </w:t>
      </w:r>
      <w:r>
        <w:rPr>
          <w:sz w:val="12"/>
        </w:rPr>
        <w:t>Other</w:t>
      </w:r>
    </w:p>
    <w:p>
      <w:pPr>
        <w:spacing w:before="90"/>
        <w:ind w:left="179" w:right="0" w:firstLine="0"/>
        <w:jc w:val="left"/>
        <w:rPr>
          <w:i/>
          <w:sz w:val="24"/>
        </w:rPr>
      </w:pPr>
      <w:r>
        <w:rPr/>
        <w:br w:type="column"/>
      </w:r>
      <w:r>
        <w:rPr>
          <w:i/>
          <w:color w:val="009391"/>
          <w:sz w:val="24"/>
        </w:rPr>
        <w:t>Inventories</w:t>
      </w:r>
    </w:p>
    <w:p>
      <w:pPr>
        <w:spacing w:line="242" w:lineRule="auto" w:before="124"/>
        <w:ind w:left="179" w:right="151" w:firstLine="0"/>
        <w:jc w:val="left"/>
        <w:rPr>
          <w:sz w:val="24"/>
        </w:rPr>
      </w:pPr>
      <w:r>
        <w:rPr>
          <w:sz w:val="24"/>
        </w:rPr>
        <w:t>Changes in inventory levels contributed 0.7 percentage points to GDP growth in 1999 Q3 (excluding the National Accounts alignment adjustment), following a decline in whole-economy inventories during the first half of 1999. The outturn in Q3 was consistent with the MPC’s expectations of stockbuilding ahead of the turn of the millennium, for precautionary and celebratory purposes.</w:t>
      </w:r>
    </w:p>
    <w:p>
      <w:pPr>
        <w:pStyle w:val="BodyText"/>
        <w:spacing w:before="8"/>
        <w:rPr>
          <w:sz w:val="21"/>
        </w:rPr>
      </w:pPr>
    </w:p>
    <w:p>
      <w:pPr>
        <w:spacing w:line="194" w:lineRule="exact" w:before="0"/>
        <w:ind w:left="179" w:right="0" w:firstLine="0"/>
        <w:jc w:val="left"/>
        <w:rPr>
          <w:sz w:val="24"/>
        </w:rPr>
      </w:pPr>
      <w:r>
        <w:rPr>
          <w:sz w:val="24"/>
        </w:rPr>
        <w:t>Both the decline in stocks in the first half of 1999 and the</w:t>
      </w:r>
    </w:p>
    <w:p>
      <w:pPr>
        <w:spacing w:after="0" w:line="194" w:lineRule="exact"/>
        <w:jc w:val="left"/>
        <w:rPr>
          <w:sz w:val="24"/>
        </w:rPr>
        <w:sectPr>
          <w:type w:val="continuous"/>
          <w:pgSz w:w="11900" w:h="16840"/>
          <w:pgMar w:top="1220" w:bottom="280" w:left="620" w:right="640"/>
          <w:cols w:num="2" w:equalWidth="0">
            <w:col w:w="2297" w:space="2493"/>
            <w:col w:w="5850"/>
          </w:cols>
        </w:sectPr>
      </w:pPr>
    </w:p>
    <w:p>
      <w:pPr>
        <w:spacing w:line="271" w:lineRule="auto" w:before="0"/>
        <w:ind w:left="427" w:right="20" w:firstLine="0"/>
        <w:jc w:val="left"/>
        <w:rPr>
          <w:sz w:val="12"/>
        </w:rPr>
      </w:pPr>
      <w:r>
        <w:rPr>
          <w:sz w:val="12"/>
        </w:rPr>
        <w:t>Wholesale Retail</w:t>
      </w:r>
    </w:p>
    <w:p>
      <w:pPr>
        <w:pStyle w:val="BodyText"/>
        <w:rPr>
          <w:sz w:val="20"/>
        </w:rPr>
      </w:pPr>
    </w:p>
    <w:p>
      <w:pPr>
        <w:pStyle w:val="BodyText"/>
        <w:spacing w:before="11"/>
        <w:rPr>
          <w:sz w:val="10"/>
        </w:rPr>
      </w:pPr>
      <w:r>
        <w:rPr/>
        <w:pict>
          <v:shape style="position:absolute;margin-left:41.382pt;margin-top:8.522858pt;width:4.350pt;height:.1pt;mso-position-horizontal-relative:page;mso-position-vertical-relative:paragraph;z-index:-15490560;mso-wrap-distance-left:0;mso-wrap-distance-right:0" coordorigin="828,170" coordsize="87,0" path="m914,170l828,170e" filled="false" stroked="true" strokeweight=".5pt" strokecolor="#000000">
            <v:path arrowok="t"/>
            <v:stroke dashstyle="solid"/>
            <w10:wrap type="topAndBottom"/>
          </v:shape>
        </w:pict>
      </w:r>
      <w:r>
        <w:rPr/>
        <w:pict>
          <v:shape style="position:absolute;margin-left:41.382pt;margin-top:26.483858pt;width:4.350pt;height:.1pt;mso-position-horizontal-relative:page;mso-position-vertical-relative:paragraph;z-index:-15490048;mso-wrap-distance-left:0;mso-wrap-distance-right:0" coordorigin="828,530" coordsize="87,0" path="m914,530l828,530e" filled="false" stroked="true" strokeweight=".5pt" strokecolor="#000000">
            <v:path arrowok="t"/>
            <v:stroke dashstyle="solid"/>
            <w10:wrap type="topAndBottom"/>
          </v:shape>
        </w:pict>
      </w:r>
      <w:r>
        <w:rPr/>
        <w:pict>
          <v:shape style="position:absolute;margin-left:41.382pt;margin-top:44.444859pt;width:4.350pt;height:.1pt;mso-position-horizontal-relative:page;mso-position-vertical-relative:paragraph;z-index:-15489536;mso-wrap-distance-left:0;mso-wrap-distance-right:0" coordorigin="828,889" coordsize="87,0" path="m914,889l828,889e" filled="false" stroked="true" strokeweight=".5pt" strokecolor="#000000">
            <v:path arrowok="t"/>
            <v:stroke dashstyle="solid"/>
            <w10:wrap type="topAndBottom"/>
          </v:shape>
        </w:pict>
      </w:r>
    </w:p>
    <w:p>
      <w:pPr>
        <w:pStyle w:val="BodyText"/>
        <w:spacing w:before="5"/>
        <w:rPr>
          <w:sz w:val="24"/>
        </w:rPr>
      </w:pPr>
    </w:p>
    <w:p>
      <w:pPr>
        <w:pStyle w:val="BodyText"/>
        <w:spacing w:before="5"/>
        <w:rPr>
          <w:sz w:val="24"/>
        </w:rPr>
      </w:pPr>
    </w:p>
    <w:p>
      <w:pPr>
        <w:spacing w:line="134" w:lineRule="exact" w:before="0"/>
        <w:ind w:left="427" w:right="0" w:firstLine="0"/>
        <w:jc w:val="left"/>
        <w:rPr>
          <w:sz w:val="12"/>
        </w:rPr>
      </w:pPr>
      <w:r>
        <w:rPr/>
        <w:br w:type="column"/>
      </w:r>
      <w:r>
        <w:rPr>
          <w:sz w:val="12"/>
        </w:rPr>
        <w:t>Total</w:t>
      </w:r>
    </w:p>
    <w:p>
      <w:pPr>
        <w:pStyle w:val="BodyText"/>
        <w:spacing w:before="3"/>
        <w:rPr>
          <w:sz w:val="16"/>
        </w:rPr>
      </w:pPr>
      <w:r>
        <w:rPr/>
        <w:br w:type="column"/>
      </w:r>
      <w:r>
        <w:rPr>
          <w:sz w:val="16"/>
        </w:rPr>
      </w:r>
    </w:p>
    <w:p>
      <w:pPr>
        <w:spacing w:before="0"/>
        <w:ind w:left="427" w:right="0" w:firstLine="0"/>
        <w:jc w:val="left"/>
        <w:rPr>
          <w:sz w:val="12"/>
        </w:rPr>
      </w:pPr>
      <w:r>
        <w:rPr>
          <w:sz w:val="12"/>
        </w:rPr>
        <w:t>£ millions</w:t>
      </w:r>
    </w:p>
    <w:p>
      <w:pPr>
        <w:pStyle w:val="BodyText"/>
        <w:spacing w:before="9"/>
        <w:rPr>
          <w:sz w:val="2"/>
        </w:rPr>
      </w:pPr>
    </w:p>
    <w:p>
      <w:pPr>
        <w:pStyle w:val="BodyText"/>
        <w:spacing w:line="20" w:lineRule="exact"/>
        <w:ind w:left="799" w:right="-58"/>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r>
        <w:rPr/>
        <w:br w:type="column"/>
      </w:r>
      <w:r>
        <w:rPr>
          <w:sz w:val="12"/>
        </w:rPr>
      </w:r>
    </w:p>
    <w:p>
      <w:pPr>
        <w:pStyle w:val="BodyText"/>
        <w:spacing w:before="1"/>
        <w:rPr>
          <w:sz w:val="13"/>
        </w:rPr>
      </w:pPr>
    </w:p>
    <w:p>
      <w:pPr>
        <w:spacing w:before="1"/>
        <w:ind w:left="-12" w:right="0" w:firstLine="0"/>
        <w:jc w:val="left"/>
        <w:rPr>
          <w:sz w:val="12"/>
        </w:rPr>
      </w:pPr>
      <w:r>
        <w:rPr>
          <w:sz w:val="12"/>
        </w:rPr>
        <w:t>1,600</w:t>
      </w:r>
    </w:p>
    <w:p>
      <w:pPr>
        <w:pStyle w:val="BodyText"/>
        <w:rPr>
          <w:sz w:val="12"/>
        </w:rPr>
      </w:pPr>
    </w:p>
    <w:p>
      <w:pPr>
        <w:spacing w:before="83"/>
        <w:ind w:left="-12" w:right="0" w:firstLine="0"/>
        <w:jc w:val="left"/>
        <w:rPr>
          <w:sz w:val="12"/>
        </w:rPr>
      </w:pPr>
      <w:r>
        <w:rPr>
          <w:sz w:val="12"/>
        </w:rPr>
        <w:t>1,200</w:t>
      </w:r>
    </w:p>
    <w:p>
      <w:pPr>
        <w:pStyle w:val="BodyText"/>
        <w:rPr>
          <w:sz w:val="12"/>
        </w:rPr>
      </w:pPr>
    </w:p>
    <w:p>
      <w:pPr>
        <w:spacing w:before="84"/>
        <w:ind w:left="78" w:right="0" w:firstLine="0"/>
        <w:jc w:val="left"/>
        <w:rPr>
          <w:sz w:val="12"/>
        </w:rPr>
      </w:pPr>
      <w:r>
        <w:rPr>
          <w:sz w:val="12"/>
        </w:rPr>
        <w:t>800</w:t>
      </w:r>
    </w:p>
    <w:p>
      <w:pPr>
        <w:pStyle w:val="BodyText"/>
        <w:rPr>
          <w:sz w:val="12"/>
        </w:rPr>
      </w:pPr>
    </w:p>
    <w:p>
      <w:pPr>
        <w:spacing w:line="129" w:lineRule="exact" w:before="84"/>
        <w:ind w:left="78" w:right="0" w:firstLine="0"/>
        <w:jc w:val="left"/>
        <w:rPr>
          <w:sz w:val="12"/>
        </w:rPr>
      </w:pPr>
      <w:r>
        <w:rPr>
          <w:sz w:val="12"/>
        </w:rPr>
        <w:t>400</w:t>
      </w:r>
    </w:p>
    <w:p>
      <w:pPr>
        <w:pStyle w:val="Heading6"/>
        <w:spacing w:line="242" w:lineRule="auto" w:before="87"/>
        <w:ind w:left="427" w:right="679"/>
      </w:pPr>
      <w:r>
        <w:rPr/>
        <w:br w:type="column"/>
      </w:r>
      <w:r>
        <w:rPr/>
        <w:t>rise in stock </w:t>
      </w:r>
      <w:r>
        <w:rPr>
          <w:spacing w:val="-3"/>
        </w:rPr>
        <w:t>levels </w:t>
      </w:r>
      <w:r>
        <w:rPr/>
        <w:t>since then </w:t>
      </w:r>
      <w:r>
        <w:rPr>
          <w:spacing w:val="-3"/>
        </w:rPr>
        <w:t>have </w:t>
      </w:r>
      <w:r>
        <w:rPr/>
        <w:t>largely reflected movements in manufacturers’ inventories (see Chart 2.15). Survey evidence for the</w:t>
      </w:r>
      <w:r>
        <w:rPr>
          <w:spacing w:val="7"/>
        </w:rPr>
        <w:t> </w:t>
      </w:r>
      <w:r>
        <w:rPr/>
        <w:t>manufacturing</w:t>
      </w:r>
    </w:p>
    <w:p>
      <w:pPr>
        <w:spacing w:line="242" w:lineRule="auto" w:before="3"/>
        <w:ind w:left="427" w:right="132" w:firstLine="0"/>
        <w:jc w:val="left"/>
        <w:rPr>
          <w:sz w:val="24"/>
        </w:rPr>
      </w:pPr>
      <w:r>
        <w:rPr>
          <w:sz w:val="24"/>
        </w:rPr>
        <w:t>sector is broadly consistent with this observed pattern, and tends to suggest further reductions in stock levels in</w:t>
      </w:r>
    </w:p>
    <w:p>
      <w:pPr>
        <w:spacing w:after="0" w:line="242" w:lineRule="auto"/>
        <w:jc w:val="left"/>
        <w:rPr>
          <w:sz w:val="24"/>
        </w:rPr>
        <w:sectPr>
          <w:type w:val="continuous"/>
          <w:pgSz w:w="11900" w:h="16840"/>
          <w:pgMar w:top="1220" w:bottom="280" w:left="620" w:right="640"/>
          <w:cols w:num="5" w:equalWidth="0">
            <w:col w:w="974" w:space="328"/>
            <w:col w:w="721" w:space="485"/>
            <w:col w:w="911" w:space="40"/>
            <w:col w:w="299" w:space="784"/>
            <w:col w:w="6098"/>
          </w:cols>
        </w:sectPr>
      </w:pPr>
    </w:p>
    <w:p>
      <w:pPr>
        <w:pStyle w:val="BodyText"/>
        <w:rPr>
          <w:sz w:val="25"/>
        </w:rPr>
      </w:pPr>
    </w:p>
    <w:p>
      <w:pPr>
        <w:pStyle w:val="BodyText"/>
        <w:spacing w:line="20" w:lineRule="exact"/>
        <w:ind w:left="20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1"/>
        <w:rPr>
          <w:sz w:val="26"/>
        </w:rPr>
      </w:pPr>
      <w:r>
        <w:rPr/>
        <w:pict>
          <v:shape style="position:absolute;margin-left:41.382pt;margin-top:17.211pt;width:4.350pt;height:.1pt;mso-position-horizontal-relative:page;mso-position-vertical-relative:paragraph;z-index:-15488000;mso-wrap-distance-left:0;mso-wrap-distance-right:0" coordorigin="828,344" coordsize="87,0" path="m914,344l828,344e" filled="false" stroked="true" strokeweight=".5pt" strokecolor="#000000">
            <v:path arrowok="t"/>
            <v:stroke dashstyle="solid"/>
            <w10:wrap type="topAndBottom"/>
          </v:shape>
        </w:pict>
      </w:r>
      <w:r>
        <w:rPr/>
        <w:pict>
          <v:shape style="position:absolute;margin-left:41.382pt;margin-top:35.172001pt;width:4.350pt;height:.1pt;mso-position-horizontal-relative:page;mso-position-vertical-relative:paragraph;z-index:-15487488;mso-wrap-distance-left:0;mso-wrap-distance-right:0" coordorigin="828,703" coordsize="87,0" path="m914,703l828,703e" filled="false" stroked="true" strokeweight=".5pt" strokecolor="#000000">
            <v:path arrowok="t"/>
            <v:stroke dashstyle="solid"/>
            <w10:wrap type="topAndBottom"/>
          </v:shape>
        </w:pict>
      </w:r>
      <w:r>
        <w:rPr/>
        <w:pict>
          <v:shape style="position:absolute;margin-left:41.382pt;margin-top:53.132999pt;width:4.350pt;height:.1pt;mso-position-horizontal-relative:page;mso-position-vertical-relative:paragraph;z-index:-15486976;mso-wrap-distance-left:0;mso-wrap-distance-right:0" coordorigin="828,1063" coordsize="87,0" path="m914,1063l828,1063e" filled="false" stroked="true" strokeweight=".5pt" strokecolor="#000000">
            <v:path arrowok="t"/>
            <v:stroke dashstyle="solid"/>
            <w10:wrap type="topAndBottom"/>
          </v:shape>
        </w:pict>
      </w:r>
      <w:r>
        <w:rPr/>
        <w:pict>
          <v:shape style="position:absolute;margin-left:41.382pt;margin-top:71.093002pt;width:4.350pt;height:.1pt;mso-position-horizontal-relative:page;mso-position-vertical-relative:paragraph;z-index:-15486464;mso-wrap-distance-left:0;mso-wrap-distance-right:0" coordorigin="828,1422" coordsize="87,0" path="m914,1422l828,1422e" filled="false" stroked="true" strokeweight=".5pt" strokecolor="#000000">
            <v:path arrowok="t"/>
            <v:stroke dashstyle="solid"/>
            <w10:wrap type="topAndBottom"/>
          </v:shape>
        </w:pict>
      </w:r>
    </w:p>
    <w:p>
      <w:pPr>
        <w:pStyle w:val="BodyText"/>
        <w:spacing w:before="5"/>
        <w:rPr>
          <w:sz w:val="24"/>
        </w:rPr>
      </w:pPr>
    </w:p>
    <w:p>
      <w:pPr>
        <w:pStyle w:val="BodyText"/>
        <w:spacing w:before="5"/>
        <w:rPr>
          <w:sz w:val="24"/>
        </w:rPr>
      </w:pPr>
    </w:p>
    <w:p>
      <w:pPr>
        <w:pStyle w:val="BodyText"/>
        <w:spacing w:before="5"/>
        <w:rPr>
          <w:sz w:val="24"/>
        </w:rPr>
      </w:pPr>
    </w:p>
    <w:p>
      <w:pPr>
        <w:spacing w:before="10"/>
        <w:ind w:left="0" w:right="38" w:firstLine="0"/>
        <w:jc w:val="right"/>
        <w:rPr>
          <w:sz w:val="12"/>
        </w:rPr>
      </w:pPr>
      <w:r>
        <w:rPr>
          <w:sz w:val="12"/>
        </w:rPr>
        <w:t>1998</w:t>
      </w:r>
    </w:p>
    <w:p>
      <w:pPr>
        <w:spacing w:before="44"/>
        <w:ind w:left="1916" w:right="0" w:firstLine="0"/>
        <w:jc w:val="left"/>
        <w:rPr>
          <w:sz w:val="16"/>
        </w:rPr>
      </w:pPr>
      <w:r>
        <w:rPr/>
        <w:br w:type="column"/>
      </w:r>
      <w:r>
        <w:rPr>
          <w:sz w:val="16"/>
        </w:rPr>
        <w:t>+</w:t>
      </w:r>
    </w:p>
    <w:p>
      <w:pPr>
        <w:spacing w:line="128" w:lineRule="exact" w:before="3"/>
        <w:ind w:left="0" w:right="38" w:firstLine="0"/>
        <w:jc w:val="right"/>
        <w:rPr>
          <w:sz w:val="12"/>
        </w:rPr>
      </w:pPr>
      <w:r>
        <w:rPr/>
        <w:pict>
          <v:group style="position:absolute;margin-left:49.252998pt;margin-top:-60.310532pt;width:151.75pt;height:119.75pt;mso-position-horizontal-relative:page;mso-position-vertical-relative:paragraph;z-index:15979520" coordorigin="985,-1206" coordsize="3035,2395">
            <v:rect style="position:absolute;left:1045;top:66;width:78;height:200" filled="true" fillcolor="#006caa" stroked="false">
              <v:fill type="solid"/>
            </v:rect>
            <v:rect style="position:absolute;left:1045;top:66;width:78;height:200" filled="false" stroked="true" strokeweight=".5pt" strokecolor="#000000">
              <v:stroke dashstyle="solid"/>
            </v:rect>
            <v:rect style="position:absolute;left:1120;top:-242;width:78;height:308" filled="true" fillcolor="#f5b37a" stroked="false">
              <v:fill type="solid"/>
            </v:rect>
            <v:rect style="position:absolute;left:1120;top:-242;width:78;height:308" filled="false" stroked="true" strokeweight=".5pt" strokecolor="#000000">
              <v:stroke dashstyle="solid"/>
            </v:rect>
            <v:rect style="position:absolute;left:1195;top:-314;width:75;height:380" filled="true" fillcolor="#00a2a0" stroked="false">
              <v:fill type="solid"/>
            </v:rect>
            <v:rect style="position:absolute;left:1195;top:-314;width:75;height:380" filled="false" stroked="true" strokeweight=".5pt" strokecolor="#000000">
              <v:stroke dashstyle="solid"/>
            </v:rect>
            <v:rect style="position:absolute;left:1267;top:-729;width:78;height:795" filled="true" fillcolor="#cee7e8" stroked="false">
              <v:fill type="solid"/>
            </v:rect>
            <v:rect style="position:absolute;left:1267;top:-729;width:78;height:795" filled="false" stroked="true" strokeweight=".5pt" strokecolor="#000000">
              <v:stroke dashstyle="solid"/>
            </v:rect>
            <v:rect style="position:absolute;left:1450;top:66;width:75;height:290" filled="true" fillcolor="#006caa" stroked="false">
              <v:fill type="solid"/>
            </v:rect>
            <v:rect style="position:absolute;left:1450;top:66;width:78;height:290" filled="false" stroked="true" strokeweight=".5pt" strokecolor="#000000">
              <v:stroke dashstyle="solid"/>
            </v:rect>
            <v:rect style="position:absolute;left:1525;top:66;width:88;height:505" filled="true" fillcolor="#f5b37a" stroked="false">
              <v:fill type="solid"/>
            </v:rect>
            <v:rect style="position:absolute;left:1525;top:66;width:88;height:505" filled="false" stroked="true" strokeweight=".5pt" strokecolor="#000000">
              <v:stroke dashstyle="solid"/>
            </v:rect>
            <v:rect style="position:absolute;left:1610;top:-117;width:78;height:183" filled="true" fillcolor="#00a2a0" stroked="false">
              <v:fill type="solid"/>
            </v:rect>
            <v:rect style="position:absolute;left:1610;top:-117;width:78;height:183" filled="false" stroked="true" strokeweight=".5pt" strokecolor="#000000">
              <v:stroke dashstyle="solid"/>
            </v:rect>
            <v:rect style="position:absolute;left:1685;top:-944;width:78;height:1010" filled="true" fillcolor="#cee7e8" stroked="false">
              <v:fill type="solid"/>
            </v:rect>
            <v:rect style="position:absolute;left:1685;top:-944;width:78;height:1010" filled="false" stroked="true" strokeweight=".5pt" strokecolor="#000000">
              <v:stroke dashstyle="solid"/>
            </v:rect>
            <v:line style="position:absolute" from="1611,24" to="1611,69" stroked="true" strokeweight=".625pt" strokecolor="#000000">
              <v:stroke dashstyle="solid"/>
            </v:line>
            <v:shape style="position:absolute;left:1195;top:-1197;width:820;height:865" coordorigin="1195,-1196" coordsize="820,865" path="m1195,-1196l1610,-331m1610,-331l2015,-404e" filled="false" stroked="true" strokeweight="1pt" strokecolor="#de0035">
              <v:path arrowok="t"/>
              <v:stroke dashstyle="solid"/>
            </v:shape>
            <v:rect style="position:absolute;left:2272;top:-927;width:78;height:993" filled="true" fillcolor="#006caa" stroked="false">
              <v:fill type="solid"/>
            </v:rect>
            <v:rect style="position:absolute;left:2272;top:-927;width:78;height:993" filled="false" stroked="true" strokeweight=".5pt" strokecolor="#000000">
              <v:stroke dashstyle="solid"/>
            </v:rect>
            <v:rect style="position:absolute;left:2347;top:-172;width:88;height:238" filled="true" fillcolor="#f5b37a" stroked="false">
              <v:fill type="solid"/>
            </v:rect>
            <v:rect style="position:absolute;left:2347;top:-172;width:88;height:238" filled="false" stroked="true" strokeweight=".5pt" strokecolor="#000000">
              <v:stroke dashstyle="solid"/>
            </v:rect>
            <v:rect style="position:absolute;left:2432;top:66;width:78;height:58" filled="true" fillcolor="#00a2a0" stroked="false">
              <v:fill type="solid"/>
            </v:rect>
            <v:rect style="position:absolute;left:2432;top:66;width:78;height:58" filled="false" stroked="true" strokeweight=".5pt" strokecolor="#000000">
              <v:stroke dashstyle="solid"/>
            </v:rect>
            <v:rect style="position:absolute;left:2507;top:66;width:78;height:200" filled="true" fillcolor="#cee7e8" stroked="false">
              <v:fill type="solid"/>
            </v:rect>
            <v:rect style="position:absolute;left:2507;top:66;width:78;height:200" filled="false" stroked="true" strokeweight=".5pt" strokecolor="#000000">
              <v:stroke dashstyle="solid"/>
            </v:rect>
            <v:line style="position:absolute" from="2015,-404" to="2433,-909" stroked="true" strokeweight="1pt" strokecolor="#de0035">
              <v:stroke dashstyle="solid"/>
            </v:line>
            <v:rect style="position:absolute;left:2687;top:66;width:78;height:813" filled="true" fillcolor="#006caa" stroked="false">
              <v:fill type="solid"/>
            </v:rect>
            <v:rect style="position:absolute;left:2687;top:66;width:78;height:813" filled="false" stroked="true" strokeweight=".5pt" strokecolor="#000000">
              <v:stroke dashstyle="solid"/>
            </v:rect>
            <v:rect style="position:absolute;left:2762;top:66;width:78;height:58" filled="true" fillcolor="#f5b37a" stroked="false">
              <v:fill type="solid"/>
            </v:rect>
            <v:rect style="position:absolute;left:2762;top:66;width:78;height:58" filled="false" stroked="true" strokeweight=".5pt" strokecolor="#000000">
              <v:stroke dashstyle="solid"/>
            </v:rect>
            <v:rect style="position:absolute;left:2837;top:-204;width:78;height:273" filled="true" fillcolor="#00a2a0" stroked="false">
              <v:fill type="solid"/>
            </v:rect>
            <v:rect style="position:absolute;left:2837;top:-204;width:78;height:273" filled="false" stroked="true" strokeweight=".5pt" strokecolor="#000000">
              <v:stroke dashstyle="solid"/>
            </v:rect>
            <v:rect style="position:absolute;left:2912;top:-527;width:78;height:595" filled="true" fillcolor="#cee7e8" stroked="false">
              <v:fill type="solid"/>
            </v:rect>
            <v:rect style="position:absolute;left:2912;top:-527;width:78;height:595" filled="false" stroked="true" strokeweight=".5pt" strokecolor="#000000">
              <v:stroke dashstyle="solid"/>
            </v:rect>
            <v:line style="position:absolute" from="2839,24" to="2839,69" stroked="true" strokeweight=".625pt" strokecolor="#000000">
              <v:stroke dashstyle="solid"/>
            </v:line>
            <v:line style="position:absolute" from="2433,-909" to="2838,64" stroked="true" strokeweight="1pt" strokecolor="#de0035">
              <v:stroke dashstyle="solid"/>
            </v:line>
            <v:rect style="position:absolute;left:3095;top:66;width:78;height:1118" filled="true" fillcolor="#006caa" stroked="false">
              <v:fill type="solid"/>
            </v:rect>
            <v:rect style="position:absolute;left:3095;top:66;width:78;height:1118" filled="false" stroked="true" strokeweight=".5pt" strokecolor="#000000">
              <v:stroke dashstyle="solid"/>
            </v:rect>
            <v:rect style="position:absolute;left:3170;top:66;width:88;height:218" filled="true" fillcolor="#f5b37a" stroked="false">
              <v:fill type="solid"/>
            </v:rect>
            <v:rect style="position:absolute;left:3170;top:66;width:88;height:218" filled="false" stroked="true" strokeweight=".5pt" strokecolor="#000000">
              <v:stroke dashstyle="solid"/>
            </v:rect>
            <v:rect style="position:absolute;left:3255;top:-297;width:78;height:363" filled="true" fillcolor="#00a2a0" stroked="false">
              <v:fill type="solid"/>
            </v:rect>
            <v:rect style="position:absolute;left:3255;top:-297;width:78;height:363" filled="false" stroked="true" strokeweight=".5pt" strokecolor="#000000">
              <v:stroke dashstyle="solid"/>
            </v:rect>
            <v:rect style="position:absolute;left:3330;top:66;width:78;height:20" filled="true" fillcolor="#cee7e8" stroked="false">
              <v:fill type="solid"/>
            </v:rect>
            <v:rect style="position:absolute;left:3330;top:66;width:78;height:20" filled="false" stroked="true" strokeweight=".5pt" strokecolor="#000000">
              <v:stroke dashstyle="solid"/>
            </v:rect>
            <v:line style="position:absolute" from="2838,64" to="3245,1054" stroked="true" strokeweight="1pt" strokecolor="#de0035">
              <v:stroke dashstyle="solid"/>
            </v:line>
            <v:rect style="position:absolute;left:3510;top:-224;width:78;height:290" filled="true" fillcolor="#006caa" stroked="false">
              <v:fill type="solid"/>
            </v:rect>
            <v:rect style="position:absolute;left:3510;top:-224;width:78;height:290" filled="false" stroked="true" strokeweight=".5pt" strokecolor="#000000">
              <v:stroke dashstyle="solid"/>
            </v:rect>
            <v:rect style="position:absolute;left:3585;top:63;width:78;height:200" filled="true" fillcolor="#f5b37a" stroked="false">
              <v:fill type="solid"/>
            </v:rect>
            <v:rect style="position:absolute;left:3585;top:63;width:78;height:200" filled="false" stroked="true" strokeweight=".5pt" strokecolor="#000000">
              <v:stroke dashstyle="solid"/>
            </v:rect>
            <v:rect style="position:absolute;left:3660;top:-99;width:78;height:165" filled="true" fillcolor="#00a2a0" stroked="false">
              <v:fill type="solid"/>
            </v:rect>
            <v:rect style="position:absolute;left:3660;top:-99;width:78;height:165" filled="false" stroked="true" strokeweight=".5pt" strokecolor="#000000">
              <v:stroke dashstyle="solid"/>
            </v:rect>
            <v:rect style="position:absolute;left:3735;top:63;width:78;height:75" filled="true" fillcolor="#cee7e8" stroked="false">
              <v:fill type="solid"/>
            </v:rect>
            <v:rect style="position:absolute;left:3735;top:63;width:78;height:75" filled="false" stroked="true" strokeweight=".5pt" strokecolor="#000000">
              <v:stroke dashstyle="solid"/>
            </v:rect>
            <v:line style="position:absolute" from="3661,24" to="3661,69" stroked="true" strokeweight=".625pt" strokecolor="#000000">
              <v:stroke dashstyle="solid"/>
            </v:line>
            <v:line style="position:absolute" from="3245,1054" to="3660,-134" stroked="true" strokeweight="1pt" strokecolor="#de0035">
              <v:stroke dashstyle="solid"/>
            </v:line>
            <v:rect style="position:absolute;left:1867;top:-27;width:75;height:93" filled="true" fillcolor="#006caa" stroked="false">
              <v:fill type="solid"/>
            </v:rect>
            <v:rect style="position:absolute;left:1867;top:-27;width:75;height:93" filled="false" stroked="true" strokeweight=".5pt" strokecolor="#000000">
              <v:stroke dashstyle="solid"/>
            </v:rect>
            <v:rect style="position:absolute;left:1940;top:63;width:78;height:58" filled="true" fillcolor="#f5b37a" stroked="false">
              <v:fill type="solid"/>
            </v:rect>
            <v:rect style="position:absolute;left:1940;top:63;width:78;height:58" filled="false" stroked="true" strokeweight=".5pt" strokecolor="#000000">
              <v:stroke dashstyle="solid"/>
            </v:rect>
            <v:rect style="position:absolute;left:2015;top:-134;width:78;height:200" filled="true" fillcolor="#00a2a0" stroked="false">
              <v:fill type="solid"/>
            </v:rect>
            <v:rect style="position:absolute;left:2015;top:-134;width:78;height:200" filled="false" stroked="true" strokeweight=".5pt" strokecolor="#000000">
              <v:stroke dashstyle="solid"/>
            </v:rect>
            <v:rect style="position:absolute;left:2090;top:-172;width:78;height:238" filled="true" fillcolor="#cee7e8" stroked="false">
              <v:fill type="solid"/>
            </v:rect>
            <v:shape style="position:absolute;left:990;top:-1004;width:3030;height:2156" coordorigin="990,-1004" coordsize="3030,2156" path="m2090,-171l2168,-171,2168,66,2090,66,2090,-171xm990,66l3863,69m4019,-1004l3933,-1004m4019,-645l3933,-645m4019,74l3933,74m4019,792l3933,792m4019,-285l3933,-285m4019,433l3933,433m4019,1151l3933,1151e" filled="false" stroked="true" strokeweight=".5pt" strokecolor="#000000">
              <v:path arrowok="t"/>
              <v:stroke dashstyle="solid"/>
            </v:shape>
            <w10:wrap type="none"/>
          </v:group>
        </w:pict>
      </w:r>
      <w:r>
        <w:rPr>
          <w:sz w:val="12"/>
        </w:rPr>
        <w:t>0</w:t>
      </w:r>
    </w:p>
    <w:p>
      <w:pPr>
        <w:spacing w:line="174" w:lineRule="exact" w:before="0"/>
        <w:ind w:left="1940" w:right="0" w:firstLine="0"/>
        <w:jc w:val="left"/>
        <w:rPr>
          <w:sz w:val="16"/>
        </w:rPr>
      </w:pPr>
      <w:r>
        <w:rPr>
          <w:sz w:val="16"/>
        </w:rPr>
        <w:t>–</w:t>
      </w:r>
    </w:p>
    <w:p>
      <w:pPr>
        <w:spacing w:before="58"/>
        <w:ind w:left="0" w:right="38" w:firstLine="0"/>
        <w:jc w:val="right"/>
        <w:rPr>
          <w:sz w:val="12"/>
        </w:rPr>
      </w:pPr>
      <w:r>
        <w:rPr>
          <w:sz w:val="12"/>
        </w:rPr>
        <w:t>400</w:t>
      </w:r>
    </w:p>
    <w:p>
      <w:pPr>
        <w:pStyle w:val="BodyText"/>
        <w:rPr>
          <w:sz w:val="12"/>
        </w:rPr>
      </w:pPr>
    </w:p>
    <w:p>
      <w:pPr>
        <w:spacing w:before="84"/>
        <w:ind w:left="0" w:right="38" w:firstLine="0"/>
        <w:jc w:val="right"/>
        <w:rPr>
          <w:sz w:val="12"/>
        </w:rPr>
      </w:pPr>
      <w:r>
        <w:rPr>
          <w:sz w:val="12"/>
        </w:rPr>
        <w:t>800</w:t>
      </w:r>
    </w:p>
    <w:p>
      <w:pPr>
        <w:pStyle w:val="BodyText"/>
        <w:rPr>
          <w:sz w:val="12"/>
        </w:rPr>
      </w:pPr>
    </w:p>
    <w:p>
      <w:pPr>
        <w:spacing w:before="84"/>
        <w:ind w:left="0" w:right="38" w:firstLine="0"/>
        <w:jc w:val="right"/>
        <w:rPr>
          <w:sz w:val="12"/>
        </w:rPr>
      </w:pPr>
      <w:r>
        <w:rPr>
          <w:sz w:val="12"/>
        </w:rPr>
        <w:t>1,200</w:t>
      </w:r>
    </w:p>
    <w:p>
      <w:pPr>
        <w:pStyle w:val="BodyText"/>
        <w:rPr>
          <w:sz w:val="12"/>
        </w:rPr>
      </w:pPr>
    </w:p>
    <w:p>
      <w:pPr>
        <w:spacing w:line="121" w:lineRule="exact" w:before="83"/>
        <w:ind w:left="1948" w:right="0" w:firstLine="0"/>
        <w:jc w:val="left"/>
        <w:rPr>
          <w:sz w:val="12"/>
        </w:rPr>
      </w:pPr>
      <w:r>
        <w:rPr/>
        <w:pict>
          <v:shape style="position:absolute;margin-left:49.479pt;margin-top:1.79257pt;width:151.5pt;height:5.85pt;mso-position-horizontal-relative:page;mso-position-vertical-relative:paragraph;z-index:15980544" coordorigin="990,36" coordsize="3030,117" path="m992,143l3863,143m990,36l990,143m1811,89l1811,143m3042,89l3042,143m3863,89l3863,143m1400,89l1400,143m2221,89l2221,143m2632,36l2632,143m3453,89l3453,143m4019,152l3933,152e" filled="false" stroked="true" strokeweight=".5pt" strokecolor="#000000">
            <v:path arrowok="t"/>
            <v:stroke dashstyle="solid"/>
            <w10:wrap type="none"/>
          </v:shape>
        </w:pict>
      </w:r>
      <w:r>
        <w:rPr>
          <w:sz w:val="12"/>
        </w:rPr>
        <w:t>1,600</w:t>
      </w:r>
    </w:p>
    <w:p>
      <w:pPr>
        <w:spacing w:line="121" w:lineRule="exact" w:before="0"/>
        <w:ind w:left="1067" w:right="1031" w:firstLine="0"/>
        <w:jc w:val="center"/>
        <w:rPr>
          <w:sz w:val="12"/>
        </w:rPr>
      </w:pPr>
      <w:r>
        <w:rPr>
          <w:sz w:val="12"/>
        </w:rPr>
        <w:t>99</w:t>
      </w:r>
    </w:p>
    <w:p>
      <w:pPr>
        <w:pStyle w:val="Heading6"/>
        <w:spacing w:line="242" w:lineRule="auto"/>
        <w:ind w:left="1087" w:right="186"/>
      </w:pPr>
      <w:r>
        <w:rPr/>
        <w:br w:type="column"/>
      </w:r>
      <w:r>
        <w:rPr/>
        <w:t>early 2000. For example, the CBI quarterly industrial trends survey reported that the proportion of manufacturers</w:t>
      </w:r>
      <w:r>
        <w:rPr>
          <w:spacing w:val="-8"/>
        </w:rPr>
        <w:t> </w:t>
      </w:r>
      <w:r>
        <w:rPr/>
        <w:t>regarding</w:t>
      </w:r>
      <w:r>
        <w:rPr>
          <w:spacing w:val="-8"/>
        </w:rPr>
        <w:t> </w:t>
      </w:r>
      <w:r>
        <w:rPr/>
        <w:t>their</w:t>
      </w:r>
      <w:r>
        <w:rPr>
          <w:spacing w:val="-7"/>
        </w:rPr>
        <w:t> </w:t>
      </w:r>
      <w:r>
        <w:rPr/>
        <w:t>stocks</w:t>
      </w:r>
      <w:r>
        <w:rPr>
          <w:spacing w:val="-8"/>
        </w:rPr>
        <w:t> </w:t>
      </w:r>
      <w:r>
        <w:rPr/>
        <w:t>of</w:t>
      </w:r>
      <w:r>
        <w:rPr>
          <w:spacing w:val="-8"/>
        </w:rPr>
        <w:t> </w:t>
      </w:r>
      <w:r>
        <w:rPr/>
        <w:t>finished</w:t>
      </w:r>
      <w:r>
        <w:rPr>
          <w:spacing w:val="-7"/>
        </w:rPr>
        <w:t> </w:t>
      </w:r>
      <w:r>
        <w:rPr/>
        <w:t>goods</w:t>
      </w:r>
      <w:r>
        <w:rPr>
          <w:spacing w:val="-8"/>
        </w:rPr>
        <w:t> </w:t>
      </w:r>
      <w:r>
        <w:rPr/>
        <w:t>as ‘more than adequate’ fell between the middle and the end of 1999, but that manufacturers expected to run down their stocks at a faster rate in the coming months. </w:t>
      </w:r>
      <w:r>
        <w:rPr>
          <w:spacing w:val="-3"/>
        </w:rPr>
        <w:t>Similarly, </w:t>
      </w:r>
      <w:r>
        <w:rPr/>
        <w:t>CIPS surveys </w:t>
      </w:r>
      <w:r>
        <w:rPr>
          <w:spacing w:val="-3"/>
        </w:rPr>
        <w:t>have </w:t>
      </w:r>
      <w:r>
        <w:rPr/>
        <w:t>indicated that purchases</w:t>
      </w:r>
      <w:r>
        <w:rPr>
          <w:spacing w:val="-23"/>
        </w:rPr>
        <w:t> </w:t>
      </w:r>
      <w:r>
        <w:rPr/>
        <w:t>of</w:t>
      </w:r>
    </w:p>
    <w:p>
      <w:pPr>
        <w:spacing w:after="0" w:line="242" w:lineRule="auto"/>
        <w:sectPr>
          <w:type w:val="continuous"/>
          <w:pgSz w:w="11900" w:h="16840"/>
          <w:pgMar w:top="1220" w:bottom="280" w:left="620" w:right="640"/>
          <w:cols w:num="3" w:equalWidth="0">
            <w:col w:w="1368" w:space="131"/>
            <w:col w:w="2259" w:space="124"/>
            <w:col w:w="6758"/>
          </w:cols>
        </w:sectPr>
      </w:pPr>
    </w:p>
    <w:p>
      <w:pPr>
        <w:spacing w:line="135" w:lineRule="exact" w:before="0"/>
        <w:ind w:left="192" w:right="0" w:firstLine="0"/>
        <w:jc w:val="left"/>
        <w:rPr>
          <w:sz w:val="12"/>
        </w:rPr>
      </w:pPr>
      <w:r>
        <w:rPr>
          <w:sz w:val="12"/>
        </w:rPr>
        <w:t>(a) At constant 1995 prices, excluding the alignment adjustment.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4"/>
        </w:rPr>
      </w:pPr>
    </w:p>
    <w:p>
      <w:pPr>
        <w:pStyle w:val="Heading9"/>
        <w:spacing w:before="1"/>
        <w:ind w:left="207"/>
      </w:pPr>
      <w:r>
        <w:rPr>
          <w:color w:val="0092C7"/>
        </w:rPr>
        <w:t>Chart 2.16</w:t>
      </w:r>
    </w:p>
    <w:p>
      <w:pPr>
        <w:spacing w:before="10"/>
        <w:ind w:left="207" w:right="0" w:firstLine="0"/>
        <w:jc w:val="left"/>
        <w:rPr>
          <w:b/>
          <w:sz w:val="20"/>
        </w:rPr>
      </w:pPr>
      <w:r>
        <w:rPr>
          <w:b/>
          <w:color w:val="0092C7"/>
          <w:sz w:val="20"/>
        </w:rPr>
        <w:t>GDP at constant market prices</w:t>
      </w:r>
    </w:p>
    <w:p>
      <w:pPr>
        <w:spacing w:before="61"/>
        <w:ind w:left="0" w:right="0" w:firstLine="0"/>
        <w:jc w:val="right"/>
        <w:rPr>
          <w:sz w:val="12"/>
        </w:rPr>
      </w:pPr>
      <w:r>
        <w:rPr/>
        <w:pict>
          <v:group style="position:absolute;margin-left:50.235001pt;margin-top:42.942787pt;width:145.25pt;height:113.3pt;mso-position-horizontal-relative:page;mso-position-vertical-relative:paragraph;z-index:15974912" coordorigin="1005,859" coordsize="2905,2266">
            <v:shape style="position:absolute;left:1014;top:2016;width:1240;height:938" coordorigin="1015,2016" coordsize="1240,938" path="m1015,2954l1432,2711m1432,2711l1837,2364m1837,2364l2255,2016e" filled="false" stroked="true" strokeweight="1pt" strokecolor="#de8508">
              <v:path arrowok="t"/>
              <v:stroke dashstyle="solid"/>
            </v:shape>
            <v:shape style="position:absolute;left:1014;top:2016;width:1240;height:938" coordorigin="1015,2016" coordsize="1240,938" path="m1015,2954l1432,2606m1432,2606l1837,2319m1837,2319l2255,2016e" filled="false" stroked="true" strokeweight="1pt" strokecolor="#008360">
              <v:path arrowok="t"/>
              <v:stroke dashstyle="solid"/>
            </v:shape>
            <v:shape style="position:absolute;left:2659;top:868;width:1240;height:1148" coordorigin="2660,869" coordsize="1240,1148" path="m2660,2016l3077,1791m3077,1791l3482,1339m3482,1339l3900,869e" filled="false" stroked="true" strokeweight="1pt" strokecolor="#de8508">
              <v:path arrowok="t"/>
              <v:stroke dashstyle="solid"/>
            </v:shape>
            <v:shape style="position:absolute;left:2254;top:868;width:1645;height:1148" coordorigin="2255,869" coordsize="1645,1148" path="m2255,2016l2660,1971m2660,1971l3077,1851m3077,1851l3482,1444m3482,1444l3900,869e" filled="false" stroked="true" strokeweight="1pt" strokecolor="#008360">
              <v:path arrowok="t"/>
              <v:stroke dashstyle="solid"/>
            </v:shape>
            <v:shape style="position:absolute;left:1015;top:3005;width:2878;height:114" coordorigin="1015,3006" coordsize="2878,114" path="m1018,3120l3892,3120m1015,3066l1015,3119m1837,3066l1837,3119m3070,3006l3070,3119m3892,3066l3892,3119m1426,3006l1426,3119m2248,3066l2248,3119m2659,3066l2659,3119m3481,3066l3481,3119e" filled="false" stroked="true" strokeweight=".5pt" strokecolor="#000000">
              <v:path arrowok="t"/>
              <v:stroke dashstyle="solid"/>
            </v:shape>
            <v:line style="position:absolute" from="3215,1798" to="3115,2251" stroked="true" strokeweight=".5pt" strokecolor="#000000">
              <v:stroke dashstyle="solid"/>
            </v:line>
            <v:shape style="position:absolute;left:3186;top:1731;width:50;height:89" coordorigin="3186,1732" coordsize="50,89" path="m3229,1732l3186,1809,3236,1820,3229,1751,3229,1741,3229,1732xe" filled="true" fillcolor="#000000" stroked="false">
              <v:path arrowok="t"/>
              <v:fill type="solid"/>
            </v:shape>
            <v:shape style="position:absolute;left:2843;top:1216;width:637;height:134" type="#_x0000_t202" filled="false" stroked="false">
              <v:textbox inset="0,0,0,0">
                <w:txbxContent>
                  <w:p>
                    <w:pPr>
                      <w:spacing w:line="133" w:lineRule="exact" w:before="0"/>
                      <w:ind w:left="0" w:right="0" w:firstLine="0"/>
                      <w:jc w:val="left"/>
                      <w:rPr>
                        <w:sz w:val="12"/>
                      </w:rPr>
                    </w:pPr>
                    <w:r>
                      <w:rPr>
                        <w:sz w:val="12"/>
                      </w:rPr>
                      <w:t>Revised data</w:t>
                    </w:r>
                  </w:p>
                </w:txbxContent>
              </v:textbox>
              <w10:wrap type="none"/>
            </v:shape>
            <v:shape style="position:absolute;left:2244;top:1901;width:445;height:133" type="#_x0000_t202" filled="false" stroked="false">
              <v:textbox inset="0,0,0,0">
                <w:txbxContent>
                  <w:p>
                    <w:pPr>
                      <w:tabs>
                        <w:tab w:pos="424" w:val="left" w:leader="none"/>
                      </w:tabs>
                      <w:spacing w:line="133" w:lineRule="exact" w:before="0"/>
                      <w:ind w:left="0" w:right="0" w:firstLine="0"/>
                      <w:jc w:val="left"/>
                      <w:rPr>
                        <w:sz w:val="12"/>
                      </w:rPr>
                    </w:pPr>
                    <w:r>
                      <w:rPr>
                        <w:sz w:val="12"/>
                        <w:u w:val="thick" w:color="DE8508"/>
                      </w:rPr>
                      <w:t> </w:t>
                      <w:tab/>
                    </w:r>
                  </w:p>
                </w:txbxContent>
              </v:textbox>
              <w10:wrap type="none"/>
            </v:shape>
            <v:shape style="position:absolute;left:2781;top:2239;width:970;height:254" type="#_x0000_t202" filled="false" stroked="false">
              <v:textbox inset="0,0,0,0">
                <w:txbxContent>
                  <w:p>
                    <w:pPr>
                      <w:spacing w:line="208" w:lineRule="auto" w:before="9"/>
                      <w:ind w:left="60" w:right="0" w:hanging="60"/>
                      <w:jc w:val="left"/>
                      <w:rPr>
                        <w:sz w:val="12"/>
                      </w:rPr>
                    </w:pPr>
                    <w:r>
                      <w:rPr>
                        <w:sz w:val="12"/>
                      </w:rPr>
                      <w:t>November </w:t>
                    </w:r>
                    <w:r>
                      <w:rPr>
                        <w:i/>
                        <w:sz w:val="12"/>
                      </w:rPr>
                      <w:t>Inflation </w:t>
                    </w:r>
                    <w:r>
                      <w:rPr>
                        <w:i/>
                        <w:sz w:val="12"/>
                      </w:rPr>
                      <w:t>Report </w:t>
                    </w:r>
                    <w:r>
                      <w:rPr>
                        <w:sz w:val="12"/>
                      </w:rPr>
                      <w:t>data</w:t>
                    </w:r>
                  </w:p>
                </w:txbxContent>
              </v:textbox>
              <w10:wrap type="none"/>
            </v:shape>
            <w10:wrap type="none"/>
          </v:group>
        </w:pict>
      </w:r>
      <w:r>
        <w:rPr/>
        <w:pict>
          <v:line style="position:absolute;mso-position-horizontal-relative:page;mso-position-vertical-relative:paragraph;z-index:15976448" from="46.11pt,69.242783pt" to="41.777pt,69.242783pt" stroked="true" strokeweight=".5pt" strokecolor="#000000">
            <v:stroke dashstyle="solid"/>
            <w10:wrap type="none"/>
          </v:line>
        </w:pict>
      </w:r>
      <w:r>
        <w:rPr/>
        <w:pict>
          <v:line style="position:absolute;mso-position-horizontal-relative:page;mso-position-vertical-relative:paragraph;z-index:15978496" from="203.609993pt,69.263786pt" to="199.276993pt,69.263786pt" stroked="true" strokeweight=".5pt" strokecolor="#000000">
            <v:stroke dashstyle="solid"/>
            <w10:wrap type="none"/>
          </v:line>
        </w:pict>
      </w:r>
      <w:r>
        <w:rPr>
          <w:sz w:val="12"/>
        </w:rPr>
        <w:t>1995 = 100</w:t>
      </w:r>
    </w:p>
    <w:p>
      <w:pPr>
        <w:pStyle w:val="BodyText"/>
        <w:spacing w:before="2"/>
        <w:rPr>
          <w:sz w:val="2"/>
        </w:rPr>
      </w:pPr>
    </w:p>
    <w:p>
      <w:pPr>
        <w:tabs>
          <w:tab w:pos="3360" w:val="left" w:leader="none"/>
        </w:tabs>
        <w:spacing w:line="20" w:lineRule="exact"/>
        <w:ind w:left="210" w:right="-72"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6"/>
        <w:rPr>
          <w:sz w:val="28"/>
        </w:rPr>
      </w:pPr>
    </w:p>
    <w:p>
      <w:pPr>
        <w:tabs>
          <w:tab w:pos="3360" w:val="left" w:leader="none"/>
        </w:tabs>
        <w:spacing w:line="20" w:lineRule="exact"/>
        <w:ind w:left="210" w:right="-72"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4"/>
        </w:rPr>
      </w:pPr>
    </w:p>
    <w:p>
      <w:pPr>
        <w:tabs>
          <w:tab w:pos="1592" w:val="left" w:leader="none"/>
          <w:tab w:pos="2843" w:val="left" w:leader="none"/>
        </w:tabs>
        <w:spacing w:before="0"/>
        <w:ind w:left="426" w:right="0" w:firstLine="0"/>
        <w:jc w:val="left"/>
        <w:rPr>
          <w:sz w:val="12"/>
        </w:rPr>
      </w:pPr>
      <w:r>
        <w:rPr/>
        <w:pict>
          <v:line style="position:absolute;mso-position-horizontal-relative:page;mso-position-vertical-relative:paragraph;z-index:15975424" from="46.11pt,-61.699398pt" to="41.777pt,-61.699398pt" stroked="true" strokeweight=".5pt" strokecolor="#000000">
            <v:stroke dashstyle="solid"/>
            <w10:wrap type="none"/>
          </v:line>
        </w:pict>
      </w:r>
      <w:r>
        <w:rPr/>
        <w:pict>
          <v:line style="position:absolute;mso-position-horizontal-relative:page;mso-position-vertical-relative:paragraph;z-index:15975936" from="46.11pt,-3.899397pt" to="41.777pt,-3.899397pt" stroked="true" strokeweight=".5pt" strokecolor="#000000">
            <v:stroke dashstyle="solid"/>
            <w10:wrap type="none"/>
          </v:line>
        </w:pict>
      </w:r>
      <w:r>
        <w:rPr/>
        <w:pict>
          <v:line style="position:absolute;mso-position-horizontal-relative:page;mso-position-vertical-relative:paragraph;z-index:15976960" from="46.11pt,-32.799397pt" to="41.777pt,-32.799397pt" stroked="true" strokeweight=".5pt" strokecolor="#000000">
            <v:stroke dashstyle="solid"/>
            <w10:wrap type="none"/>
          </v:line>
        </w:pict>
      </w:r>
      <w:r>
        <w:rPr/>
        <w:pict>
          <v:line style="position:absolute;mso-position-horizontal-relative:page;mso-position-vertical-relative:paragraph;z-index:15977472" from="203.609993pt,-61.678398pt" to="199.276993pt,-61.678398pt" stroked="true" strokeweight=".5pt" strokecolor="#000000">
            <v:stroke dashstyle="solid"/>
            <w10:wrap type="none"/>
          </v:line>
        </w:pict>
      </w:r>
      <w:r>
        <w:rPr/>
        <w:pict>
          <v:line style="position:absolute;mso-position-horizontal-relative:page;mso-position-vertical-relative:paragraph;z-index:15977984" from="203.609993pt,-3.878397pt" to="199.276993pt,-3.878397pt" stroked="true" strokeweight=".5pt" strokecolor="#000000">
            <v:stroke dashstyle="solid"/>
            <w10:wrap type="none"/>
          </v:line>
        </w:pict>
      </w:r>
      <w:r>
        <w:rPr/>
        <w:pict>
          <v:line style="position:absolute;mso-position-horizontal-relative:page;mso-position-vertical-relative:paragraph;z-index:15979008" from="203.609993pt,-32.778397pt" to="199.276993pt,-32.778397pt" stroked="true" strokeweight=".5pt" strokecolor="#000000">
            <v:stroke dashstyle="solid"/>
            <w10:wrap type="none"/>
          </v:line>
        </w:pict>
      </w:r>
      <w:r>
        <w:rPr>
          <w:sz w:val="12"/>
        </w:rPr>
        <w:t>1997</w:t>
        <w:tab/>
        <w:t>98</w:t>
        <w:tab/>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4"/>
        <w:ind w:left="0" w:right="0" w:firstLine="0"/>
        <w:jc w:val="left"/>
        <w:rPr>
          <w:sz w:val="12"/>
        </w:rPr>
      </w:pPr>
      <w:r>
        <w:rPr>
          <w:sz w:val="12"/>
        </w:rPr>
        <w:t>112</w:t>
      </w:r>
    </w:p>
    <w:p>
      <w:pPr>
        <w:pStyle w:val="BodyText"/>
        <w:rPr>
          <w:sz w:val="12"/>
        </w:rPr>
      </w:pPr>
    </w:p>
    <w:p>
      <w:pPr>
        <w:pStyle w:val="BodyText"/>
        <w:rPr>
          <w:sz w:val="12"/>
        </w:rPr>
      </w:pPr>
    </w:p>
    <w:p>
      <w:pPr>
        <w:pStyle w:val="BodyText"/>
        <w:spacing w:before="2"/>
        <w:rPr>
          <w:sz w:val="14"/>
        </w:rPr>
      </w:pPr>
    </w:p>
    <w:p>
      <w:pPr>
        <w:spacing w:before="0"/>
        <w:ind w:left="0" w:right="0" w:firstLine="0"/>
        <w:jc w:val="left"/>
        <w:rPr>
          <w:sz w:val="12"/>
        </w:rPr>
      </w:pPr>
      <w:r>
        <w:rPr>
          <w:sz w:val="12"/>
        </w:rPr>
        <w:t>111</w:t>
      </w:r>
    </w:p>
    <w:p>
      <w:pPr>
        <w:pStyle w:val="BodyText"/>
        <w:rPr>
          <w:sz w:val="12"/>
        </w:rPr>
      </w:pPr>
    </w:p>
    <w:p>
      <w:pPr>
        <w:pStyle w:val="BodyText"/>
        <w:rPr>
          <w:sz w:val="12"/>
        </w:rPr>
      </w:pPr>
    </w:p>
    <w:p>
      <w:pPr>
        <w:pStyle w:val="BodyText"/>
        <w:spacing w:before="2"/>
        <w:rPr>
          <w:sz w:val="14"/>
        </w:rPr>
      </w:pPr>
    </w:p>
    <w:p>
      <w:pPr>
        <w:spacing w:before="0"/>
        <w:ind w:left="0" w:right="0" w:firstLine="0"/>
        <w:jc w:val="left"/>
        <w:rPr>
          <w:sz w:val="12"/>
        </w:rPr>
      </w:pPr>
      <w:r>
        <w:rPr>
          <w:sz w:val="12"/>
        </w:rPr>
        <w:t>110</w:t>
      </w:r>
    </w:p>
    <w:p>
      <w:pPr>
        <w:pStyle w:val="BodyText"/>
        <w:rPr>
          <w:sz w:val="12"/>
        </w:rPr>
      </w:pPr>
    </w:p>
    <w:p>
      <w:pPr>
        <w:pStyle w:val="BodyText"/>
        <w:rPr>
          <w:sz w:val="12"/>
        </w:rPr>
      </w:pPr>
    </w:p>
    <w:p>
      <w:pPr>
        <w:pStyle w:val="BodyText"/>
        <w:spacing w:before="2"/>
        <w:rPr>
          <w:sz w:val="14"/>
        </w:rPr>
      </w:pPr>
    </w:p>
    <w:p>
      <w:pPr>
        <w:spacing w:before="0"/>
        <w:ind w:left="0" w:right="0" w:firstLine="0"/>
        <w:jc w:val="left"/>
        <w:rPr>
          <w:sz w:val="12"/>
        </w:rPr>
      </w:pPr>
      <w:r>
        <w:rPr>
          <w:sz w:val="12"/>
        </w:rPr>
        <w:t>109</w:t>
      </w:r>
    </w:p>
    <w:p>
      <w:pPr>
        <w:pStyle w:val="BodyText"/>
        <w:rPr>
          <w:sz w:val="12"/>
        </w:rPr>
      </w:pPr>
    </w:p>
    <w:p>
      <w:pPr>
        <w:pStyle w:val="BodyText"/>
        <w:rPr>
          <w:sz w:val="12"/>
        </w:rPr>
      </w:pPr>
    </w:p>
    <w:p>
      <w:pPr>
        <w:pStyle w:val="BodyText"/>
        <w:spacing w:before="2"/>
        <w:rPr>
          <w:sz w:val="14"/>
        </w:rPr>
      </w:pPr>
    </w:p>
    <w:p>
      <w:pPr>
        <w:spacing w:before="1"/>
        <w:ind w:left="0" w:right="0" w:firstLine="0"/>
        <w:jc w:val="left"/>
        <w:rPr>
          <w:sz w:val="12"/>
        </w:rPr>
      </w:pPr>
      <w:r>
        <w:rPr>
          <w:sz w:val="12"/>
        </w:rPr>
        <w:t>108</w:t>
      </w:r>
    </w:p>
    <w:p>
      <w:pPr>
        <w:pStyle w:val="BodyText"/>
        <w:rPr>
          <w:sz w:val="12"/>
        </w:rPr>
      </w:pPr>
    </w:p>
    <w:p>
      <w:pPr>
        <w:pStyle w:val="BodyText"/>
        <w:rPr>
          <w:sz w:val="12"/>
        </w:rPr>
      </w:pPr>
    </w:p>
    <w:p>
      <w:pPr>
        <w:pStyle w:val="BodyText"/>
        <w:spacing w:before="1"/>
        <w:rPr>
          <w:sz w:val="14"/>
        </w:rPr>
      </w:pPr>
    </w:p>
    <w:p>
      <w:pPr>
        <w:spacing w:before="1"/>
        <w:ind w:left="0" w:right="0" w:firstLine="0"/>
        <w:jc w:val="left"/>
        <w:rPr>
          <w:sz w:val="12"/>
        </w:rPr>
      </w:pPr>
      <w:r>
        <w:rPr>
          <w:sz w:val="12"/>
        </w:rPr>
        <w:t>107</w:t>
      </w:r>
    </w:p>
    <w:p>
      <w:pPr>
        <w:pStyle w:val="Heading6"/>
        <w:spacing w:line="242" w:lineRule="auto"/>
        <w:ind w:left="192" w:right="192"/>
      </w:pPr>
      <w:r>
        <w:rPr/>
        <w:br w:type="column"/>
      </w:r>
      <w:r>
        <w:rPr/>
        <w:t>materials by manufacturers picked up in the second half of 1999, partly to guard against possible ‘Y2K’ disruptions to the supply chain. These precautionary purchases were reported to </w:t>
      </w:r>
      <w:r>
        <w:rPr>
          <w:spacing w:val="-3"/>
        </w:rPr>
        <w:t>have </w:t>
      </w:r>
      <w:r>
        <w:rPr/>
        <w:t>fallen back after the </w:t>
      </w:r>
      <w:r>
        <w:rPr>
          <w:spacing w:val="-3"/>
        </w:rPr>
        <w:t>New </w:t>
      </w:r>
      <w:r>
        <w:rPr>
          <w:spacing w:val="-7"/>
        </w:rPr>
        <w:t>Year </w:t>
      </w:r>
      <w:r>
        <w:rPr/>
        <w:t>as firms ran down their excess stocks. The CIPS manufacturing output index also fell in </w:t>
      </w:r>
      <w:r>
        <w:rPr>
          <w:spacing w:val="-3"/>
        </w:rPr>
        <w:t>January, </w:t>
      </w:r>
      <w:r>
        <w:rPr/>
        <w:t>as both manufacturers and their customers reduced stocks of finished goods which they had built up before the </w:t>
      </w:r>
      <w:r>
        <w:rPr>
          <w:spacing w:val="-3"/>
        </w:rPr>
        <w:t>new </w:t>
      </w:r>
      <w:r>
        <w:rPr/>
        <w:t>millennium.</w:t>
      </w:r>
    </w:p>
    <w:p>
      <w:pPr>
        <w:pStyle w:val="BodyText"/>
        <w:spacing w:before="8"/>
        <w:rPr>
          <w:sz w:val="21"/>
        </w:rPr>
      </w:pPr>
    </w:p>
    <w:p>
      <w:pPr>
        <w:spacing w:before="0"/>
        <w:ind w:left="192" w:right="0" w:firstLine="0"/>
        <w:jc w:val="left"/>
        <w:rPr>
          <w:i/>
          <w:sz w:val="24"/>
        </w:rPr>
      </w:pPr>
      <w:r>
        <w:rPr>
          <w:i/>
          <w:color w:val="009391"/>
          <w:sz w:val="24"/>
        </w:rPr>
        <w:t>Public sector demand</w:t>
      </w:r>
    </w:p>
    <w:p>
      <w:pPr>
        <w:spacing w:line="242" w:lineRule="auto" w:before="124"/>
        <w:ind w:left="192" w:right="192" w:firstLine="0"/>
        <w:jc w:val="left"/>
        <w:rPr>
          <w:sz w:val="24"/>
        </w:rPr>
      </w:pPr>
      <w:r>
        <w:rPr>
          <w:sz w:val="24"/>
        </w:rPr>
        <w:t>Estimates of nominal government consumption of goods and services in the first three quarters of 1999 were revised up in the December 1999 release of the</w:t>
      </w:r>
    </w:p>
    <w:p>
      <w:pPr>
        <w:spacing w:line="242" w:lineRule="auto" w:before="4"/>
        <w:ind w:left="192" w:right="228" w:firstLine="0"/>
        <w:jc w:val="left"/>
        <w:rPr>
          <w:sz w:val="24"/>
        </w:rPr>
      </w:pPr>
      <w:r>
        <w:rPr>
          <w:sz w:val="24"/>
        </w:rPr>
        <w:t>National Accounts. </w:t>
      </w:r>
      <w:r>
        <w:rPr>
          <w:spacing w:val="-4"/>
          <w:sz w:val="24"/>
        </w:rPr>
        <w:t>However, </w:t>
      </w:r>
      <w:r>
        <w:rPr>
          <w:sz w:val="24"/>
        </w:rPr>
        <w:t>the real government consumption profile </w:t>
      </w:r>
      <w:r>
        <w:rPr>
          <w:spacing w:val="-3"/>
          <w:sz w:val="24"/>
        </w:rPr>
        <w:t>over </w:t>
      </w:r>
      <w:r>
        <w:rPr>
          <w:sz w:val="24"/>
        </w:rPr>
        <w:t>that period was </w:t>
      </w:r>
      <w:r>
        <w:rPr>
          <w:spacing w:val="-4"/>
          <w:sz w:val="24"/>
        </w:rPr>
        <w:t>lower, </w:t>
      </w:r>
      <w:r>
        <w:rPr>
          <w:sz w:val="24"/>
        </w:rPr>
        <w:t>owing to upward revisions to the government expenditure </w:t>
      </w:r>
      <w:r>
        <w:rPr>
          <w:spacing w:val="-3"/>
          <w:sz w:val="24"/>
        </w:rPr>
        <w:t>deflator. </w:t>
      </w:r>
      <w:r>
        <w:rPr>
          <w:sz w:val="24"/>
        </w:rPr>
        <w:t>In assessing the outlook for the public finances, the MPC has taken as its central case the nominal government expenditure plans and </w:t>
      </w:r>
      <w:r>
        <w:rPr>
          <w:spacing w:val="-3"/>
          <w:sz w:val="24"/>
        </w:rPr>
        <w:t>effective </w:t>
      </w:r>
      <w:r>
        <w:rPr>
          <w:sz w:val="24"/>
        </w:rPr>
        <w:t>tax rates from the pre-Budget Report (PBR) published</w:t>
      </w:r>
      <w:r>
        <w:rPr>
          <w:spacing w:val="-16"/>
          <w:sz w:val="24"/>
        </w:rPr>
        <w:t> </w:t>
      </w:r>
      <w:r>
        <w:rPr>
          <w:sz w:val="24"/>
        </w:rPr>
        <w:t>on</w:t>
      </w:r>
    </w:p>
    <w:p>
      <w:pPr>
        <w:spacing w:line="242" w:lineRule="auto" w:before="9"/>
        <w:ind w:left="192" w:right="0" w:hanging="1"/>
        <w:jc w:val="left"/>
        <w:rPr>
          <w:sz w:val="24"/>
        </w:rPr>
      </w:pPr>
      <w:r>
        <w:rPr>
          <w:sz w:val="24"/>
        </w:rPr>
        <w:t>9 November 1999. Given the MPC’s new forecast for inflation, these PBR projections now imply a somewhat weaker profile for real government consumption over the forecast period than in the November </w:t>
      </w:r>
      <w:r>
        <w:rPr>
          <w:i/>
          <w:sz w:val="24"/>
        </w:rPr>
        <w:t>Report</w:t>
      </w:r>
      <w:r>
        <w:rPr>
          <w:sz w:val="24"/>
        </w:rPr>
        <w:t>.</w:t>
      </w:r>
    </w:p>
    <w:p>
      <w:pPr>
        <w:spacing w:after="0" w:line="242" w:lineRule="auto"/>
        <w:jc w:val="left"/>
        <w:rPr>
          <w:sz w:val="24"/>
        </w:rPr>
        <w:sectPr>
          <w:type w:val="continuous"/>
          <w:pgSz w:w="11900" w:h="16840"/>
          <w:pgMar w:top="1220" w:bottom="280" w:left="620" w:right="640"/>
          <w:cols w:num="3" w:equalWidth="0">
            <w:col w:w="3453" w:space="40"/>
            <w:col w:w="221" w:space="1063"/>
            <w:col w:w="5863"/>
          </w:cols>
        </w:sectPr>
      </w:pPr>
    </w:p>
    <w:p>
      <w:pPr>
        <w:pStyle w:val="BodyText"/>
        <w:spacing w:before="6"/>
        <w:rPr>
          <w:sz w:val="29"/>
        </w:rPr>
      </w:pPr>
    </w:p>
    <w:p>
      <w:pPr>
        <w:spacing w:after="0"/>
        <w:rPr>
          <w:sz w:val="29"/>
        </w:rPr>
        <w:sectPr>
          <w:pgSz w:w="11900" w:h="16840"/>
          <w:pgMar w:header="586" w:footer="597" w:top="780" w:bottom="780" w:left="620" w:right="640"/>
        </w:sectPr>
      </w:pPr>
    </w:p>
    <w:p>
      <w:pPr>
        <w:pStyle w:val="Heading9"/>
        <w:spacing w:line="249" w:lineRule="auto" w:before="127"/>
        <w:ind w:left="187" w:right="20"/>
        <w:rPr>
          <w:b w:val="0"/>
          <w:sz w:val="12"/>
        </w:rPr>
      </w:pPr>
      <w:bookmarkStart w:name="Output" w:id="43"/>
      <w:bookmarkEnd w:id="43"/>
      <w:r>
        <w:rPr>
          <w:b w:val="0"/>
        </w:rPr>
      </w:r>
      <w:bookmarkStart w:name="_bookmark16" w:id="44"/>
      <w:bookmarkEnd w:id="44"/>
      <w:r>
        <w:rPr>
          <w:b w:val="0"/>
        </w:rPr>
      </w:r>
      <w:r>
        <w:rPr>
          <w:color w:val="0092C7"/>
        </w:rPr>
        <w:t>Chart 2.17 GDP growth</w:t>
      </w:r>
      <w:r>
        <w:rPr>
          <w:b w:val="0"/>
          <w:position w:val="4"/>
          <w:sz w:val="12"/>
        </w:rPr>
        <w:t>(a)</w:t>
      </w:r>
    </w:p>
    <w:p>
      <w:pPr>
        <w:spacing w:line="208" w:lineRule="auto" w:before="72"/>
        <w:ind w:left="201" w:right="223" w:firstLine="95"/>
        <w:jc w:val="left"/>
        <w:rPr>
          <w:sz w:val="12"/>
        </w:rPr>
      </w:pPr>
      <w:r>
        <w:rPr/>
        <w:pict>
          <v:line style="position:absolute;mso-position-horizontal-relative:page;mso-position-vertical-relative:paragraph;z-index:-22141440" from="50.191002pt,17.268888pt" to="45.858002pt,17.268888pt" stroked="true" strokeweight=".5pt" strokecolor="#000000">
            <v:stroke dashstyle="solid"/>
            <w10:wrap type="none"/>
          </v:line>
        </w:pict>
      </w:r>
      <w:r>
        <w:rPr>
          <w:sz w:val="12"/>
        </w:rPr>
        <w:t>Percentage change </w:t>
      </w:r>
      <w:r>
        <w:rPr>
          <w:position w:val="-7"/>
          <w:sz w:val="12"/>
        </w:rPr>
        <w:t>6 </w:t>
      </w:r>
      <w:r>
        <w:rPr>
          <w:sz w:val="12"/>
        </w:rPr>
        <w:t>on a quarter earlier</w:t>
      </w:r>
    </w:p>
    <w:p>
      <w:pPr>
        <w:pStyle w:val="BodyText"/>
        <w:spacing w:before="3"/>
        <w:rPr>
          <w:sz w:val="30"/>
        </w:rPr>
      </w:pPr>
    </w:p>
    <w:p>
      <w:pPr>
        <w:spacing w:before="0"/>
        <w:ind w:left="201" w:right="0" w:firstLine="0"/>
        <w:jc w:val="left"/>
        <w:rPr>
          <w:sz w:val="12"/>
        </w:rPr>
      </w:pPr>
      <w:r>
        <w:rPr/>
        <w:pict>
          <v:group style="position:absolute;margin-left:54.012001pt;margin-top:-2.23326pt;width:152.9pt;height:126.85pt;mso-position-horizontal-relative:page;mso-position-vertical-relative:paragraph;z-index:16003072" coordorigin="1080,-45" coordsize="3058,2537">
            <v:rect style="position:absolute;left:1119;top:2219;width:80;height:265" filled="true" fillcolor="#be869b" stroked="false">
              <v:fill type="solid"/>
            </v:rect>
            <v:rect style="position:absolute;left:1119;top:2219;width:80;height:265" filled="false" stroked="true" strokeweight=".5pt" strokecolor="#000000">
              <v:stroke dashstyle="solid"/>
            </v:rect>
            <v:rect style="position:absolute;left:1203;top:2219;width:90;height:265" filled="true" fillcolor="#be869b" stroked="false">
              <v:fill type="solid"/>
            </v:rect>
            <v:rect style="position:absolute;left:1203;top:2219;width:90;height:265" filled="false" stroked="true" strokeweight=".5pt" strokecolor="#000000">
              <v:stroke dashstyle="solid"/>
            </v:rect>
            <v:rect style="position:absolute;left:1297;top:2006;width:80;height:478" filled="true" fillcolor="#be869b" stroked="false">
              <v:fill type="solid"/>
            </v:rect>
            <v:rect style="position:absolute;left:1297;top:2006;width:80;height:478" filled="false" stroked="true" strokeweight=".5pt" strokecolor="#000000">
              <v:stroke dashstyle="solid"/>
            </v:rect>
            <v:rect style="position:absolute;left:1387;top:1974;width:80;height:510" filled="true" fillcolor="#be869b" stroked="false">
              <v:fill type="solid"/>
            </v:rect>
            <v:rect style="position:absolute;left:1387;top:1974;width:80;height:510" filled="false" stroked="true" strokeweight=".5pt" strokecolor="#000000">
              <v:stroke dashstyle="solid"/>
            </v:rect>
            <v:rect style="position:absolute;left:1527;top:1974;width:93;height:510" filled="true" fillcolor="#be869b" stroked="false">
              <v:fill type="solid"/>
            </v:rect>
            <v:rect style="position:absolute;left:1527;top:1974;width:93;height:510" filled="false" stroked="true" strokeweight=".5pt" strokecolor="#000000">
              <v:stroke dashstyle="solid"/>
            </v:rect>
            <v:rect style="position:absolute;left:1622;top:1874;width:80;height:610" filled="true" fillcolor="#be869b" stroked="false">
              <v:fill type="solid"/>
            </v:rect>
            <v:rect style="position:absolute;left:1622;top:1874;width:80;height:610" filled="false" stroked="true" strokeweight=".5pt" strokecolor="#000000">
              <v:stroke dashstyle="solid"/>
            </v:rect>
            <v:rect style="position:absolute;left:1712;top:1794;width:80;height:690" filled="true" fillcolor="#be869b" stroked="false">
              <v:fill type="solid"/>
            </v:rect>
            <v:rect style="position:absolute;left:1712;top:1794;width:80;height:690" filled="false" stroked="true" strokeweight=".5pt" strokecolor="#000000">
              <v:stroke dashstyle="solid"/>
            </v:rect>
            <v:rect style="position:absolute;left:1797;top:2089;width:90;height:395" filled="true" fillcolor="#be869b" stroked="false">
              <v:fill type="solid"/>
            </v:rect>
            <v:rect style="position:absolute;left:1797;top:2089;width:90;height:395" filled="false" stroked="true" strokeweight=".5pt" strokecolor="#000000">
              <v:stroke dashstyle="solid"/>
            </v:rect>
            <v:rect style="position:absolute;left:1947;top:2284;width:80;height:200" filled="true" fillcolor="#be869b" stroked="false">
              <v:fill type="solid"/>
            </v:rect>
            <v:rect style="position:absolute;left:1947;top:2284;width:80;height:200" filled="false" stroked="true" strokeweight=".5pt" strokecolor="#000000">
              <v:stroke dashstyle="solid"/>
            </v:rect>
            <v:rect style="position:absolute;left:2037;top:2284;width:80;height:200" filled="true" fillcolor="#be869b" stroked="false">
              <v:fill type="solid"/>
            </v:rect>
            <v:rect style="position:absolute;left:2037;top:2284;width:80;height:200" filled="false" stroked="true" strokeweight=".5pt" strokecolor="#000000">
              <v:stroke dashstyle="solid"/>
            </v:rect>
            <v:rect style="position:absolute;left:2122;top:2236;width:90;height:248" filled="true" fillcolor="#be869b" stroked="false">
              <v:fill type="solid"/>
            </v:rect>
            <v:rect style="position:absolute;left:2122;top:2236;width:90;height:248" filled="false" stroked="true" strokeweight=".5pt" strokecolor="#000000">
              <v:stroke dashstyle="solid"/>
            </v:rect>
            <v:rect style="position:absolute;left:2217;top:2186;width:80;height:298" filled="true" fillcolor="#be869b" stroked="false">
              <v:fill type="solid"/>
            </v:rect>
            <v:rect style="position:absolute;left:2217;top:2186;width:80;height:298" filled="false" stroked="true" strokeweight=".5pt" strokecolor="#000000">
              <v:stroke dashstyle="solid"/>
            </v:rect>
            <v:rect style="position:absolute;left:2357;top:2104;width:80;height:380" filled="true" fillcolor="#be869b" stroked="false">
              <v:fill type="solid"/>
            </v:rect>
            <v:rect style="position:absolute;left:2357;top:2104;width:80;height:380" filled="false" stroked="true" strokeweight=".5pt" strokecolor="#000000">
              <v:stroke dashstyle="solid"/>
            </v:rect>
            <v:rect style="position:absolute;left:2441;top:2251;width:90;height:233" filled="true" fillcolor="#be869b" stroked="false">
              <v:fill type="solid"/>
            </v:rect>
            <v:rect style="position:absolute;left:2441;top:2251;width:90;height:233" filled="false" stroked="true" strokeweight=".5pt" strokecolor="#000000">
              <v:stroke dashstyle="solid"/>
            </v:rect>
            <v:rect style="position:absolute;left:2536;top:2154;width:80;height:330" filled="true" fillcolor="#be869b" stroked="false">
              <v:fill type="solid"/>
            </v:rect>
            <v:rect style="position:absolute;left:2536;top:2154;width:80;height:330" filled="false" stroked="true" strokeweight=".5pt" strokecolor="#000000">
              <v:stroke dashstyle="solid"/>
            </v:rect>
            <v:rect style="position:absolute;left:2627;top:2054;width:78;height:430" filled="true" fillcolor="#be869b" stroked="false">
              <v:fill type="solid"/>
            </v:rect>
            <v:rect style="position:absolute;left:2627;top:2054;width:78;height:430" filled="false" stroked="true" strokeweight=".5pt" strokecolor="#000000">
              <v:stroke dashstyle="solid"/>
            </v:rect>
            <v:rect style="position:absolute;left:2764;top:1974;width:80;height:510" filled="true" fillcolor="#be869b" stroked="false">
              <v:fill type="solid"/>
            </v:rect>
            <v:rect style="position:absolute;left:2764;top:1974;width:80;height:510" filled="false" stroked="true" strokeweight=".5pt" strokecolor="#000000">
              <v:stroke dashstyle="solid"/>
            </v:rect>
            <v:rect style="position:absolute;left:2849;top:2071;width:90;height:413" filled="true" fillcolor="#be869b" stroked="false">
              <v:fill type="solid"/>
            </v:rect>
            <v:rect style="position:absolute;left:2849;top:2071;width:90;height:413" filled="false" stroked="true" strokeweight=".5pt" strokecolor="#000000">
              <v:stroke dashstyle="solid"/>
            </v:rect>
            <v:rect style="position:absolute;left:2944;top:1974;width:80;height:510" filled="true" fillcolor="#be869b" stroked="false">
              <v:fill type="solid"/>
            </v:rect>
            <v:rect style="position:absolute;left:2944;top:1974;width:80;height:510" filled="false" stroked="true" strokeweight=".5pt" strokecolor="#000000">
              <v:stroke dashstyle="solid"/>
            </v:rect>
            <v:rect style="position:absolute;left:3034;top:2251;width:80;height:233" filled="true" fillcolor="#be869b" stroked="false">
              <v:fill type="solid"/>
            </v:rect>
            <v:rect style="position:absolute;left:3034;top:2251;width:80;height:233" filled="false" stroked="true" strokeweight=".5pt" strokecolor="#000000">
              <v:stroke dashstyle="solid"/>
            </v:rect>
            <v:rect style="position:absolute;left:3194;top:2301;width:90;height:183" filled="true" fillcolor="#be869b" stroked="false">
              <v:fill type="solid"/>
            </v:rect>
            <v:rect style="position:absolute;left:3194;top:2301;width:90;height:183" filled="false" stroked="true" strokeweight=".5pt" strokecolor="#000000">
              <v:stroke dashstyle="solid"/>
            </v:rect>
            <v:rect style="position:absolute;left:3284;top:2219;width:80;height:265" filled="true" fillcolor="#be869b" stroked="false">
              <v:fill type="solid"/>
            </v:rect>
            <v:rect style="position:absolute;left:3284;top:2219;width:80;height:265" filled="false" stroked="true" strokeweight=".5pt" strokecolor="#000000">
              <v:stroke dashstyle="solid"/>
            </v:rect>
            <v:rect style="position:absolute;left:3364;top:2219;width:80;height:265" filled="true" fillcolor="#be869b" stroked="false">
              <v:fill type="solid"/>
            </v:rect>
            <v:rect style="position:absolute;left:3364;top:2219;width:80;height:265" filled="false" stroked="true" strokeweight=".5pt" strokecolor="#000000">
              <v:stroke dashstyle="solid"/>
            </v:rect>
            <v:shape style="position:absolute;left:1142;top:121;width:2365;height:1720" coordorigin="1142,122" coordsize="2365,1720" path="m1142,1842l1242,1482m1242,1482l1342,1269m1342,1269l1452,957m1452,957l1552,712m1552,712l1652,352m1652,352l1762,122m1762,122l1862,237m1862,237l1960,564m1960,564l2072,992m2072,992l2170,1449m2170,1449l2270,1564m2270,1564l2380,1367m2380,1367l2480,1319m2480,1319l2580,1237m2580,1237l2680,1104m2680,1104l2790,974m2790,974l2990,614m2990,614l3100,809m3100,809l3200,1154m3200,1154l3297,1302m3297,1302l3410,1532m3410,1532l3507,1759e" filled="false" stroked="true" strokeweight="1pt" strokecolor="#008360">
              <v:path arrowok="t"/>
              <v:stroke dashstyle="solid"/>
            </v:shape>
            <v:line style="position:absolute" from="3497,1760" to="3617,1760" stroked="true" strokeweight="1.125pt" strokecolor="#008360">
              <v:stroke dashstyle="solid"/>
            </v:line>
            <v:shape style="position:absolute;left:3607;top:1204;width:310;height:555" coordorigin="3607,1204" coordsize="310,555" path="m3607,1759l3717,1679m3717,1679l3817,1597m3817,1597l3917,1204e" filled="false" stroked="true" strokeweight="1pt" strokecolor="#008360">
              <v:path arrowok="t"/>
              <v:stroke dashstyle="solid"/>
            </v:shape>
            <v:rect style="position:absolute;left:3594;top:2284;width:80;height:200" filled="true" fillcolor="#be869b" stroked="false">
              <v:fill type="solid"/>
            </v:rect>
            <v:rect style="position:absolute;left:3594;top:2284;width:80;height:200" filled="false" stroked="true" strokeweight=".5pt" strokecolor="#000000">
              <v:stroke dashstyle="solid"/>
            </v:rect>
            <v:rect style="position:absolute;left:3684;top:2136;width:80;height:348" filled="true" fillcolor="#be869b" stroked="false">
              <v:fill type="solid"/>
            </v:rect>
            <v:rect style="position:absolute;left:3684;top:2136;width:80;height:348" filled="false" stroked="true" strokeweight=".5pt" strokecolor="#000000">
              <v:stroke dashstyle="solid"/>
            </v:rect>
            <v:rect style="position:absolute;left:3768;top:2104;width:93;height:380" filled="true" fillcolor="#be869b" stroked="false">
              <v:fill type="solid"/>
            </v:rect>
            <v:rect style="position:absolute;left:3768;top:2104;width:93;height:380" filled="false" stroked="true" strokeweight=".5pt" strokecolor="#000000">
              <v:stroke dashstyle="solid"/>
            </v:rect>
            <v:rect style="position:absolute;left:3864;top:2104;width:80;height:380" filled="true" fillcolor="#be869b" stroked="false">
              <v:fill type="solid"/>
            </v:rect>
            <v:rect style="position:absolute;left:3864;top:2104;width:80;height:380" filled="false" stroked="true" strokeweight=".5pt" strokecolor="#000000">
              <v:stroke dashstyle="solid"/>
            </v:rect>
            <v:shape style="position:absolute;left:1085;top:85;width:3053;height:2406" coordorigin="1085,86" coordsize="3053,2406" path="m1088,2485l3975,2485m1085,2431l1085,2485m1912,2431l1912,2485m3152,2431l3152,2485m3979,2438l3979,2491m1499,2431l1499,2485m2325,2437l2325,2490m2739,2431l2739,2485m3526,2431l3526,2485m4138,566l4051,566m4138,1526l4051,1526m4138,2486l4051,2486m4138,86l4051,86m4138,1046l4051,1046m4138,2006l4051,2006e" filled="false" stroked="true" strokeweight=".5pt" strokecolor="#000000">
              <v:path arrowok="t"/>
              <v:stroke dashstyle="solid"/>
            </v:shape>
            <v:shape style="position:absolute;left:1835;top:-45;width:930;height:254" type="#_x0000_t202" filled="false" stroked="false">
              <v:textbox inset="0,0,0,0">
                <w:txbxContent>
                  <w:p>
                    <w:pPr>
                      <w:spacing w:line="208" w:lineRule="auto" w:before="9"/>
                      <w:ind w:left="60" w:right="18" w:hanging="60"/>
                      <w:jc w:val="left"/>
                      <w:rPr>
                        <w:sz w:val="12"/>
                      </w:rPr>
                    </w:pPr>
                    <w:r>
                      <w:rPr>
                        <w:sz w:val="12"/>
                      </w:rPr>
                      <w:t>Annual growth (right-hand scale)</w:t>
                    </w:r>
                  </w:p>
                </w:txbxContent>
              </v:textbox>
              <w10:wrap type="none"/>
            </v:shape>
            <v:shape style="position:absolute;left:1868;top:1708;width:863;height:254" type="#_x0000_t202" filled="false" stroked="false">
              <v:textbox inset="0,0,0,0">
                <w:txbxContent>
                  <w:p>
                    <w:pPr>
                      <w:spacing w:line="208" w:lineRule="auto" w:before="9"/>
                      <w:ind w:left="60" w:right="18" w:hanging="60"/>
                      <w:jc w:val="left"/>
                      <w:rPr>
                        <w:sz w:val="12"/>
                      </w:rPr>
                    </w:pPr>
                    <w:r>
                      <w:rPr>
                        <w:sz w:val="12"/>
                      </w:rPr>
                      <w:t>Quarterly growth (left-hand scale)</w:t>
                    </w:r>
                  </w:p>
                </w:txbxContent>
              </v:textbox>
              <w10:wrap type="none"/>
            </v:shape>
            <w10:wrap type="none"/>
          </v:group>
        </w:pict>
      </w:r>
      <w:r>
        <w:rPr/>
        <w:pict>
          <v:line style="position:absolute;mso-position-horizontal-relative:page;mso-position-vertical-relative:paragraph;z-index:16005632" from="50.191002pt,4.261541pt" to="45.858002pt,4.261541pt" stroked="true" strokeweight=".5pt" strokecolor="#000000">
            <v:stroke dashstyle="solid"/>
            <w10:wrap type="none"/>
          </v:line>
        </w:pict>
      </w:r>
      <w:r>
        <w:rPr>
          <w:sz w:val="12"/>
        </w:rPr>
        <w:t>5</w:t>
      </w:r>
    </w:p>
    <w:p>
      <w:pPr>
        <w:pStyle w:val="BodyText"/>
        <w:rPr>
          <w:sz w:val="12"/>
        </w:rPr>
      </w:pPr>
    </w:p>
    <w:p>
      <w:pPr>
        <w:pStyle w:val="BodyText"/>
        <w:spacing w:before="9"/>
        <w:rPr>
          <w:sz w:val="17"/>
        </w:rPr>
      </w:pPr>
    </w:p>
    <w:p>
      <w:pPr>
        <w:spacing w:before="0"/>
        <w:ind w:left="201" w:right="0" w:firstLine="0"/>
        <w:jc w:val="left"/>
        <w:rPr>
          <w:sz w:val="12"/>
        </w:rPr>
      </w:pPr>
      <w:r>
        <w:rPr/>
        <w:pict>
          <v:line style="position:absolute;mso-position-horizontal-relative:page;mso-position-vertical-relative:paragraph;z-index:16004096" from="50.191002pt,4.244545pt" to="45.858002pt,4.244545pt" stroked="true" strokeweight=".5pt" strokecolor="#000000">
            <v:stroke dashstyle="solid"/>
            <w10:wrap type="none"/>
          </v:line>
        </w:pict>
      </w:r>
      <w:r>
        <w:rPr>
          <w:sz w:val="12"/>
        </w:rPr>
        <w:t>4</w:t>
      </w:r>
    </w:p>
    <w:p>
      <w:pPr>
        <w:pStyle w:val="BodyText"/>
        <w:rPr>
          <w:sz w:val="12"/>
        </w:rPr>
      </w:pPr>
    </w:p>
    <w:p>
      <w:pPr>
        <w:pStyle w:val="BodyText"/>
        <w:spacing w:before="9"/>
        <w:rPr>
          <w:sz w:val="17"/>
        </w:rPr>
      </w:pPr>
    </w:p>
    <w:p>
      <w:pPr>
        <w:spacing w:before="0"/>
        <w:ind w:left="201" w:right="0" w:firstLine="0"/>
        <w:jc w:val="left"/>
        <w:rPr>
          <w:sz w:val="12"/>
        </w:rPr>
      </w:pPr>
      <w:r>
        <w:rPr/>
        <w:pict>
          <v:line style="position:absolute;mso-position-horizontal-relative:page;mso-position-vertical-relative:paragraph;z-index:16006144" from="50.191002pt,4.226549pt" to="45.858002pt,4.226549pt" stroked="true" strokeweight=".5pt" strokecolor="#000000">
            <v:stroke dashstyle="solid"/>
            <w10:wrap type="none"/>
          </v:line>
        </w:pict>
      </w:r>
      <w:r>
        <w:rPr>
          <w:sz w:val="12"/>
        </w:rPr>
        <w:t>3</w:t>
      </w:r>
    </w:p>
    <w:p>
      <w:pPr>
        <w:pStyle w:val="BodyText"/>
        <w:rPr>
          <w:sz w:val="12"/>
        </w:rPr>
      </w:pPr>
    </w:p>
    <w:p>
      <w:pPr>
        <w:pStyle w:val="BodyText"/>
        <w:spacing w:before="9"/>
        <w:rPr>
          <w:sz w:val="17"/>
        </w:rPr>
      </w:pPr>
    </w:p>
    <w:p>
      <w:pPr>
        <w:spacing w:before="0"/>
        <w:ind w:left="201" w:right="0" w:firstLine="0"/>
        <w:jc w:val="left"/>
        <w:rPr>
          <w:sz w:val="12"/>
        </w:rPr>
      </w:pPr>
      <w:r>
        <w:rPr/>
        <w:pict>
          <v:line style="position:absolute;mso-position-horizontal-relative:page;mso-position-vertical-relative:paragraph;z-index:16004608" from="50.191002pt,4.208553pt" to="45.858002pt,4.208553pt" stroked="true" strokeweight=".5pt" strokecolor="#000000">
            <v:stroke dashstyle="solid"/>
            <w10:wrap type="none"/>
          </v:line>
        </w:pict>
      </w:r>
      <w:r>
        <w:rPr>
          <w:sz w:val="12"/>
        </w:rPr>
        <w:t>2</w:t>
      </w:r>
    </w:p>
    <w:p>
      <w:pPr>
        <w:pStyle w:val="BodyText"/>
        <w:rPr>
          <w:sz w:val="12"/>
        </w:rPr>
      </w:pPr>
    </w:p>
    <w:p>
      <w:pPr>
        <w:pStyle w:val="BodyText"/>
        <w:spacing w:before="9"/>
        <w:rPr>
          <w:sz w:val="17"/>
        </w:rPr>
      </w:pPr>
    </w:p>
    <w:p>
      <w:pPr>
        <w:spacing w:before="0"/>
        <w:ind w:left="201" w:right="0" w:firstLine="0"/>
        <w:jc w:val="left"/>
        <w:rPr>
          <w:sz w:val="12"/>
        </w:rPr>
      </w:pPr>
      <w:r>
        <w:rPr/>
        <w:pict>
          <v:line style="position:absolute;mso-position-horizontal-relative:page;mso-position-vertical-relative:paragraph;z-index:16006656" from="50.191002pt,4.191556pt" to="45.858002pt,4.191556pt" stroked="true" strokeweight=".5pt" strokecolor="#000000">
            <v:stroke dashstyle="solid"/>
            <w10:wrap type="none"/>
          </v:line>
        </w:pict>
      </w:r>
      <w:r>
        <w:rPr>
          <w:sz w:val="12"/>
        </w:rPr>
        <w:t>1</w:t>
      </w:r>
    </w:p>
    <w:p>
      <w:pPr>
        <w:pStyle w:val="BodyText"/>
        <w:rPr>
          <w:sz w:val="12"/>
        </w:rPr>
      </w:pPr>
    </w:p>
    <w:p>
      <w:pPr>
        <w:pStyle w:val="BodyText"/>
        <w:spacing w:before="9"/>
        <w:rPr>
          <w:sz w:val="17"/>
        </w:rPr>
      </w:pPr>
    </w:p>
    <w:p>
      <w:pPr>
        <w:spacing w:before="0"/>
        <w:ind w:left="201" w:right="0" w:firstLine="0"/>
        <w:jc w:val="left"/>
        <w:rPr>
          <w:sz w:val="12"/>
        </w:rPr>
      </w:pPr>
      <w:r>
        <w:rPr/>
        <w:pict>
          <v:line style="position:absolute;mso-position-horizontal-relative:page;mso-position-vertical-relative:paragraph;z-index:16005120" from="50.191002pt,4.173561pt" to="45.858002pt,4.173561pt" stroked="true" strokeweight=".5pt" strokecolor="#000000">
            <v:stroke dashstyle="solid"/>
            <w10:wrap type="none"/>
          </v:line>
        </w:pict>
      </w:r>
      <w:r>
        <w:rPr>
          <w:sz w:val="12"/>
        </w:rPr>
        <w:t>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0"/>
        <w:rPr>
          <w:sz w:val="10"/>
        </w:rPr>
      </w:pPr>
    </w:p>
    <w:p>
      <w:pPr>
        <w:spacing w:line="208" w:lineRule="auto" w:before="1"/>
        <w:ind w:left="306" w:right="152" w:hanging="120"/>
        <w:jc w:val="left"/>
        <w:rPr>
          <w:sz w:val="12"/>
        </w:rPr>
      </w:pPr>
      <w:r>
        <w:rPr>
          <w:sz w:val="12"/>
        </w:rPr>
        <w:t>Percentage change on a year earlier</w:t>
      </w:r>
    </w:p>
    <w:p>
      <w:pPr>
        <w:spacing w:line="112" w:lineRule="exact" w:before="0"/>
        <w:ind w:left="1154" w:right="0" w:firstLine="0"/>
        <w:jc w:val="left"/>
        <w:rPr>
          <w:sz w:val="12"/>
        </w:rPr>
      </w:pPr>
      <w:r>
        <w:rPr/>
        <w:pict>
          <v:line style="position:absolute;mso-position-horizontal-relative:page;mso-position-vertical-relative:paragraph;z-index:16007168" from="206.892998pt,1.684724pt" to="202.559998pt,1.684724pt" stroked="true" strokeweight=".5pt" strokecolor="#000000">
            <v:stroke dashstyle="solid"/>
            <w10:wrap type="none"/>
          </v:line>
        </w:pict>
      </w:r>
      <w:r>
        <w:rPr>
          <w:sz w:val="12"/>
        </w:rPr>
        <w:t>6</w:t>
      </w:r>
    </w:p>
    <w:p>
      <w:pPr>
        <w:pStyle w:val="BodyText"/>
        <w:rPr>
          <w:sz w:val="12"/>
        </w:rPr>
      </w:pPr>
    </w:p>
    <w:p>
      <w:pPr>
        <w:pStyle w:val="BodyText"/>
        <w:spacing w:before="8"/>
        <w:rPr>
          <w:sz w:val="17"/>
        </w:rPr>
      </w:pPr>
    </w:p>
    <w:p>
      <w:pPr>
        <w:spacing w:before="1"/>
        <w:ind w:left="0" w:right="38" w:firstLine="0"/>
        <w:jc w:val="right"/>
        <w:rPr>
          <w:sz w:val="12"/>
        </w:rPr>
      </w:pPr>
      <w:r>
        <w:rPr>
          <w:sz w:val="12"/>
        </w:rPr>
        <w:t>5</w:t>
      </w:r>
    </w:p>
    <w:p>
      <w:pPr>
        <w:pStyle w:val="BodyText"/>
        <w:rPr>
          <w:sz w:val="12"/>
        </w:rPr>
      </w:pPr>
    </w:p>
    <w:p>
      <w:pPr>
        <w:pStyle w:val="BodyText"/>
        <w:spacing w:before="8"/>
        <w:rPr>
          <w:sz w:val="17"/>
        </w:rPr>
      </w:pPr>
    </w:p>
    <w:p>
      <w:pPr>
        <w:spacing w:before="1"/>
        <w:ind w:left="0" w:right="38" w:firstLine="0"/>
        <w:jc w:val="right"/>
        <w:rPr>
          <w:sz w:val="12"/>
        </w:rPr>
      </w:pPr>
      <w:r>
        <w:rPr>
          <w:sz w:val="12"/>
        </w:rPr>
        <w:t>4</w:t>
      </w:r>
    </w:p>
    <w:p>
      <w:pPr>
        <w:pStyle w:val="BodyText"/>
        <w:rPr>
          <w:sz w:val="12"/>
        </w:rPr>
      </w:pPr>
    </w:p>
    <w:p>
      <w:pPr>
        <w:pStyle w:val="BodyText"/>
        <w:spacing w:before="8"/>
        <w:rPr>
          <w:sz w:val="17"/>
        </w:rPr>
      </w:pPr>
    </w:p>
    <w:p>
      <w:pPr>
        <w:spacing w:before="0"/>
        <w:ind w:left="0" w:right="38" w:firstLine="0"/>
        <w:jc w:val="right"/>
        <w:rPr>
          <w:sz w:val="12"/>
        </w:rPr>
      </w:pPr>
      <w:r>
        <w:rPr>
          <w:sz w:val="12"/>
        </w:rPr>
        <w:t>3</w:t>
      </w:r>
    </w:p>
    <w:p>
      <w:pPr>
        <w:pStyle w:val="BodyText"/>
        <w:rPr>
          <w:sz w:val="12"/>
        </w:rPr>
      </w:pPr>
    </w:p>
    <w:p>
      <w:pPr>
        <w:pStyle w:val="BodyText"/>
        <w:spacing w:before="9"/>
        <w:rPr>
          <w:sz w:val="17"/>
        </w:rPr>
      </w:pPr>
    </w:p>
    <w:p>
      <w:pPr>
        <w:spacing w:before="0"/>
        <w:ind w:left="0" w:right="38" w:firstLine="0"/>
        <w:jc w:val="right"/>
        <w:rPr>
          <w:sz w:val="12"/>
        </w:rPr>
      </w:pPr>
      <w:r>
        <w:rPr>
          <w:sz w:val="12"/>
        </w:rPr>
        <w:t>2</w:t>
      </w:r>
    </w:p>
    <w:p>
      <w:pPr>
        <w:pStyle w:val="BodyText"/>
        <w:rPr>
          <w:sz w:val="12"/>
        </w:rPr>
      </w:pPr>
    </w:p>
    <w:p>
      <w:pPr>
        <w:pStyle w:val="BodyText"/>
        <w:spacing w:before="9"/>
        <w:rPr>
          <w:sz w:val="17"/>
        </w:rPr>
      </w:pPr>
    </w:p>
    <w:p>
      <w:pPr>
        <w:spacing w:before="0"/>
        <w:ind w:left="0" w:right="38" w:firstLine="0"/>
        <w:jc w:val="right"/>
        <w:rPr>
          <w:sz w:val="12"/>
        </w:rPr>
      </w:pPr>
      <w:r>
        <w:rPr>
          <w:sz w:val="12"/>
        </w:rPr>
        <w:t>1</w:t>
      </w:r>
    </w:p>
    <w:p>
      <w:pPr>
        <w:pStyle w:val="BodyText"/>
        <w:rPr>
          <w:sz w:val="12"/>
        </w:rPr>
      </w:pPr>
    </w:p>
    <w:p>
      <w:pPr>
        <w:pStyle w:val="BodyText"/>
        <w:spacing w:before="9"/>
        <w:rPr>
          <w:sz w:val="17"/>
        </w:rPr>
      </w:pPr>
    </w:p>
    <w:p>
      <w:pPr>
        <w:spacing w:line="121" w:lineRule="exact" w:before="0"/>
        <w:ind w:left="1154" w:right="0" w:firstLine="0"/>
        <w:jc w:val="left"/>
        <w:rPr>
          <w:sz w:val="12"/>
        </w:rPr>
      </w:pPr>
      <w:r>
        <w:rPr>
          <w:sz w:val="12"/>
        </w:rPr>
        <w:t>0</w:t>
      </w:r>
    </w:p>
    <w:p>
      <w:pPr>
        <w:pStyle w:val="Heading3"/>
        <w:numPr>
          <w:ilvl w:val="1"/>
          <w:numId w:val="9"/>
        </w:numPr>
        <w:tabs>
          <w:tab w:pos="4595" w:val="left" w:leader="none"/>
          <w:tab w:pos="4596" w:val="left" w:leader="none"/>
          <w:tab w:pos="5667" w:val="left" w:leader="none"/>
        </w:tabs>
        <w:spacing w:line="240" w:lineRule="auto" w:before="88" w:after="0"/>
        <w:ind w:left="4595" w:right="0" w:hanging="4409"/>
        <w:jc w:val="left"/>
        <w:rPr>
          <w:color w:val="009391"/>
        </w:rPr>
      </w:pPr>
      <w:r>
        <w:rPr>
          <w:color w:val="009391"/>
          <w:spacing w:val="-1"/>
          <w:u w:val="thick" w:color="0092C7"/>
        </w:rPr>
        <w:br w:type="column"/>
      </w:r>
      <w:r>
        <w:rPr>
          <w:color w:val="009391"/>
          <w:u w:val="thick" w:color="0092C7"/>
        </w:rPr>
        <w:t>Output</w:t>
        <w:tab/>
      </w:r>
    </w:p>
    <w:p>
      <w:pPr>
        <w:pStyle w:val="BodyText"/>
        <w:spacing w:before="11"/>
        <w:rPr>
          <w:b/>
          <w:sz w:val="23"/>
        </w:rPr>
      </w:pPr>
    </w:p>
    <w:p>
      <w:pPr>
        <w:pStyle w:val="Heading6"/>
        <w:spacing w:line="242" w:lineRule="auto"/>
        <w:ind w:left="187" w:right="196"/>
      </w:pPr>
      <w:r>
        <w:rPr/>
        <w:t>Revisions to the National Accounts published in December left the </w:t>
      </w:r>
      <w:r>
        <w:rPr>
          <w:spacing w:val="-3"/>
        </w:rPr>
        <w:t>level </w:t>
      </w:r>
      <w:r>
        <w:rPr/>
        <w:t>of GDP in 1999 Q3 unchanged (see Chart 2.16), as a downward revision to domestic demand was offset by an upward revision to net trade. </w:t>
      </w:r>
      <w:r>
        <w:rPr>
          <w:spacing w:val="-4"/>
        </w:rPr>
        <w:t>However, </w:t>
      </w:r>
      <w:r>
        <w:rPr/>
        <w:t>the estimated growth profile is a little different. The data </w:t>
      </w:r>
      <w:r>
        <w:rPr>
          <w:spacing w:val="-3"/>
        </w:rPr>
        <w:t>now </w:t>
      </w:r>
      <w:r>
        <w:rPr/>
        <w:t>show a more marked pause in growth</w:t>
      </w:r>
      <w:r>
        <w:rPr>
          <w:spacing w:val="-7"/>
        </w:rPr>
        <w:t> </w:t>
      </w:r>
      <w:r>
        <w:rPr/>
        <w:t>in</w:t>
      </w:r>
      <w:r>
        <w:rPr>
          <w:spacing w:val="-6"/>
        </w:rPr>
        <w:t> </w:t>
      </w:r>
      <w:r>
        <w:rPr/>
        <w:t>1998</w:t>
      </w:r>
      <w:r>
        <w:rPr>
          <w:spacing w:val="-7"/>
        </w:rPr>
        <w:t> </w:t>
      </w:r>
      <w:r>
        <w:rPr/>
        <w:t>Q4,</w:t>
      </w:r>
      <w:r>
        <w:rPr>
          <w:spacing w:val="-6"/>
        </w:rPr>
        <w:t> </w:t>
      </w:r>
      <w:r>
        <w:rPr/>
        <w:t>followed</w:t>
      </w:r>
      <w:r>
        <w:rPr>
          <w:spacing w:val="-6"/>
        </w:rPr>
        <w:t> </w:t>
      </w:r>
      <w:r>
        <w:rPr/>
        <w:t>by</w:t>
      </w:r>
      <w:r>
        <w:rPr>
          <w:spacing w:val="-7"/>
        </w:rPr>
        <w:t> </w:t>
      </w:r>
      <w:r>
        <w:rPr/>
        <w:t>faster</w:t>
      </w:r>
      <w:r>
        <w:rPr>
          <w:spacing w:val="-6"/>
        </w:rPr>
        <w:t> </w:t>
      </w:r>
      <w:r>
        <w:rPr/>
        <w:t>growth</w:t>
      </w:r>
      <w:r>
        <w:rPr>
          <w:spacing w:val="-7"/>
        </w:rPr>
        <w:t> </w:t>
      </w:r>
      <w:r>
        <w:rPr/>
        <w:t>in</w:t>
      </w:r>
      <w:r>
        <w:rPr>
          <w:spacing w:val="-6"/>
        </w:rPr>
        <w:t> </w:t>
      </w:r>
      <w:r>
        <w:rPr/>
        <w:t>the</w:t>
      </w:r>
      <w:r>
        <w:rPr>
          <w:spacing w:val="-6"/>
        </w:rPr>
        <w:t> </w:t>
      </w:r>
      <w:r>
        <w:rPr/>
        <w:t>first half of 1999 than in earlier estimates. GDP at constant market prices grew by 0.8% in each of the third and fourth quarters of 1999, and in Q4 was 2.7% higher than a year earlier (see Chart</w:t>
      </w:r>
      <w:r>
        <w:rPr>
          <w:spacing w:val="-8"/>
        </w:rPr>
        <w:t> </w:t>
      </w:r>
      <w:r>
        <w:rPr/>
        <w:t>2.17).</w:t>
      </w:r>
    </w:p>
    <w:p>
      <w:pPr>
        <w:spacing w:after="0" w:line="242" w:lineRule="auto"/>
        <w:sectPr>
          <w:type w:val="continuous"/>
          <w:pgSz w:w="11900" w:h="16840"/>
          <w:pgMar w:top="1220" w:bottom="280" w:left="620" w:right="640"/>
          <w:cols w:num="3" w:equalWidth="0">
            <w:col w:w="1444" w:space="991"/>
            <w:col w:w="1255" w:space="1117"/>
            <w:col w:w="5833"/>
          </w:cols>
        </w:sectPr>
      </w:pPr>
    </w:p>
    <w:p>
      <w:pPr>
        <w:tabs>
          <w:tab w:pos="1034" w:val="left" w:leader="none"/>
          <w:tab w:pos="1444" w:val="left" w:leader="none"/>
          <w:tab w:pos="1864" w:val="left" w:leader="none"/>
          <w:tab w:pos="2271" w:val="left" w:leader="none"/>
          <w:tab w:pos="2681" w:val="left" w:leader="none"/>
          <w:tab w:pos="3101" w:val="left" w:leader="none"/>
        </w:tabs>
        <w:spacing w:line="134" w:lineRule="exact" w:before="0"/>
        <w:ind w:left="567" w:right="0" w:firstLine="0"/>
        <w:jc w:val="left"/>
        <w:rPr>
          <w:sz w:val="12"/>
        </w:rPr>
      </w:pPr>
      <w:r>
        <w:rPr>
          <w:sz w:val="12"/>
        </w:rPr>
        <w:t>1993</w:t>
        <w:tab/>
        <w:t>94</w:t>
        <w:tab/>
        <w:t>95</w:t>
        <w:tab/>
        <w:t>96</w:t>
        <w:tab/>
        <w:t>97</w:t>
        <w:tab/>
        <w:t>98</w:t>
        <w:tab/>
        <w:t>99</w:t>
      </w:r>
    </w:p>
    <w:p>
      <w:pPr>
        <w:pStyle w:val="BodyText"/>
        <w:spacing w:before="6"/>
        <w:rPr>
          <w:sz w:val="9"/>
        </w:rPr>
      </w:pPr>
    </w:p>
    <w:p>
      <w:pPr>
        <w:spacing w:before="0"/>
        <w:ind w:left="192" w:right="0" w:firstLine="0"/>
        <w:jc w:val="left"/>
        <w:rPr>
          <w:sz w:val="12"/>
        </w:rPr>
      </w:pPr>
      <w:r>
        <w:rPr>
          <w:sz w:val="12"/>
        </w:rPr>
        <w:t>(a) At constant 1995 market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pStyle w:val="Heading9"/>
        <w:spacing w:before="1"/>
        <w:ind w:left="188"/>
      </w:pPr>
      <w:r>
        <w:rPr>
          <w:color w:val="0092C7"/>
        </w:rPr>
        <w:t>Chart 2.18</w:t>
      </w:r>
    </w:p>
    <w:p>
      <w:pPr>
        <w:spacing w:before="10"/>
        <w:ind w:left="188" w:right="0" w:firstLine="0"/>
        <w:jc w:val="left"/>
        <w:rPr>
          <w:sz w:val="12"/>
        </w:rPr>
      </w:pPr>
      <w:r>
        <w:rPr>
          <w:b/>
          <w:color w:val="0092C7"/>
          <w:sz w:val="20"/>
        </w:rPr>
        <w:t>Sectoral output growth</w:t>
      </w:r>
      <w:r>
        <w:rPr>
          <w:position w:val="4"/>
          <w:sz w:val="12"/>
        </w:rPr>
        <w:t>(a)</w:t>
      </w:r>
    </w:p>
    <w:p>
      <w:pPr>
        <w:spacing w:line="128" w:lineRule="exact" w:before="71"/>
        <w:ind w:left="1845" w:right="0" w:firstLine="0"/>
        <w:jc w:val="left"/>
        <w:rPr>
          <w:sz w:val="12"/>
        </w:rPr>
      </w:pPr>
      <w:r>
        <w:rPr>
          <w:sz w:val="12"/>
        </w:rPr>
        <w:t>Percentage changes on a year earlier</w:t>
      </w:r>
    </w:p>
    <w:p>
      <w:pPr>
        <w:spacing w:line="128" w:lineRule="exact" w:before="0"/>
        <w:ind w:left="3682" w:right="0" w:firstLine="0"/>
        <w:jc w:val="left"/>
        <w:rPr>
          <w:sz w:val="12"/>
        </w:rPr>
      </w:pPr>
      <w:r>
        <w:rPr/>
        <w:pict>
          <v:line style="position:absolute;mso-position-horizontal-relative:page;mso-position-vertical-relative:paragraph;z-index:15993344" from="47.150001pt,3.213745pt" to="42.817001pt,3.213745pt" stroked="true" strokeweight=".5pt" strokecolor="#000000">
            <v:stroke dashstyle="solid"/>
            <w10:wrap type="none"/>
          </v:line>
        </w:pict>
      </w:r>
      <w:r>
        <w:rPr/>
        <w:pict>
          <v:line style="position:absolute;mso-position-horizontal-relative:page;mso-position-vertical-relative:paragraph;z-index:15998976" from="210.650001pt,3.213745pt" to="206.317001pt,3.213745pt" stroked="true" strokeweight=".5pt" strokecolor="#000000">
            <v:stroke dashstyle="solid"/>
            <w10:wrap type="none"/>
          </v:line>
        </w:pict>
      </w:r>
      <w:r>
        <w:rPr>
          <w:sz w:val="12"/>
        </w:rPr>
        <w:t>7</w:t>
      </w:r>
    </w:p>
    <w:p>
      <w:pPr>
        <w:spacing w:before="12"/>
        <w:ind w:left="937" w:right="0" w:firstLine="0"/>
        <w:jc w:val="left"/>
        <w:rPr>
          <w:sz w:val="12"/>
        </w:rPr>
      </w:pPr>
      <w:r>
        <w:rPr>
          <w:sz w:val="12"/>
        </w:rPr>
        <w:t>Manufacturing</w:t>
      </w:r>
    </w:p>
    <w:p>
      <w:pPr>
        <w:spacing w:before="37"/>
        <w:ind w:left="3682" w:right="0" w:firstLine="0"/>
        <w:jc w:val="left"/>
        <w:rPr>
          <w:sz w:val="12"/>
        </w:rPr>
      </w:pPr>
      <w:r>
        <w:rPr/>
        <w:pict>
          <v:group style="position:absolute;margin-left:53.525002pt;margin-top:1.200372pt;width:147.15pt;height:123.75pt;mso-position-horizontal-relative:page;mso-position-vertical-relative:paragraph;z-index:15991296" coordorigin="1071,24" coordsize="2943,2475">
            <v:shape style="position:absolute;left:1080;top:326;width:2685;height:993" coordorigin="1081,327" coordsize="2685,993" path="m1081,1302l1191,1092m1191,1092l1298,912m1298,912l1406,994m1406,994l1516,832m1516,832l1623,619m1623,619l1731,424m1731,424l1828,327m1828,327l1936,522m1936,522l2046,962m2046,962l2153,1237m2153,1237l2261,1287m2261,1287l2371,1189m2371,1189l2478,962m2478,962l2586,977m2586,977l2696,847m2696,847l2803,832m2803,832l2911,717m2911,717l3021,504m3021,504l3128,554m3128,554l3236,684m3236,684l3333,767m3333,767l3441,962m3441,962l3551,1157m3551,1157l3658,1254m3658,1254l3766,1319e" filled="false" stroked="true" strokeweight="1pt" strokecolor="#f6bd61">
              <v:path arrowok="t"/>
              <v:stroke dashstyle="solid"/>
            </v:shape>
            <v:line style="position:absolute" from="3756,1320" to="3886,1320" stroked="true" strokeweight="1.125pt" strokecolor="#f6bd61">
              <v:stroke dashstyle="solid"/>
            </v:line>
            <v:line style="position:absolute" from="3876,1319" to="3983,1157" stroked="true" strokeweight="1pt" strokecolor="#f6bd61">
              <v:stroke dashstyle="solid"/>
            </v:line>
            <v:shape style="position:absolute;left:1080;top:471;width:2470;height:1173" coordorigin="1081,472" coordsize="2470,1173" path="m1081,1644l1191,1399m1191,1399l1298,1254m1298,1254l1406,1042m1406,1042l1516,879m1516,879l1623,634m1623,634l1731,472m1731,472l1828,554m1828,554l1936,782m1936,782l2046,1059m2046,1059l2153,1384m2153,1384l2261,1449m2261,1449l2371,1319m2371,1319l2478,1287m2478,1287l2586,1237m2586,1237l2696,1139m2696,1139l2803,1042m2803,1042l2911,929m2911,929l3021,814m3021,814l3128,944m3128,944l3236,1172m3236,1172l3333,1269m3333,1269l3441,1432m3441,1432l3551,1594e" filled="false" stroked="true" strokeweight="1pt" strokecolor="#008360">
              <v:path arrowok="t"/>
              <v:stroke dashstyle="solid"/>
            </v:shape>
            <v:line style="position:absolute" from="3541,1595" to="3668,1595" stroked="true" strokeweight="1.125pt" strokecolor="#008360">
              <v:stroke dashstyle="solid"/>
            </v:line>
            <v:shape style="position:absolute;left:3658;top:1204;width:325;height:390" coordorigin="3658,1204" coordsize="325,390" path="m3658,1594l3766,1529m3766,1529l3876,1482m3876,1482l3983,1204e" filled="false" stroked="true" strokeweight="1pt" strokecolor="#008360">
              <v:path arrowok="t"/>
              <v:stroke dashstyle="solid"/>
            </v:shape>
            <v:shape style="position:absolute;left:1080;top:34;width:2903;height:2455" coordorigin="1081,34" coordsize="2903,2455" path="m1081,1579l1191,1627m1191,1627l1298,1757m1298,1757l1406,1482m1406,1482l1516,1237m1516,1237l1623,684m1623,684l1731,197m1731,197l1828,34m1828,34l1936,1027m1936,1027l2046,1384m2046,1384l2153,1789m2153,1789l2261,2149m2261,2149l2371,1822m2371,1822l2478,2149m2478,2149l2586,2052m2586,2052l2696,1822m2696,1822l2803,1659m2803,1659l2911,1594m2911,1594l3021,1562m3021,1562l3128,1789m3128,1789l3236,1954m3236,1954l3333,1757m3333,1757l3441,1987m3441,1987l3551,2279m3551,2279l3658,2457m3658,2457l3766,2489m3766,2489l3876,1987m3876,1987l3983,1432e" filled="false" stroked="true" strokeweight="1pt" strokecolor="#006caa">
              <v:path arrowok="t"/>
              <v:stroke dashstyle="solid"/>
            </v:shape>
            <v:shape style="position:absolute;left:2868;top:364;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2828;top:1057;width:261;height:133" type="#_x0000_t202" filled="false" stroked="false">
              <v:textbox inset="0,0,0,0">
                <w:txbxContent>
                  <w:p>
                    <w:pPr>
                      <w:spacing w:line="133" w:lineRule="exact" w:before="0"/>
                      <w:ind w:left="0" w:right="0" w:firstLine="0"/>
                      <w:jc w:val="left"/>
                      <w:rPr>
                        <w:sz w:val="12"/>
                      </w:rPr>
                    </w:pPr>
                    <w:r>
                      <w:rPr>
                        <w:sz w:val="12"/>
                      </w:rPr>
                      <w:t>GDP</w:t>
                    </w:r>
                  </w:p>
                </w:txbxContent>
              </v:textbox>
              <w10:wrap type="none"/>
            </v:shape>
            <v:shape style="position:absolute;left:1072;top:1795;width:2941;height:178" type="#_x0000_t202" filled="false" stroked="false">
              <v:textbox inset="0,0,0,0">
                <w:txbxContent>
                  <w:p>
                    <w:pPr>
                      <w:tabs>
                        <w:tab w:pos="2919" w:val="left" w:leader="none"/>
                      </w:tabs>
                      <w:spacing w:line="178" w:lineRule="exact" w:before="0"/>
                      <w:ind w:left="0" w:right="0" w:firstLine="0"/>
                      <w:jc w:val="left"/>
                      <w:rPr>
                        <w:sz w:val="16"/>
                      </w:rPr>
                    </w:pPr>
                    <w:r>
                      <w:rPr>
                        <w:sz w:val="16"/>
                        <w:u w:val="single"/>
                      </w:rPr>
                      <w:t> </w:t>
                      <w:tab/>
                    </w:r>
                  </w:p>
                </w:txbxContent>
              </v:textbox>
              <w10:wrap type="none"/>
            </v:shape>
            <w10:wrap type="none"/>
          </v:group>
        </w:pict>
      </w:r>
      <w:r>
        <w:rPr/>
        <w:pict>
          <v:line style="position:absolute;mso-position-horizontal-relative:page;mso-position-vertical-relative:paragraph;z-index:15996416" from="47.150001pt,5.325372pt" to="42.817001pt,5.325372pt" stroked="true" strokeweight=".5pt" strokecolor="#000000">
            <v:stroke dashstyle="solid"/>
            <w10:wrap type="none"/>
          </v:line>
        </w:pict>
      </w:r>
      <w:r>
        <w:rPr/>
        <w:pict>
          <v:line style="position:absolute;mso-position-horizontal-relative:page;mso-position-vertical-relative:paragraph;z-index:16001024" from="210.650001pt,5.325372pt" to="206.317001pt,5.325372pt" stroked="true" strokeweight=".5pt" strokecolor="#000000">
            <v:stroke dashstyle="solid"/>
            <w10:wrap type="none"/>
          </v:line>
        </w:pict>
      </w:r>
      <w:r>
        <w:rPr>
          <w:sz w:val="12"/>
        </w:rPr>
        <w:t>6</w:t>
      </w:r>
    </w:p>
    <w:p>
      <w:pPr>
        <w:pStyle w:val="BodyText"/>
        <w:spacing w:before="3"/>
        <w:rPr>
          <w:sz w:val="16"/>
        </w:rPr>
      </w:pPr>
    </w:p>
    <w:p>
      <w:pPr>
        <w:spacing w:before="0"/>
        <w:ind w:left="3682" w:right="0" w:firstLine="0"/>
        <w:jc w:val="left"/>
        <w:rPr>
          <w:sz w:val="12"/>
        </w:rPr>
      </w:pPr>
      <w:r>
        <w:rPr/>
        <w:pict>
          <v:line style="position:absolute;mso-position-horizontal-relative:page;mso-position-vertical-relative:paragraph;z-index:15991808" from="47.150001pt,4.225555pt" to="42.817001pt,4.225555pt" stroked="true" strokeweight=".5pt" strokecolor="#000000">
            <v:stroke dashstyle="solid"/>
            <w10:wrap type="none"/>
          </v:line>
        </w:pict>
      </w:r>
      <w:r>
        <w:rPr/>
        <w:pict>
          <v:line style="position:absolute;mso-position-horizontal-relative:page;mso-position-vertical-relative:paragraph;z-index:15997440" from="210.650001pt,4.225555pt" to="206.317001pt,4.225555pt" stroked="true" strokeweight=".5pt" strokecolor="#000000">
            <v:stroke dashstyle="solid"/>
            <w10:wrap type="none"/>
          </v:line>
        </w:pict>
      </w:r>
      <w:r>
        <w:rPr>
          <w:sz w:val="12"/>
        </w:rPr>
        <w:t>5</w:t>
      </w:r>
    </w:p>
    <w:p>
      <w:pPr>
        <w:pStyle w:val="BodyText"/>
        <w:spacing w:before="3"/>
        <w:rPr>
          <w:sz w:val="16"/>
        </w:rPr>
      </w:pPr>
    </w:p>
    <w:p>
      <w:pPr>
        <w:spacing w:before="0"/>
        <w:ind w:left="3682" w:right="0" w:firstLine="0"/>
        <w:jc w:val="left"/>
        <w:rPr>
          <w:sz w:val="12"/>
        </w:rPr>
      </w:pPr>
      <w:r>
        <w:rPr/>
        <w:pict>
          <v:line style="position:absolute;mso-position-horizontal-relative:page;mso-position-vertical-relative:paragraph;z-index:15995392" from="47.150001pt,3.975769pt" to="42.817001pt,3.975769pt" stroked="true" strokeweight=".5pt" strokecolor="#000000">
            <v:stroke dashstyle="solid"/>
            <w10:wrap type="none"/>
          </v:line>
        </w:pict>
      </w:r>
      <w:r>
        <w:rPr/>
        <w:pict>
          <v:line style="position:absolute;mso-position-horizontal-relative:page;mso-position-vertical-relative:paragraph;z-index:16000000" from="210.650001pt,3.975769pt" to="206.317001pt,3.975769pt" stroked="true" strokeweight=".5pt" strokecolor="#000000">
            <v:stroke dashstyle="solid"/>
            <w10:wrap type="none"/>
          </v:line>
        </w:pict>
      </w:r>
      <w:r>
        <w:rPr>
          <w:sz w:val="12"/>
        </w:rPr>
        <w:t>4</w:t>
      </w:r>
    </w:p>
    <w:p>
      <w:pPr>
        <w:pStyle w:val="BodyText"/>
        <w:spacing w:before="3"/>
        <w:rPr>
          <w:sz w:val="16"/>
        </w:rPr>
      </w:pPr>
    </w:p>
    <w:p>
      <w:pPr>
        <w:spacing w:before="0"/>
        <w:ind w:left="3682" w:right="0" w:firstLine="0"/>
        <w:jc w:val="left"/>
        <w:rPr>
          <w:sz w:val="12"/>
        </w:rPr>
      </w:pPr>
      <w:r>
        <w:rPr/>
        <w:pict>
          <v:line style="position:absolute;mso-position-horizontal-relative:page;mso-position-vertical-relative:paragraph;z-index:15993856" from="47.150001pt,3.725952pt" to="42.817001pt,3.725952pt" stroked="true" strokeweight=".5pt" strokecolor="#000000">
            <v:stroke dashstyle="solid"/>
            <w10:wrap type="none"/>
          </v:line>
        </w:pict>
      </w:r>
      <w:r>
        <w:rPr/>
        <w:pict>
          <v:line style="position:absolute;mso-position-horizontal-relative:page;mso-position-vertical-relative:paragraph;z-index:15999488" from="210.650001pt,3.725952pt" to="206.317001pt,3.725952pt" stroked="true" strokeweight=".5pt" strokecolor="#000000">
            <v:stroke dashstyle="solid"/>
            <w10:wrap type="none"/>
          </v:line>
        </w:pict>
      </w:r>
      <w:r>
        <w:rPr>
          <w:sz w:val="12"/>
        </w:rPr>
        <w:t>3</w:t>
      </w:r>
    </w:p>
    <w:p>
      <w:pPr>
        <w:pStyle w:val="BodyText"/>
        <w:spacing w:before="9"/>
        <w:rPr>
          <w:sz w:val="17"/>
        </w:rPr>
      </w:pPr>
    </w:p>
    <w:p>
      <w:pPr>
        <w:spacing w:before="0"/>
        <w:ind w:left="3682" w:right="0" w:firstLine="0"/>
        <w:jc w:val="left"/>
        <w:rPr>
          <w:sz w:val="12"/>
        </w:rPr>
      </w:pPr>
      <w:r>
        <w:rPr/>
        <w:pict>
          <v:line style="position:absolute;mso-position-horizontal-relative:page;mso-position-vertical-relative:paragraph;z-index:15996928" from="47.150001pt,3.600769pt" to="42.817001pt,3.600769pt" stroked="true" strokeweight=".5pt" strokecolor="#000000">
            <v:stroke dashstyle="solid"/>
            <w10:wrap type="none"/>
          </v:line>
        </w:pict>
      </w:r>
      <w:r>
        <w:rPr/>
        <w:pict>
          <v:line style="position:absolute;mso-position-horizontal-relative:page;mso-position-vertical-relative:paragraph;z-index:16001536" from="210.650001pt,3.600769pt" to="206.317001pt,3.600769pt" stroked="true" strokeweight=".5pt" strokecolor="#000000">
            <v:stroke dashstyle="solid"/>
            <w10:wrap type="none"/>
          </v:line>
        </w:pict>
      </w:r>
      <w:r>
        <w:rPr>
          <w:sz w:val="12"/>
        </w:rPr>
        <w:t>2</w:t>
      </w:r>
    </w:p>
    <w:p>
      <w:pPr>
        <w:pStyle w:val="BodyText"/>
        <w:spacing w:before="3"/>
        <w:rPr>
          <w:sz w:val="16"/>
        </w:rPr>
      </w:pPr>
    </w:p>
    <w:p>
      <w:pPr>
        <w:spacing w:line="124" w:lineRule="exact" w:before="0"/>
        <w:ind w:left="3682" w:right="0" w:firstLine="0"/>
        <w:jc w:val="left"/>
        <w:rPr>
          <w:sz w:val="12"/>
        </w:rPr>
      </w:pPr>
      <w:r>
        <w:rPr/>
        <w:pict>
          <v:line style="position:absolute;mso-position-horizontal-relative:page;mso-position-vertical-relative:paragraph;z-index:15992320" from="47.150001pt,3.850952pt" to="42.817001pt,3.850952pt" stroked="true" strokeweight=".5pt" strokecolor="#000000">
            <v:stroke dashstyle="solid"/>
            <w10:wrap type="none"/>
          </v:line>
        </w:pict>
      </w:r>
      <w:r>
        <w:rPr/>
        <w:pict>
          <v:line style="position:absolute;mso-position-horizontal-relative:page;mso-position-vertical-relative:paragraph;z-index:15997952" from="210.650001pt,3.850952pt" to="206.317001pt,3.850952pt" stroked="true" strokeweight=".5pt" strokecolor="#000000">
            <v:stroke dashstyle="solid"/>
            <w10:wrap type="none"/>
          </v:line>
        </w:pict>
      </w:r>
      <w:r>
        <w:rPr>
          <w:sz w:val="12"/>
        </w:rPr>
        <w:t>1</w:t>
      </w:r>
    </w:p>
    <w:p>
      <w:pPr>
        <w:spacing w:line="170" w:lineRule="exact" w:before="0"/>
        <w:ind w:left="3506" w:right="0" w:firstLine="0"/>
        <w:jc w:val="left"/>
        <w:rPr>
          <w:sz w:val="16"/>
        </w:rPr>
      </w:pPr>
      <w:r>
        <w:rPr>
          <w:sz w:val="16"/>
          <w:u w:val="single"/>
        </w:rPr>
        <w:t>  </w:t>
      </w:r>
      <w:r>
        <w:rPr>
          <w:sz w:val="16"/>
        </w:rPr>
        <w:t>+</w:t>
      </w:r>
    </w:p>
    <w:p>
      <w:pPr>
        <w:spacing w:line="120" w:lineRule="exact" w:before="31"/>
        <w:ind w:left="3682" w:right="0" w:firstLine="0"/>
        <w:jc w:val="left"/>
        <w:rPr>
          <w:sz w:val="12"/>
        </w:rPr>
      </w:pPr>
      <w:r>
        <w:rPr/>
        <w:pict>
          <v:line style="position:absolute;mso-position-horizontal-relative:page;mso-position-vertical-relative:paragraph;z-index:15994368" from="47.150001pt,5.151166pt" to="42.817001pt,5.151166pt" stroked="true" strokeweight=".5pt" strokecolor="#000000">
            <v:stroke dashstyle="solid"/>
            <w10:wrap type="none"/>
          </v:line>
        </w:pict>
      </w:r>
      <w:r>
        <w:rPr>
          <w:sz w:val="12"/>
        </w:rPr>
        <w:t>0</w:t>
      </w:r>
    </w:p>
    <w:p>
      <w:pPr>
        <w:spacing w:line="166" w:lineRule="exact" w:before="0"/>
        <w:ind w:left="3590" w:right="0" w:firstLine="0"/>
        <w:jc w:val="left"/>
        <w:rPr>
          <w:sz w:val="16"/>
        </w:rPr>
      </w:pPr>
      <w:r>
        <w:rPr>
          <w:sz w:val="16"/>
        </w:rPr>
        <w:t>_</w:t>
      </w:r>
    </w:p>
    <w:p>
      <w:pPr>
        <w:spacing w:before="38"/>
        <w:ind w:left="3682" w:right="0" w:firstLine="0"/>
        <w:jc w:val="left"/>
        <w:rPr>
          <w:sz w:val="12"/>
        </w:rPr>
      </w:pPr>
      <w:r>
        <w:rPr/>
        <w:pict>
          <v:line style="position:absolute;mso-position-horizontal-relative:page;mso-position-vertical-relative:paragraph;z-index:15995904" from="47.150001pt,5.751349pt" to="42.817001pt,5.751349pt" stroked="true" strokeweight=".5pt" strokecolor="#000000">
            <v:stroke dashstyle="solid"/>
            <w10:wrap type="none"/>
          </v:line>
        </w:pict>
      </w:r>
      <w:r>
        <w:rPr/>
        <w:pict>
          <v:line style="position:absolute;mso-position-horizontal-relative:page;mso-position-vertical-relative:paragraph;z-index:16000512" from="210.650001pt,5.751349pt" to="206.317001pt,5.751349pt" stroked="true" strokeweight=".5pt" strokecolor="#000000">
            <v:stroke dashstyle="solid"/>
            <w10:wrap type="none"/>
          </v:line>
        </w:pict>
      </w:r>
      <w:r>
        <w:rPr>
          <w:sz w:val="12"/>
        </w:rPr>
        <w:t>1</w:t>
      </w:r>
    </w:p>
    <w:p>
      <w:pPr>
        <w:pStyle w:val="BodyText"/>
        <w:spacing w:before="3"/>
        <w:rPr>
          <w:sz w:val="16"/>
        </w:rPr>
      </w:pPr>
    </w:p>
    <w:p>
      <w:pPr>
        <w:spacing w:before="0"/>
        <w:ind w:left="3682" w:right="0" w:firstLine="0"/>
        <w:jc w:val="left"/>
        <w:rPr>
          <w:sz w:val="12"/>
        </w:rPr>
      </w:pPr>
      <w:r>
        <w:rPr/>
        <w:pict>
          <v:line style="position:absolute;mso-position-horizontal-relative:page;mso-position-vertical-relative:paragraph;z-index:15992832" from="47.150001pt,3.601563pt" to="42.817001pt,3.601563pt" stroked="true" strokeweight=".5pt" strokecolor="#000000">
            <v:stroke dashstyle="solid"/>
            <w10:wrap type="none"/>
          </v:line>
        </w:pict>
      </w:r>
      <w:r>
        <w:rPr/>
        <w:pict>
          <v:shape style="position:absolute;margin-left:54.039001pt;margin-top:-1.346437pt;width:144.7pt;height:5.5pt;mso-position-horizontal-relative:page;mso-position-vertical-relative:paragraph;z-index:15994880" coordorigin="1081,-27" coordsize="2894,110" path="m1083,82l3974,82m1081,-27l1081,82m1294,28l1294,82m1613,28l1613,82m2252,28l2252,82m2910,28l2910,82m3336,28l3336,82m3549,28l3549,82m1826,28l1826,82m2464,28l2464,82m3016,28l3016,82m1187,28l1187,82m1400,28l1400,82m1932,-27l1932,82m2591,28l2591,82m3123,28l3123,82m3442,28l3442,82m3655,-27l3655,82m2039,28l2039,82m2697,28l2697,82m3229,-27l3229,82m1507,-27l1507,82m2145,28l2145,82m2804,-27l2804,82m1719,28l1719,82m2358,-27l2358,82m3868,28l3868,82m3974,28l3974,82m3761,28l3761,82e" filled="false" stroked="true" strokeweight=".5pt" strokecolor="#000000">
            <v:path arrowok="t"/>
            <v:stroke dashstyle="solid"/>
            <w10:wrap type="none"/>
          </v:shape>
        </w:pict>
      </w:r>
      <w:r>
        <w:rPr/>
        <w:pict>
          <v:line style="position:absolute;mso-position-horizontal-relative:page;mso-position-vertical-relative:paragraph;z-index:15998464" from="210.650001pt,3.601563pt" to="206.317001pt,3.601563pt" stroked="true" strokeweight=".5pt" strokecolor="#000000">
            <v:stroke dashstyle="solid"/>
            <w10:wrap type="none"/>
          </v:line>
        </w:pict>
      </w:r>
      <w:r>
        <w:rPr>
          <w:sz w:val="12"/>
        </w:rPr>
        <w:t>2</w:t>
      </w:r>
    </w:p>
    <w:p>
      <w:pPr>
        <w:tabs>
          <w:tab w:pos="1037" w:val="left" w:leader="none"/>
          <w:tab w:pos="1457" w:val="left" w:leader="none"/>
          <w:tab w:pos="1872" w:val="left" w:leader="none"/>
          <w:tab w:pos="2322" w:val="left" w:leader="none"/>
          <w:tab w:pos="2737" w:val="left" w:leader="none"/>
          <w:tab w:pos="3180" w:val="left" w:leader="none"/>
        </w:tabs>
        <w:spacing w:before="12"/>
        <w:ind w:left="503" w:right="0" w:firstLine="0"/>
        <w:jc w:val="left"/>
        <w:rPr>
          <w:sz w:val="12"/>
        </w:rPr>
      </w:pPr>
      <w:r>
        <w:rPr>
          <w:sz w:val="12"/>
        </w:rPr>
        <w:t>1993</w:t>
        <w:tab/>
        <w:t>94</w:t>
        <w:tab/>
        <w:t>95</w:t>
        <w:tab/>
        <w:t>96</w:t>
        <w:tab/>
        <w:t>97</w:t>
        <w:tab/>
        <w:t>98</w:t>
        <w:tab/>
        <w:t>99</w:t>
      </w:r>
    </w:p>
    <w:p>
      <w:pPr>
        <w:spacing w:line="208" w:lineRule="auto" w:before="21"/>
        <w:ind w:left="434" w:right="38" w:hanging="240"/>
        <w:jc w:val="left"/>
        <w:rPr>
          <w:sz w:val="12"/>
        </w:rPr>
      </w:pPr>
      <w:r>
        <w:rPr>
          <w:sz w:val="12"/>
        </w:rPr>
        <w:t>(a) GDP at constant 1995 market prices, manufacturing and services output at constant 1995 basic prices.</w:t>
      </w:r>
    </w:p>
    <w:p>
      <w:pPr>
        <w:pStyle w:val="BodyText"/>
        <w:rPr>
          <w:sz w:val="12"/>
        </w:rPr>
      </w:pPr>
    </w:p>
    <w:p>
      <w:pPr>
        <w:pStyle w:val="BodyText"/>
        <w:rPr>
          <w:sz w:val="12"/>
        </w:rPr>
      </w:pPr>
    </w:p>
    <w:p>
      <w:pPr>
        <w:pStyle w:val="BodyText"/>
        <w:rPr>
          <w:sz w:val="12"/>
        </w:rPr>
      </w:pPr>
    </w:p>
    <w:p>
      <w:pPr>
        <w:pStyle w:val="BodyText"/>
        <w:rPr>
          <w:sz w:val="12"/>
        </w:rPr>
      </w:pPr>
    </w:p>
    <w:p>
      <w:pPr>
        <w:pStyle w:val="Heading9"/>
        <w:spacing w:before="77"/>
        <w:ind w:left="208"/>
      </w:pPr>
      <w:r>
        <w:rPr>
          <w:color w:val="0092C7"/>
        </w:rPr>
        <w:t>Chart 2.19</w:t>
      </w:r>
    </w:p>
    <w:p>
      <w:pPr>
        <w:spacing w:before="10"/>
        <w:ind w:left="208" w:right="0" w:firstLine="0"/>
        <w:jc w:val="left"/>
        <w:rPr>
          <w:b/>
          <w:sz w:val="20"/>
        </w:rPr>
      </w:pPr>
      <w:r>
        <w:rPr>
          <w:b/>
          <w:color w:val="0092C7"/>
          <w:sz w:val="20"/>
        </w:rPr>
        <w:t>Monthly manufacturing output indicators</w:t>
      </w:r>
    </w:p>
    <w:p>
      <w:pPr>
        <w:spacing w:line="242" w:lineRule="auto" w:before="151"/>
        <w:ind w:left="188" w:right="168" w:firstLine="0"/>
        <w:jc w:val="left"/>
        <w:rPr>
          <w:sz w:val="24"/>
        </w:rPr>
      </w:pPr>
      <w:r>
        <w:rPr/>
        <w:br w:type="column"/>
      </w:r>
      <w:r>
        <w:rPr>
          <w:sz w:val="24"/>
        </w:rPr>
        <w:t>Manufacturing output grew by 0.7% in 1999 Q4, the third consecutive quarter of expansion, and was 1.9% higher than a year earlier (see Chart 2.18). The annual growth rate was the highest since mid-1995, although the quarterly growth rate was slower than in the previous quarter, when manufacturing output rose by 1.4%. The CIPS purchasing managers’ index rose sharply in Q4 (see Chart 2.19), which was reported to </w:t>
      </w:r>
      <w:r>
        <w:rPr>
          <w:spacing w:val="-3"/>
          <w:sz w:val="24"/>
        </w:rPr>
        <w:t>have </w:t>
      </w:r>
      <w:r>
        <w:rPr>
          <w:sz w:val="24"/>
        </w:rPr>
        <w:t>reflected an increase in manufacturers’ stock positions before the year-end, as a precaution against possible supply disruptions related to the ‘millennium bug’. Some of the rise in the CIPS index at the end of 1999 was correspondingly reversed in </w:t>
      </w:r>
      <w:r>
        <w:rPr>
          <w:spacing w:val="-3"/>
          <w:sz w:val="24"/>
        </w:rPr>
        <w:t>January, </w:t>
      </w:r>
      <w:r>
        <w:rPr>
          <w:sz w:val="24"/>
        </w:rPr>
        <w:t>as manufacturers ran down these stocks. But the index remains at a </w:t>
      </w:r>
      <w:r>
        <w:rPr>
          <w:spacing w:val="-3"/>
          <w:sz w:val="24"/>
        </w:rPr>
        <w:t>level </w:t>
      </w:r>
      <w:r>
        <w:rPr>
          <w:sz w:val="24"/>
        </w:rPr>
        <w:t>suggesting steady expansion of manufacturing output, in line with reports from the </w:t>
      </w:r>
      <w:r>
        <w:rPr>
          <w:spacing w:val="-3"/>
          <w:sz w:val="24"/>
        </w:rPr>
        <w:t>Bank’s </w:t>
      </w:r>
      <w:r>
        <w:rPr>
          <w:sz w:val="24"/>
        </w:rPr>
        <w:t>regional Agents and other survey evidence. For example, the CBI reported that</w:t>
      </w:r>
      <w:r>
        <w:rPr>
          <w:spacing w:val="-10"/>
          <w:sz w:val="24"/>
        </w:rPr>
        <w:t> </w:t>
      </w:r>
      <w:r>
        <w:rPr>
          <w:sz w:val="24"/>
        </w:rPr>
        <w:t>manufacturers’</w:t>
      </w:r>
      <w:r>
        <w:rPr>
          <w:spacing w:val="-9"/>
          <w:sz w:val="24"/>
        </w:rPr>
        <w:t> </w:t>
      </w:r>
      <w:r>
        <w:rPr>
          <w:sz w:val="24"/>
        </w:rPr>
        <w:t>output</w:t>
      </w:r>
      <w:r>
        <w:rPr>
          <w:spacing w:val="-9"/>
          <w:sz w:val="24"/>
        </w:rPr>
        <w:t> </w:t>
      </w:r>
      <w:r>
        <w:rPr>
          <w:sz w:val="24"/>
        </w:rPr>
        <w:t>expectations</w:t>
      </w:r>
      <w:r>
        <w:rPr>
          <w:spacing w:val="-10"/>
          <w:sz w:val="24"/>
        </w:rPr>
        <w:t> </w:t>
      </w:r>
      <w:r>
        <w:rPr>
          <w:sz w:val="24"/>
        </w:rPr>
        <w:t>were</w:t>
      </w:r>
      <w:r>
        <w:rPr>
          <w:spacing w:val="-9"/>
          <w:sz w:val="24"/>
        </w:rPr>
        <w:t> </w:t>
      </w:r>
      <w:r>
        <w:rPr>
          <w:sz w:val="24"/>
        </w:rPr>
        <w:t>positive</w:t>
      </w:r>
      <w:r>
        <w:rPr>
          <w:spacing w:val="-9"/>
          <w:sz w:val="24"/>
        </w:rPr>
        <w:t> </w:t>
      </w:r>
      <w:r>
        <w:rPr>
          <w:sz w:val="24"/>
        </w:rPr>
        <w:t>for the sixth successive month in </w:t>
      </w:r>
      <w:r>
        <w:rPr>
          <w:spacing w:val="-3"/>
          <w:sz w:val="24"/>
        </w:rPr>
        <w:t>January, </w:t>
      </w:r>
      <w:r>
        <w:rPr>
          <w:sz w:val="24"/>
        </w:rPr>
        <w:t>with expectations of future export orders in December and January at their highest for two</w:t>
      </w:r>
      <w:r>
        <w:rPr>
          <w:spacing w:val="-4"/>
          <w:sz w:val="24"/>
        </w:rPr>
        <w:t> </w:t>
      </w:r>
      <w:r>
        <w:rPr>
          <w:sz w:val="24"/>
        </w:rPr>
        <w:t>years.</w:t>
      </w:r>
    </w:p>
    <w:p>
      <w:pPr>
        <w:pStyle w:val="BodyText"/>
        <w:spacing w:before="7"/>
        <w:rPr>
          <w:sz w:val="26"/>
        </w:rPr>
      </w:pPr>
    </w:p>
    <w:p>
      <w:pPr>
        <w:spacing w:before="0"/>
        <w:ind w:left="188" w:right="0" w:firstLine="0"/>
        <w:jc w:val="left"/>
        <w:rPr>
          <w:sz w:val="24"/>
        </w:rPr>
      </w:pPr>
      <w:r>
        <w:rPr>
          <w:sz w:val="24"/>
        </w:rPr>
        <w:t>The recovery in manufacturing observed in 1999 was</w:t>
      </w:r>
    </w:p>
    <w:p>
      <w:pPr>
        <w:spacing w:after="0"/>
        <w:jc w:val="left"/>
        <w:rPr>
          <w:sz w:val="24"/>
        </w:rPr>
        <w:sectPr>
          <w:type w:val="continuous"/>
          <w:pgSz w:w="11900" w:h="16840"/>
          <w:pgMar w:top="1220" w:bottom="280" w:left="620" w:right="640"/>
          <w:cols w:num="2" w:equalWidth="0">
            <w:col w:w="3926" w:space="879"/>
            <w:col w:w="5835"/>
          </w:cols>
        </w:sectPr>
      </w:pPr>
    </w:p>
    <w:p>
      <w:pPr>
        <w:pStyle w:val="BodyText"/>
        <w:spacing w:before="6"/>
        <w:rPr>
          <w:sz w:val="10"/>
        </w:rPr>
      </w:pPr>
    </w:p>
    <w:p>
      <w:pPr>
        <w:spacing w:line="134" w:lineRule="exact" w:before="0"/>
        <w:ind w:left="407" w:right="0" w:firstLine="0"/>
        <w:jc w:val="center"/>
        <w:rPr>
          <w:sz w:val="12"/>
        </w:rPr>
      </w:pPr>
      <w:r>
        <w:rPr>
          <w:sz w:val="12"/>
        </w:rPr>
        <w:t>Index</w:t>
      </w:r>
    </w:p>
    <w:p>
      <w:pPr>
        <w:spacing w:line="134" w:lineRule="exact" w:before="0"/>
        <w:ind w:left="219" w:right="302" w:firstLine="0"/>
        <w:jc w:val="center"/>
        <w:rPr>
          <w:sz w:val="12"/>
        </w:rPr>
      </w:pPr>
      <w:r>
        <w:rPr/>
        <w:pict>
          <v:line style="position:absolute;mso-position-horizontal-relative:page;mso-position-vertical-relative:paragraph;z-index:15982080" from="56.472999pt,3.442905pt" to="52.139999pt,3.442905pt" stroked="true" strokeweight=".5pt" strokecolor="#000000">
            <v:stroke dashstyle="solid"/>
            <w10:wrap type="none"/>
          </v:line>
        </w:pict>
      </w:r>
      <w:r>
        <w:rPr>
          <w:sz w:val="12"/>
        </w:rPr>
        <w:t>65</w:t>
      </w:r>
    </w:p>
    <w:p>
      <w:pPr>
        <w:pStyle w:val="BodyText"/>
        <w:rPr>
          <w:sz w:val="12"/>
        </w:rPr>
      </w:pPr>
    </w:p>
    <w:p>
      <w:pPr>
        <w:pStyle w:val="BodyText"/>
        <w:spacing w:before="1"/>
        <w:rPr>
          <w:sz w:val="17"/>
        </w:rPr>
      </w:pPr>
    </w:p>
    <w:p>
      <w:pPr>
        <w:spacing w:before="0"/>
        <w:ind w:left="219" w:right="302" w:firstLine="0"/>
        <w:jc w:val="center"/>
        <w:rPr>
          <w:sz w:val="12"/>
        </w:rPr>
      </w:pPr>
      <w:r>
        <w:rPr/>
        <w:pict>
          <v:line style="position:absolute;mso-position-horizontal-relative:page;mso-position-vertical-relative:paragraph;z-index:15984128" from="56.472999pt,3.96936pt" to="52.139999pt,3.96936pt" stroked="true" strokeweight=".5pt" strokecolor="#000000">
            <v:stroke dashstyle="solid"/>
            <w10:wrap type="none"/>
          </v:line>
        </w:pict>
      </w:r>
      <w:r>
        <w:rPr>
          <w:sz w:val="12"/>
        </w:rPr>
        <w:t>60</w:t>
      </w:r>
    </w:p>
    <w:p>
      <w:pPr>
        <w:pStyle w:val="BodyText"/>
        <w:rPr>
          <w:sz w:val="12"/>
        </w:rPr>
      </w:pPr>
    </w:p>
    <w:p>
      <w:pPr>
        <w:pStyle w:val="BodyText"/>
        <w:spacing w:before="3"/>
        <w:rPr>
          <w:sz w:val="17"/>
        </w:rPr>
      </w:pPr>
    </w:p>
    <w:p>
      <w:pPr>
        <w:spacing w:before="0"/>
        <w:ind w:left="219" w:right="302" w:firstLine="0"/>
        <w:jc w:val="center"/>
        <w:rPr>
          <w:sz w:val="12"/>
        </w:rPr>
      </w:pPr>
      <w:r>
        <w:rPr/>
        <w:pict>
          <v:line style="position:absolute;mso-position-horizontal-relative:page;mso-position-vertical-relative:paragraph;z-index:15982592" from="56.472999pt,3.171558pt" to="52.139999pt,3.171558pt" stroked="true" strokeweight=".5pt" strokecolor="#000000">
            <v:stroke dashstyle="solid"/>
            <w10:wrap type="none"/>
          </v:line>
        </w:pict>
      </w:r>
      <w:r>
        <w:rPr>
          <w:sz w:val="12"/>
        </w:rPr>
        <w:t>55</w:t>
      </w:r>
    </w:p>
    <w:p>
      <w:pPr>
        <w:pStyle w:val="BodyText"/>
        <w:rPr>
          <w:sz w:val="12"/>
        </w:rPr>
      </w:pPr>
    </w:p>
    <w:p>
      <w:pPr>
        <w:pStyle w:val="BodyText"/>
        <w:rPr>
          <w:sz w:val="12"/>
        </w:rPr>
      </w:pPr>
    </w:p>
    <w:p>
      <w:pPr>
        <w:spacing w:before="74"/>
        <w:ind w:left="219" w:right="302" w:firstLine="0"/>
        <w:jc w:val="center"/>
        <w:rPr>
          <w:sz w:val="12"/>
        </w:rPr>
      </w:pPr>
      <w:r>
        <w:rPr/>
        <w:pict>
          <v:line style="position:absolute;mso-position-horizontal-relative:page;mso-position-vertical-relative:paragraph;z-index:15984640" from="56.472999pt,7.447558pt" to="52.139999pt,7.447558pt" stroked="true" strokeweight=".5pt" strokecolor="#000000">
            <v:stroke dashstyle="solid"/>
            <w10:wrap type="none"/>
          </v:line>
        </w:pict>
      </w:r>
      <w:r>
        <w:rPr>
          <w:sz w:val="12"/>
        </w:rPr>
        <w:t>50</w:t>
      </w:r>
    </w:p>
    <w:p>
      <w:pPr>
        <w:pStyle w:val="BodyText"/>
        <w:rPr>
          <w:sz w:val="12"/>
        </w:rPr>
      </w:pPr>
    </w:p>
    <w:p>
      <w:pPr>
        <w:pStyle w:val="BodyText"/>
        <w:spacing w:before="1"/>
        <w:rPr>
          <w:sz w:val="17"/>
        </w:rPr>
      </w:pPr>
    </w:p>
    <w:p>
      <w:pPr>
        <w:spacing w:before="0"/>
        <w:ind w:left="219" w:right="302" w:firstLine="0"/>
        <w:jc w:val="center"/>
        <w:rPr>
          <w:sz w:val="12"/>
        </w:rPr>
      </w:pPr>
      <w:r>
        <w:rPr/>
        <w:pict>
          <v:line style="position:absolute;mso-position-horizontal-relative:page;mso-position-vertical-relative:paragraph;z-index:15983104" from="56.472999pt,3.073558pt" to="52.139999pt,3.073558pt" stroked="true" strokeweight=".5pt" strokecolor="#000000">
            <v:stroke dashstyle="solid"/>
            <w10:wrap type="none"/>
          </v:line>
        </w:pict>
      </w:r>
      <w:r>
        <w:rPr>
          <w:sz w:val="12"/>
        </w:rPr>
        <w:t>45</w:t>
      </w:r>
    </w:p>
    <w:p>
      <w:pPr>
        <w:pStyle w:val="BodyText"/>
        <w:rPr>
          <w:sz w:val="12"/>
        </w:rPr>
      </w:pPr>
    </w:p>
    <w:p>
      <w:pPr>
        <w:pStyle w:val="BodyText"/>
        <w:spacing w:before="1"/>
        <w:rPr>
          <w:sz w:val="17"/>
        </w:rPr>
      </w:pPr>
    </w:p>
    <w:p>
      <w:pPr>
        <w:spacing w:before="0"/>
        <w:ind w:left="219" w:right="302" w:firstLine="0"/>
        <w:jc w:val="center"/>
        <w:rPr>
          <w:sz w:val="12"/>
        </w:rPr>
      </w:pPr>
      <w:r>
        <w:rPr/>
        <w:pict>
          <v:line style="position:absolute;mso-position-horizontal-relative:page;mso-position-vertical-relative:paragraph;z-index:15985152" from="56.472999pt,3.400566pt" to="52.139999pt,3.400566pt" stroked="true" strokeweight=".5pt" strokecolor="#000000">
            <v:stroke dashstyle="solid"/>
            <w10:wrap type="none"/>
          </v:line>
        </w:pict>
      </w:r>
      <w:r>
        <w:rPr>
          <w:sz w:val="12"/>
        </w:rPr>
        <w:t>40</w:t>
      </w:r>
    </w:p>
    <w:p>
      <w:pPr>
        <w:pStyle w:val="BodyText"/>
        <w:rPr>
          <w:sz w:val="12"/>
        </w:rPr>
      </w:pPr>
    </w:p>
    <w:p>
      <w:pPr>
        <w:pStyle w:val="BodyText"/>
        <w:spacing w:before="1"/>
        <w:rPr>
          <w:sz w:val="17"/>
        </w:rPr>
      </w:pPr>
    </w:p>
    <w:p>
      <w:pPr>
        <w:spacing w:before="0"/>
        <w:ind w:left="219" w:right="302" w:firstLine="0"/>
        <w:jc w:val="center"/>
        <w:rPr>
          <w:sz w:val="12"/>
        </w:rPr>
      </w:pPr>
      <w:r>
        <w:rPr/>
        <w:pict>
          <v:line style="position:absolute;mso-position-horizontal-relative:page;mso-position-vertical-relative:paragraph;z-index:15983616" from="56.472999pt,3.726566pt" to="52.139999pt,3.726566pt" stroked="true" strokeweight=".5pt" strokecolor="#000000">
            <v:stroke dashstyle="solid"/>
            <w10:wrap type="none"/>
          </v:line>
        </w:pict>
      </w:r>
      <w:r>
        <w:rPr>
          <w:sz w:val="12"/>
        </w:rPr>
        <w:t>35</w:t>
      </w:r>
    </w:p>
    <w:p>
      <w:pPr>
        <w:spacing w:line="213" w:lineRule="auto" w:before="11"/>
        <w:ind w:left="1781" w:right="162" w:hanging="363"/>
        <w:jc w:val="left"/>
        <w:rPr>
          <w:sz w:val="12"/>
        </w:rPr>
      </w:pPr>
      <w:r>
        <w:rPr/>
        <w:br w:type="column"/>
      </w:r>
      <w:r>
        <w:rPr>
          <w:sz w:val="12"/>
        </w:rPr>
        <w:t>Percentage change, three months on previous three months</w:t>
      </w:r>
    </w:p>
    <w:p>
      <w:pPr>
        <w:spacing w:line="123" w:lineRule="exact" w:before="0"/>
        <w:ind w:left="3079" w:right="0" w:firstLine="0"/>
        <w:jc w:val="left"/>
        <w:rPr>
          <w:sz w:val="12"/>
        </w:rPr>
      </w:pPr>
      <w:r>
        <w:rPr/>
        <w:pict>
          <v:line style="position:absolute;mso-position-horizontal-relative:page;mso-position-vertical-relative:paragraph;z-index:15986176" from="215.640007pt,3.369461pt" to="211.307007pt,3.369461pt" stroked="true" strokeweight=".5pt" strokecolor="#000000">
            <v:stroke dashstyle="solid"/>
            <w10:wrap type="none"/>
          </v:line>
        </w:pict>
      </w:r>
      <w:r>
        <w:rPr>
          <w:sz w:val="12"/>
        </w:rPr>
        <w:t>3</w:t>
      </w:r>
    </w:p>
    <w:p>
      <w:pPr>
        <w:spacing w:line="208" w:lineRule="auto" w:before="39"/>
        <w:ind w:left="136" w:right="1715" w:hanging="95"/>
        <w:jc w:val="left"/>
        <w:rPr>
          <w:sz w:val="12"/>
        </w:rPr>
      </w:pPr>
      <w:r>
        <w:rPr/>
        <w:pict>
          <v:group style="position:absolute;margin-left:61.014999pt;margin-top:14.821402pt;width:144.4pt;height:95.5pt;mso-position-horizontal-relative:page;mso-position-vertical-relative:paragraph;z-index:15981568" coordorigin="1220,296" coordsize="2888,1910">
            <v:shape style="position:absolute;left:1230;top:1161;width:125;height:208" coordorigin="1230,1161" coordsize="125,208" path="m1230,1354l1265,1369m1265,1369l1288,1206m1288,1206l1323,1161m1323,1161l1355,1221e" filled="false" stroked="true" strokeweight="1pt" strokecolor="#006caa">
              <v:path arrowok="t"/>
              <v:stroke dashstyle="solid"/>
            </v:shape>
            <v:line style="position:absolute" from="1368,1211" to="1368,1469" stroked="true" strokeweight="2.25pt" strokecolor="#006caa">
              <v:stroke dashstyle="solid"/>
            </v:line>
            <v:shape style="position:absolute;left:1380;top:851;width:533;height:933" coordorigin="1380,851" coordsize="533,933" path="m1380,1459l1413,1531m1413,1531l1435,1591m1435,1591l1470,1784m1470,1784l1505,1561m1505,1561l1528,1414m1528,1414l1560,1369m1560,1369l1595,1146m1595,1146l1618,1309m1618,1309l1653,1221m1653,1221l1675,1089m1675,1089l1708,1191m1708,1191l1743,1134m1743,1134l1765,1059m1765,1059l1800,1014m1800,1014l1835,1146m1835,1146l1858,1014m1858,1014l1890,956m1890,956l1913,851e" filled="false" stroked="true" strokeweight="1pt" strokecolor="#006caa">
              <v:path arrowok="t"/>
              <v:stroke dashstyle="solid"/>
            </v:shape>
            <v:line style="position:absolute" from="1930,841" to="1930,1201" stroked="true" strokeweight="2.75pt" strokecolor="#006caa">
              <v:stroke dashstyle="solid"/>
            </v:line>
            <v:shape style="position:absolute;left:1947;top:393;width:148;height:798" coordorigin="1948,394" coordsize="148,798" path="m1948,1191l1983,941m1983,941l2005,956m2005,956l2038,851m2038,851l2073,541m2073,541l2095,394e" filled="false" stroked="true" strokeweight="1pt" strokecolor="#006caa">
              <v:path arrowok="t"/>
              <v:stroke dashstyle="solid"/>
            </v:shape>
            <v:line style="position:absolute" from="2085,395" to="2140,395" stroked="true" strokeweight="1.125pt" strokecolor="#006caa">
              <v:stroke dashstyle="solid"/>
            </v:line>
            <v:line style="position:absolute" from="2130,394" to="2153,439" stroked="true" strokeweight="1pt" strokecolor="#006caa">
              <v:stroke dashstyle="solid"/>
            </v:line>
            <v:line style="position:absolute" from="2143,440" to="2198,440" stroked="true" strokeweight="1.125pt" strokecolor="#006caa">
              <v:stroke dashstyle="solid"/>
            </v:line>
            <v:line style="position:absolute" from="2204,429" to="2204,876" stroked="true" strokeweight="2.625pt" strokecolor="#006caa">
              <v:stroke dashstyle="solid"/>
            </v:line>
            <v:shape style="position:absolute;left:2220;top:748;width:500;height:710" coordorigin="2220,749" coordsize="500,710" path="m2220,866l2243,794m2243,794l2278,749m2278,749l2313,956m2313,956l2335,794m2335,794l2368,896m2368,896l2390,926m2390,926l2425,1161m2425,1161l2460,1281m2460,1281l2483,1266m2483,1266l2518,1146m2518,1146l2550,1324m2550,1324l2573,1384m2573,1384l2608,1459m2608,1459l2630,1296m2630,1296l2665,1324m2665,1324l2698,1354m2698,1354l2720,1324e" filled="false" stroked="true" strokeweight="1pt" strokecolor="#006caa">
              <v:path arrowok="t"/>
              <v:stroke dashstyle="solid"/>
            </v:shape>
            <v:line style="position:absolute" from="2710,1325" to="2765,1325" stroked="true" strokeweight="1.125pt" strokecolor="#006caa">
              <v:stroke dashstyle="solid"/>
            </v:line>
            <v:shape style="position:absolute;left:2755;top:911;width:388;height:710" coordorigin="2755,911" coordsize="388,710" path="m2755,1324l2790,1621m2790,1621l2813,941m2813,941l2845,911m2845,911l2870,941m2870,941l2903,911m2903,911l2938,941m2938,941l2960,956m2960,956l2995,1089m2995,1089l3028,956m3028,956l3050,1059m3050,1059l3085,1206m3085,1206l3108,1104m3108,1104l3143,1146e" filled="false" stroked="true" strokeweight="1pt" strokecolor="#006caa">
              <v:path arrowok="t"/>
              <v:stroke dashstyle="solid"/>
            </v:shape>
            <v:line style="position:absolute" from="3133,1148" to="3185,1148" stroked="true" strokeweight="1.125pt" strokecolor="#006caa">
              <v:stroke dashstyle="solid"/>
            </v:line>
            <v:shape style="position:absolute;left:3175;top:1103;width:93;height:163" coordorigin="3175,1104" coordsize="93,163" path="m3175,1146l3200,1104m3200,1104l3233,1266m3233,1266l3268,1176e" filled="false" stroked="true" strokeweight="1pt" strokecolor="#006caa">
              <v:path arrowok="t"/>
              <v:stroke dashstyle="solid"/>
            </v:shape>
            <v:line style="position:absolute" from="3279,959" to="3279,1186" stroked="true" strokeweight="2.125pt" strokecolor="#006caa">
              <v:stroke dashstyle="solid"/>
            </v:line>
            <v:line style="position:absolute" from="3290,969" to="3325,896" stroked="true" strokeweight="1pt" strokecolor="#006caa">
              <v:stroke dashstyle="solid"/>
            </v:line>
            <v:line style="position:absolute" from="3337,886" to="3337,1129" stroked="true" strokeweight="2.125pt" strokecolor="#006caa">
              <v:stroke dashstyle="solid"/>
            </v:line>
            <v:shape style="position:absolute;left:3347;top:1118;width:273;height:783" coordorigin="3348,1119" coordsize="273,783" path="m3348,1119l3380,1206m3380,1206l3415,1339m3415,1339l3438,1236m3438,1236l3473,1501m3473,1501l3505,1561m3505,1561l3528,1664m3528,1664l3563,1901m3563,1901l3585,1886m3585,1886l3620,1754e" filled="false" stroked="true" strokeweight="1pt" strokecolor="#006caa">
              <v:path arrowok="t"/>
              <v:stroke dashstyle="solid"/>
            </v:shape>
            <v:line style="position:absolute" from="3638,1744" to="3638,2206" stroked="true" strokeweight="2.75pt" strokecolor="#006caa">
              <v:stroke dashstyle="solid"/>
            </v:line>
            <v:shape style="position:absolute;left:3655;top:1251;width:238;height:945" coordorigin="3655,1251" coordsize="238,945" path="m3655,2196l3678,2181m3678,2181l3710,2019m3710,2019l3745,1871m3745,1871l3768,1724m3768,1724l3803,1561m3803,1561l3825,1501m3825,1501l3858,1369m3858,1369l3893,1251e" filled="false" stroked="true" strokeweight="1pt" strokecolor="#006caa">
              <v:path arrowok="t"/>
              <v:stroke dashstyle="solid"/>
            </v:shape>
            <v:line style="position:absolute" from="3904,1019" to="3904,1261" stroked="true" strokeweight="2.125pt" strokecolor="#006caa">
              <v:stroke dashstyle="solid"/>
            </v:line>
            <v:shape style="position:absolute;left:3915;top:956;width:93;height:103" coordorigin="3915,956" coordsize="93,103" path="m3915,1029l3950,1044m3950,1044l3983,956m3983,956l4008,1059e" filled="false" stroked="true" strokeweight="1pt" strokecolor="#006caa">
              <v:path arrowok="t"/>
              <v:stroke dashstyle="solid"/>
            </v:shape>
            <v:line style="position:absolute" from="3998,1060" to="4050,1060" stroked="true" strokeweight="1.125pt" strokecolor="#006caa">
              <v:stroke dashstyle="solid"/>
            </v:line>
            <v:line style="position:absolute" from="4052,769" to="4052,1069" stroked="true" strokeweight="2.125pt" strokecolor="#006caa">
              <v:stroke dashstyle="solid"/>
            </v:line>
            <v:line style="position:absolute" from="4080,769" to="4080,1201" stroked="true" strokeweight="2.75pt" strokecolor="#006caa">
              <v:stroke dashstyle="solid"/>
            </v:line>
            <v:shape style="position:absolute;left:1220;top:1048;width:203;height:420" type="#_x0000_t75" stroked="false">
              <v:imagedata r:id="rId89" o:title=""/>
            </v:shape>
            <v:shape style="position:absolute;left:1412;top:1028;width:93;height:430" coordorigin="1413,1029" coordsize="93,430" path="m1413,1459l1435,1029m1435,1029l1470,1221m1470,1221l1505,1281e" filled="false" stroked="true" strokeweight="1pt" strokecolor="#de0035">
              <v:path arrowok="t"/>
              <v:stroke dashstyle="solid"/>
            </v:shape>
            <v:line style="position:absolute" from="1517,1271" to="1517,1541" stroked="true" strokeweight="2.125pt" strokecolor="#de0035">
              <v:stroke dashstyle="solid"/>
            </v:line>
            <v:line style="position:absolute" from="1528,1531" to="1560,1501" stroked="true" strokeweight="1pt" strokecolor="#de0035">
              <v:stroke dashstyle="solid"/>
            </v:line>
            <v:line style="position:absolute" from="1550,1503" to="1605,1503" stroked="true" strokeweight="1.125pt" strokecolor="#de0035">
              <v:stroke dashstyle="solid"/>
            </v:line>
            <v:line style="position:absolute" from="1595,1501" to="1618,1059" stroked="true" strokeweight="1pt" strokecolor="#de0035">
              <v:stroke dashstyle="solid"/>
            </v:line>
            <v:line style="position:absolute" from="1635,649" to="1635,1069" stroked="true" strokeweight="2.75pt" strokecolor="#de0035">
              <v:stroke dashstyle="solid"/>
            </v:line>
            <v:line style="position:absolute" from="1653,659" to="1675,481" stroked="true" strokeweight="1pt" strokecolor="#de0035">
              <v:stroke dashstyle="solid"/>
            </v:line>
            <v:line style="position:absolute" from="1692,471" to="1692,951" stroked="true" strokeweight="2.625pt" strokecolor="#de0035">
              <v:stroke dashstyle="solid"/>
            </v:line>
            <v:line style="position:absolute" from="1725,931" to="1725,1469" stroked="true" strokeweight="2.75pt" strokecolor="#de0035">
              <v:stroke dashstyle="solid"/>
            </v:line>
            <v:shape style="position:absolute;left:1732;top:1136;width:190;height:658" type="#_x0000_t75" stroked="false">
              <v:imagedata r:id="rId90" o:title=""/>
            </v:shape>
            <v:line style="position:absolute" from="1930,621" to="1930,1156" stroked="true" strokeweight="2.75pt" strokecolor="#de0035">
              <v:stroke dashstyle="solid"/>
            </v:line>
            <v:shape style="position:absolute;left:1947;top:306;width:183;height:458" coordorigin="1948,306" coordsize="183,458" path="m1948,631l1983,379m1983,379l2005,306m2005,306l2038,439m2038,439l2073,469m2073,469l2095,616m2095,616l2130,764e" filled="false" stroked="true" strokeweight="1pt" strokecolor="#de0035">
              <v:path arrowok="t"/>
              <v:stroke dashstyle="solid"/>
            </v:shape>
            <v:line style="position:absolute" from="2142,754" to="2142,994" stroked="true" strokeweight="2.125pt" strokecolor="#de0035">
              <v:stroke dashstyle="solid"/>
            </v:line>
            <v:shape style="position:absolute;left:2152;top:601;width:125;height:383" coordorigin="2153,601" coordsize="125,383" path="m2153,984l2188,779m2188,779l2220,704m2220,704l2243,601m2243,601l2278,866e" filled="false" stroked="true" strokeweight="1pt" strokecolor="#de0035">
              <v:path arrowok="t"/>
              <v:stroke dashstyle="solid"/>
            </v:shape>
            <v:line style="position:absolute" from="2295,856" to="2295,1216" stroked="true" strokeweight="2.75pt" strokecolor="#de0035">
              <v:stroke dashstyle="solid"/>
            </v:line>
            <v:line style="position:absolute" from="2324,1196" to="2324,1511" stroked="true" strokeweight="2.125pt" strokecolor="#de0035">
              <v:stroke dashstyle="solid"/>
            </v:line>
            <v:shape style="position:absolute;left:2335;top:1146;width:148;height:563" coordorigin="2335,1146" coordsize="148,563" path="m2335,1501l2368,1709m2368,1709l2390,1516m2390,1516l2425,1384m2425,1384l2460,1146m2460,1146l2483,1206e" filled="false" stroked="true" strokeweight="1pt" strokecolor="#de0035">
              <v:path arrowok="t"/>
              <v:stroke dashstyle="solid"/>
            </v:shape>
            <v:line style="position:absolute" from="2473,1208" to="2528,1208" stroked="true" strokeweight="1.125pt" strokecolor="#de0035">
              <v:stroke dashstyle="solid"/>
            </v:line>
            <v:shape style="position:absolute;left:2517;top:1206;width:180;height:265" coordorigin="2518,1206" coordsize="180,265" path="m2518,1206l2550,1296m2550,1296l2573,1299m2573,1296l2608,1399m2608,1399l2630,1471m2630,1471l2665,1429m2665,1429l2698,1444e" filled="false" stroked="true" strokeweight="1pt" strokecolor="#de0035">
              <v:path arrowok="t"/>
              <v:stroke dashstyle="solid"/>
            </v:shape>
            <v:line style="position:absolute" from="2709,1211" to="2709,1454" stroked="true" strokeweight="2.125pt" strokecolor="#de0035">
              <v:stroke dashstyle="solid"/>
            </v:line>
            <v:shape style="position:absolute;left:2720;top:1221;width:93;height:400" coordorigin="2720,1221" coordsize="93,400" path="m2720,1221l2755,1471m2755,1471l2790,1429m2790,1429l2813,1621e" filled="false" stroked="true" strokeweight="1pt" strokecolor="#de0035">
              <v:path arrowok="t"/>
              <v:stroke dashstyle="solid"/>
            </v:shape>
            <v:line style="position:absolute" from="2829,1299" to="2829,1631" stroked="true" strokeweight="2.625pt" strokecolor="#de0035">
              <v:stroke dashstyle="solid"/>
            </v:line>
            <v:shape style="position:absolute;left:2845;top:926;width:240;height:383" coordorigin="2845,926" coordsize="240,383" path="m2845,1309l2870,1251m2870,1251l2903,1176m2903,1176l2938,1266m2938,1266l2960,1161m2960,1161l2995,1119m2995,1119l3028,926m3028,926l3050,941m3050,941l3085,984e" filled="false" stroked="true" strokeweight="1pt" strokecolor="#de0035">
              <v:path arrowok="t"/>
              <v:stroke dashstyle="solid"/>
            </v:shape>
            <v:line style="position:absolute" from="3097,974" to="3097,1306" stroked="true" strokeweight="2.125pt" strokecolor="#de0035">
              <v:stroke dashstyle="solid"/>
            </v:line>
            <v:shape style="position:absolute;left:3107;top:1103;width:160;height:473" coordorigin="3108,1104" coordsize="160,473" path="m3108,1296l3143,1576m3143,1576l3175,1531m3175,1531l3200,1309m3200,1309l3233,1104m3233,1104l3268,1146e" filled="false" stroked="true" strokeweight="1pt" strokecolor="#de0035">
              <v:path arrowok="t"/>
              <v:stroke dashstyle="solid"/>
            </v:shape>
            <v:line style="position:absolute" from="3279,1136" to="3279,1394" stroked="true" strokeweight="2.125pt" strokecolor="#de0035">
              <v:stroke dashstyle="solid"/>
            </v:line>
            <v:shape style="position:absolute;left:3290;top:733;width:750;height:1093" coordorigin="3290,734" coordsize="750,1093" path="m3290,1384l3325,1429m3325,1429l3348,1414m3348,1414l3380,1324m3380,1324l3415,1236m3415,1236l3438,1239m3438,1236l3473,1119m3473,1119l3505,1251m3505,1251l3528,1221m3528,1221l3563,1324m3563,1324l3585,1266m3585,1266l3620,1486m3620,1486l3655,1634m3655,1634l3678,1826m3678,1826l3710,1811m3710,1811l3745,1769m3745,1769l3768,1724m3768,1724l3803,1576m3803,1576l3825,1444m3825,1444l3858,1221m3858,1221l3893,1236m3893,1236l3915,1089m3915,1089l3950,999m3950,999l3983,734m3983,734l4008,749m4008,749l4040,836e" filled="false" stroked="true" strokeweight="1pt" strokecolor="#de0035">
              <v:path arrowok="t"/>
              <v:stroke dashstyle="solid"/>
            </v:shape>
            <v:line style="position:absolute" from="4052,826" to="4052,1069" stroked="true" strokeweight="2.125pt" strokecolor="#de0035">
              <v:stroke dashstyle="solid"/>
            </v:line>
            <v:line style="position:absolute" from="1232,1382" to="4105,1382" stroked="true" strokeweight=".5pt" strokecolor="#000000">
              <v:stroke dashstyle="solid"/>
            </v:line>
            <w10:wrap type="none"/>
          </v:group>
        </w:pict>
      </w:r>
      <w:r>
        <w:rPr>
          <w:sz w:val="12"/>
        </w:rPr>
        <w:t>Manufacturing output growth (right-hand scale)</w:t>
      </w:r>
    </w:p>
    <w:p>
      <w:pPr>
        <w:spacing w:before="55"/>
        <w:ind w:left="3079" w:right="0" w:firstLine="0"/>
        <w:jc w:val="left"/>
        <w:rPr>
          <w:sz w:val="12"/>
        </w:rPr>
      </w:pPr>
      <w:r>
        <w:rPr/>
        <w:pict>
          <v:line style="position:absolute;mso-position-horizontal-relative:page;mso-position-vertical-relative:paragraph;z-index:15988224" from="215.640007pt,7.218185pt" to="211.307007pt,7.218185pt" stroked="true" strokeweight=".5pt" strokecolor="#000000">
            <v:stroke dashstyle="solid"/>
            <w10:wrap type="none"/>
          </v:line>
        </w:pict>
      </w:r>
      <w:r>
        <w:rPr>
          <w:sz w:val="12"/>
        </w:rPr>
        <w:t>2</w:t>
      </w:r>
    </w:p>
    <w:p>
      <w:pPr>
        <w:pStyle w:val="BodyText"/>
        <w:rPr>
          <w:sz w:val="12"/>
        </w:rPr>
      </w:pPr>
    </w:p>
    <w:p>
      <w:pPr>
        <w:pStyle w:val="BodyText"/>
        <w:spacing w:before="3"/>
        <w:rPr>
          <w:sz w:val="17"/>
        </w:rPr>
      </w:pPr>
    </w:p>
    <w:p>
      <w:pPr>
        <w:spacing w:before="1"/>
        <w:ind w:left="3079" w:right="0" w:firstLine="0"/>
        <w:jc w:val="left"/>
        <w:rPr>
          <w:sz w:val="12"/>
        </w:rPr>
      </w:pPr>
      <w:r>
        <w:rPr/>
        <w:pict>
          <v:line style="position:absolute;mso-position-horizontal-relative:page;mso-position-vertical-relative:paragraph;z-index:15986688" from="215.640007pt,3.720383pt" to="211.307007pt,3.720383pt" stroked="true" strokeweight=".5pt" strokecolor="#000000">
            <v:stroke dashstyle="solid"/>
            <w10:wrap type="none"/>
          </v:line>
        </w:pict>
      </w:r>
      <w:r>
        <w:rPr>
          <w:sz w:val="12"/>
        </w:rPr>
        <w:t>1</w:t>
      </w:r>
    </w:p>
    <w:p>
      <w:pPr>
        <w:pStyle w:val="BodyText"/>
        <w:rPr>
          <w:sz w:val="11"/>
        </w:rPr>
      </w:pPr>
    </w:p>
    <w:p>
      <w:pPr>
        <w:spacing w:before="0"/>
        <w:ind w:left="2929" w:right="0" w:firstLine="0"/>
        <w:jc w:val="left"/>
        <w:rPr>
          <w:sz w:val="16"/>
        </w:rPr>
      </w:pPr>
      <w:r>
        <w:rPr>
          <w:sz w:val="16"/>
        </w:rPr>
        <w:t>+</w:t>
      </w:r>
    </w:p>
    <w:p>
      <w:pPr>
        <w:spacing w:before="39"/>
        <w:ind w:left="3079" w:right="0" w:firstLine="0"/>
        <w:jc w:val="left"/>
        <w:rPr>
          <w:sz w:val="12"/>
        </w:rPr>
      </w:pPr>
      <w:r>
        <w:rPr/>
        <w:pict>
          <v:line style="position:absolute;mso-position-horizontal-relative:page;mso-position-vertical-relative:paragraph;z-index:15988736" from="215.640007pt,6.196383pt" to="211.307007pt,6.196383pt" stroked="true" strokeweight=".5pt" strokecolor="#000000">
            <v:stroke dashstyle="solid"/>
            <w10:wrap type="none"/>
          </v:line>
        </w:pict>
      </w:r>
      <w:r>
        <w:rPr>
          <w:sz w:val="12"/>
        </w:rPr>
        <w:t>0</w:t>
      </w:r>
    </w:p>
    <w:p>
      <w:pPr>
        <w:spacing w:before="37"/>
        <w:ind w:left="2939" w:right="0" w:firstLine="0"/>
        <w:jc w:val="left"/>
        <w:rPr>
          <w:sz w:val="16"/>
        </w:rPr>
      </w:pPr>
      <w:r>
        <w:rPr>
          <w:sz w:val="16"/>
        </w:rPr>
        <w:t>–</w:t>
      </w:r>
    </w:p>
    <w:p>
      <w:pPr>
        <w:spacing w:before="113"/>
        <w:ind w:left="3079" w:right="0" w:firstLine="0"/>
        <w:jc w:val="left"/>
        <w:rPr>
          <w:sz w:val="12"/>
        </w:rPr>
      </w:pPr>
      <w:r>
        <w:rPr/>
        <w:pict>
          <v:line style="position:absolute;mso-position-horizontal-relative:page;mso-position-vertical-relative:paragraph;z-index:15987200" from="215.640007pt,9.222383pt" to="211.307007pt,9.222383pt" stroked="true" strokeweight=".5pt" strokecolor="#000000">
            <v:stroke dashstyle="solid"/>
            <w10:wrap type="none"/>
          </v:line>
        </w:pict>
      </w:r>
      <w:r>
        <w:rPr>
          <w:sz w:val="12"/>
        </w:rPr>
        <w:t>1</w:t>
      </w:r>
    </w:p>
    <w:p>
      <w:pPr>
        <w:tabs>
          <w:tab w:pos="3139" w:val="right" w:leader="none"/>
        </w:tabs>
        <w:spacing w:line="163" w:lineRule="auto" w:before="304"/>
        <w:ind w:left="1129" w:right="0" w:firstLine="0"/>
        <w:jc w:val="left"/>
        <w:rPr>
          <w:sz w:val="12"/>
        </w:rPr>
      </w:pPr>
      <w:r>
        <w:rPr/>
        <w:pict>
          <v:line style="position:absolute;mso-position-horizontal-relative:page;mso-position-vertical-relative:paragraph;z-index:15989248" from="215.640007pt,20.606785pt" to="211.307007pt,20.606785pt" stroked="true" strokeweight=".5pt" strokecolor="#000000">
            <v:stroke dashstyle="solid"/>
            <w10:wrap type="none"/>
          </v:line>
        </w:pict>
      </w:r>
      <w:r>
        <w:rPr>
          <w:sz w:val="12"/>
        </w:rPr>
        <w:t>CIPS purchasing managers’ index</w:t>
        <w:tab/>
      </w:r>
      <w:r>
        <w:rPr>
          <w:position w:val="-4"/>
          <w:sz w:val="12"/>
        </w:rPr>
        <w:t>2</w:t>
      </w:r>
    </w:p>
    <w:p>
      <w:pPr>
        <w:spacing w:line="113" w:lineRule="exact" w:before="0"/>
        <w:ind w:left="1189" w:right="0" w:firstLine="0"/>
        <w:jc w:val="left"/>
        <w:rPr>
          <w:sz w:val="12"/>
        </w:rPr>
      </w:pPr>
      <w:r>
        <w:rPr>
          <w:sz w:val="12"/>
        </w:rPr>
        <w:t>of manufacturing activity</w:t>
      </w:r>
    </w:p>
    <w:p>
      <w:pPr>
        <w:spacing w:line="137" w:lineRule="exact" w:before="0"/>
        <w:ind w:left="1189" w:right="0" w:firstLine="0"/>
        <w:jc w:val="left"/>
        <w:rPr>
          <w:sz w:val="12"/>
        </w:rPr>
      </w:pPr>
      <w:r>
        <w:rPr>
          <w:sz w:val="12"/>
        </w:rPr>
        <w:t>(left-hand scale)</w:t>
      </w:r>
    </w:p>
    <w:p>
      <w:pPr>
        <w:pStyle w:val="BodyText"/>
        <w:spacing w:before="6"/>
        <w:rPr>
          <w:sz w:val="9"/>
        </w:rPr>
      </w:pPr>
    </w:p>
    <w:p>
      <w:pPr>
        <w:spacing w:before="0"/>
        <w:ind w:left="3079" w:right="0" w:firstLine="0"/>
        <w:jc w:val="left"/>
        <w:rPr>
          <w:sz w:val="12"/>
        </w:rPr>
      </w:pPr>
      <w:r>
        <w:rPr/>
        <w:pict>
          <v:shape style="position:absolute;margin-left:61.903999pt;margin-top:2.058391pt;width:143.4pt;height:2.7pt;mso-position-horizontal-relative:page;mso-position-vertical-relative:paragraph;z-index:15985664" coordorigin="1238,41" coordsize="2868,54" path="m1241,95l4105,95m1238,41l1238,95m1955,41l1955,95m3030,41l3030,95m3747,41l3747,95m1596,41l1596,95m2313,41l2313,95m4105,41l4105,95m2672,41l2672,95m3388,41l3388,95e" filled="false" stroked="true" strokeweight=".5pt" strokecolor="#000000">
            <v:path arrowok="t"/>
            <v:stroke dashstyle="solid"/>
            <w10:wrap type="none"/>
          </v:shape>
        </w:pict>
      </w:r>
      <w:r>
        <w:rPr/>
        <w:pict>
          <v:line style="position:absolute;mso-position-horizontal-relative:page;mso-position-vertical-relative:paragraph;z-index:15987712" from="215.640007pt,4.225391pt" to="211.307007pt,4.225391pt" stroked="true" strokeweight=".5pt" strokecolor="#000000">
            <v:stroke dashstyle="solid"/>
            <w10:wrap type="none"/>
          </v:line>
        </w:pict>
      </w:r>
      <w:r>
        <w:rPr>
          <w:sz w:val="12"/>
        </w:rPr>
        <w:t>3</w:t>
      </w:r>
    </w:p>
    <w:p>
      <w:pPr>
        <w:pStyle w:val="Heading6"/>
        <w:spacing w:line="242" w:lineRule="auto" w:before="4"/>
        <w:ind w:left="237" w:right="288"/>
      </w:pPr>
      <w:r>
        <w:rPr/>
        <w:br w:type="column"/>
      </w:r>
      <w:r>
        <w:rPr/>
        <w:t>particularly concentrated in the engineering, metals and chemicals sectors. Growth in other sectors remained more subdued, and output was flat or falling in some industries, such as textiles and paper products. The</w:t>
      </w:r>
    </w:p>
    <w:p>
      <w:pPr>
        <w:spacing w:line="242" w:lineRule="auto" w:before="5"/>
        <w:ind w:left="237" w:right="67" w:firstLine="0"/>
        <w:jc w:val="left"/>
        <w:rPr>
          <w:sz w:val="24"/>
        </w:rPr>
      </w:pPr>
      <w:r>
        <w:rPr>
          <w:sz w:val="24"/>
        </w:rPr>
        <w:t>non-manufacturing components of industrial production were also weaker than manufacturing as a whole; output in both the mining and quarrying sector and the utilities sector declined in Q4.</w:t>
      </w:r>
    </w:p>
    <w:p>
      <w:pPr>
        <w:pStyle w:val="BodyText"/>
        <w:spacing w:before="5"/>
        <w:rPr>
          <w:sz w:val="24"/>
        </w:rPr>
      </w:pPr>
    </w:p>
    <w:p>
      <w:pPr>
        <w:spacing w:line="280" w:lineRule="atLeast" w:before="0"/>
        <w:ind w:left="237" w:right="245" w:firstLine="0"/>
        <w:jc w:val="both"/>
        <w:rPr>
          <w:sz w:val="24"/>
        </w:rPr>
      </w:pPr>
      <w:r>
        <w:rPr>
          <w:sz w:val="24"/>
        </w:rPr>
        <w:t>Preliminary estimates suggest that service sector output rose</w:t>
      </w:r>
      <w:r>
        <w:rPr>
          <w:spacing w:val="-5"/>
          <w:sz w:val="24"/>
        </w:rPr>
        <w:t> </w:t>
      </w:r>
      <w:r>
        <w:rPr>
          <w:sz w:val="24"/>
        </w:rPr>
        <w:t>by</w:t>
      </w:r>
      <w:r>
        <w:rPr>
          <w:spacing w:val="-5"/>
          <w:sz w:val="24"/>
        </w:rPr>
        <w:t> </w:t>
      </w:r>
      <w:r>
        <w:rPr>
          <w:sz w:val="24"/>
        </w:rPr>
        <w:t>0.9%</w:t>
      </w:r>
      <w:r>
        <w:rPr>
          <w:spacing w:val="-4"/>
          <w:sz w:val="24"/>
        </w:rPr>
        <w:t> </w:t>
      </w:r>
      <w:r>
        <w:rPr>
          <w:sz w:val="24"/>
        </w:rPr>
        <w:t>in</w:t>
      </w:r>
      <w:r>
        <w:rPr>
          <w:spacing w:val="-5"/>
          <w:sz w:val="24"/>
        </w:rPr>
        <w:t> </w:t>
      </w:r>
      <w:r>
        <w:rPr>
          <w:sz w:val="24"/>
        </w:rPr>
        <w:t>1999</w:t>
      </w:r>
      <w:r>
        <w:rPr>
          <w:spacing w:val="-5"/>
          <w:sz w:val="24"/>
        </w:rPr>
        <w:t> </w:t>
      </w:r>
      <w:r>
        <w:rPr>
          <w:sz w:val="24"/>
        </w:rPr>
        <w:t>Q4,</w:t>
      </w:r>
      <w:r>
        <w:rPr>
          <w:spacing w:val="-4"/>
          <w:sz w:val="24"/>
        </w:rPr>
        <w:t> </w:t>
      </w:r>
      <w:r>
        <w:rPr>
          <w:sz w:val="24"/>
        </w:rPr>
        <w:t>following</w:t>
      </w:r>
      <w:r>
        <w:rPr>
          <w:spacing w:val="-5"/>
          <w:sz w:val="24"/>
        </w:rPr>
        <w:t> </w:t>
      </w:r>
      <w:r>
        <w:rPr>
          <w:sz w:val="24"/>
        </w:rPr>
        <w:t>an</w:t>
      </w:r>
      <w:r>
        <w:rPr>
          <w:spacing w:val="-5"/>
          <w:sz w:val="24"/>
        </w:rPr>
        <w:t> </w:t>
      </w:r>
      <w:r>
        <w:rPr>
          <w:sz w:val="24"/>
        </w:rPr>
        <w:t>increase</w:t>
      </w:r>
      <w:r>
        <w:rPr>
          <w:spacing w:val="-4"/>
          <w:sz w:val="24"/>
        </w:rPr>
        <w:t> </w:t>
      </w:r>
      <w:r>
        <w:rPr>
          <w:sz w:val="24"/>
        </w:rPr>
        <w:t>of</w:t>
      </w:r>
      <w:r>
        <w:rPr>
          <w:spacing w:val="-5"/>
          <w:sz w:val="24"/>
        </w:rPr>
        <w:t> </w:t>
      </w:r>
      <w:r>
        <w:rPr>
          <w:sz w:val="24"/>
        </w:rPr>
        <w:t>0.6% in the previous quarter, with the </w:t>
      </w:r>
      <w:r>
        <w:rPr>
          <w:spacing w:val="-3"/>
          <w:sz w:val="24"/>
        </w:rPr>
        <w:t>level </w:t>
      </w:r>
      <w:r>
        <w:rPr>
          <w:sz w:val="24"/>
        </w:rPr>
        <w:t>of output</w:t>
      </w:r>
      <w:r>
        <w:rPr>
          <w:spacing w:val="-31"/>
          <w:sz w:val="24"/>
        </w:rPr>
        <w:t> </w:t>
      </w:r>
      <w:r>
        <w:rPr>
          <w:sz w:val="24"/>
        </w:rPr>
        <w:t>2.9%</w:t>
      </w:r>
    </w:p>
    <w:p>
      <w:pPr>
        <w:spacing w:after="0" w:line="280" w:lineRule="atLeast"/>
        <w:jc w:val="both"/>
        <w:rPr>
          <w:sz w:val="24"/>
        </w:rPr>
        <w:sectPr>
          <w:type w:val="continuous"/>
          <w:pgSz w:w="11900" w:h="16840"/>
          <w:pgMar w:top="1220" w:bottom="280" w:left="620" w:right="640"/>
          <w:cols w:num="3" w:equalWidth="0">
            <w:col w:w="682" w:space="40"/>
            <w:col w:w="3180" w:space="855"/>
            <w:col w:w="5883"/>
          </w:cols>
        </w:sectPr>
      </w:pPr>
    </w:p>
    <w:p>
      <w:pPr>
        <w:tabs>
          <w:tab w:pos="1095" w:val="left" w:leader="none"/>
          <w:tab w:pos="1457" w:val="left" w:leader="none"/>
          <w:tab w:pos="1800" w:val="left" w:leader="none"/>
          <w:tab w:pos="2162" w:val="left" w:leader="none"/>
          <w:tab w:pos="2542" w:val="left" w:leader="none"/>
          <w:tab w:pos="2880" w:val="left" w:leader="none"/>
          <w:tab w:pos="3215" w:val="left" w:leader="none"/>
        </w:tabs>
        <w:spacing w:line="47" w:lineRule="exact" w:before="0"/>
        <w:ind w:left="640" w:right="0" w:firstLine="0"/>
        <w:jc w:val="left"/>
        <w:rPr>
          <w:sz w:val="12"/>
        </w:rPr>
      </w:pPr>
      <w:r>
        <w:rPr>
          <w:sz w:val="12"/>
        </w:rPr>
        <w:t>1992</w:t>
        <w:tab/>
        <w:t>93</w:t>
        <w:tab/>
        <w:t>94</w:t>
        <w:tab/>
        <w:t>95</w:t>
        <w:tab/>
        <w:t>96</w:t>
        <w:tab/>
        <w:t>97</w:t>
        <w:tab/>
        <w:t>98</w:t>
        <w:tab/>
        <w:t>99 2000</w:t>
      </w:r>
    </w:p>
    <w:p>
      <w:pPr>
        <w:spacing w:before="50"/>
        <w:ind w:left="191" w:right="0" w:firstLine="0"/>
        <w:jc w:val="left"/>
        <w:rPr>
          <w:sz w:val="12"/>
        </w:rPr>
      </w:pPr>
      <w:r>
        <w:rPr>
          <w:sz w:val="12"/>
        </w:rPr>
        <w:t>Sources: ONS and CIPS.</w:t>
      </w:r>
    </w:p>
    <w:p>
      <w:pPr>
        <w:pStyle w:val="Heading6"/>
        <w:spacing w:line="242" w:lineRule="auto" w:before="5"/>
        <w:ind w:left="191"/>
      </w:pPr>
      <w:r>
        <w:rPr/>
        <w:br w:type="column"/>
      </w:r>
      <w:r>
        <w:rPr/>
        <w:t>higher than a year earlier (see Chart 2.18). Growth was reported to have been particularly strong in the transport,</w:t>
      </w:r>
    </w:p>
    <w:p>
      <w:pPr>
        <w:spacing w:after="0" w:line="242" w:lineRule="auto"/>
        <w:sectPr>
          <w:type w:val="continuous"/>
          <w:pgSz w:w="11900" w:h="16840"/>
          <w:pgMar w:top="1220" w:bottom="280" w:left="620" w:right="640"/>
          <w:cols w:num="2" w:equalWidth="0">
            <w:col w:w="3706" w:space="1097"/>
            <w:col w:w="5837"/>
          </w:cols>
        </w:sectPr>
      </w:pPr>
    </w:p>
    <w:p>
      <w:pPr>
        <w:pStyle w:val="BodyText"/>
        <w:rPr>
          <w:sz w:val="20"/>
        </w:rPr>
      </w:pPr>
    </w:p>
    <w:p>
      <w:pPr>
        <w:spacing w:after="0"/>
        <w:rPr>
          <w:sz w:val="20"/>
        </w:rPr>
        <w:sectPr>
          <w:pgSz w:w="11900" w:h="16840"/>
          <w:pgMar w:header="586" w:footer="617" w:top="780" w:bottom="800" w:left="620" w:right="640"/>
        </w:sectPr>
      </w:pPr>
    </w:p>
    <w:p>
      <w:pPr>
        <w:pStyle w:val="BodyText"/>
        <w:spacing w:before="1"/>
        <w:rPr>
          <w:sz w:val="20"/>
        </w:rPr>
      </w:pPr>
    </w:p>
    <w:p>
      <w:pPr>
        <w:pStyle w:val="Heading9"/>
        <w:spacing w:before="0"/>
        <w:ind w:left="176"/>
      </w:pPr>
      <w:r>
        <w:rPr>
          <w:color w:val="0092C7"/>
        </w:rPr>
        <w:t>Chart 2.20</w:t>
      </w:r>
    </w:p>
    <w:p>
      <w:pPr>
        <w:spacing w:before="10"/>
        <w:ind w:left="176" w:right="0" w:firstLine="0"/>
        <w:jc w:val="left"/>
        <w:rPr>
          <w:b/>
          <w:sz w:val="20"/>
        </w:rPr>
      </w:pPr>
      <w:r>
        <w:rPr>
          <w:b/>
          <w:color w:val="0092C7"/>
          <w:sz w:val="20"/>
        </w:rPr>
        <w:t>Measures of services output</w:t>
      </w:r>
    </w:p>
    <w:p>
      <w:pPr>
        <w:spacing w:line="242" w:lineRule="auto" w:before="207"/>
        <w:ind w:left="176" w:right="406" w:firstLine="0"/>
        <w:jc w:val="left"/>
        <w:rPr>
          <w:sz w:val="24"/>
        </w:rPr>
      </w:pPr>
      <w:r>
        <w:rPr/>
        <w:br w:type="column"/>
      </w:r>
      <w:r>
        <w:rPr>
          <w:sz w:val="24"/>
        </w:rPr>
        <w:t>storage and communications sectors in the second half of 1999. Survey data indicate that the outlook for</w:t>
      </w:r>
    </w:p>
    <w:p>
      <w:pPr>
        <w:spacing w:after="0" w:line="242" w:lineRule="auto"/>
        <w:jc w:val="left"/>
        <w:rPr>
          <w:sz w:val="24"/>
        </w:rPr>
        <w:sectPr>
          <w:type w:val="continuous"/>
          <w:pgSz w:w="11900" w:h="16840"/>
          <w:pgMar w:top="1220" w:bottom="280" w:left="620" w:right="640"/>
          <w:cols w:num="2" w:equalWidth="0">
            <w:col w:w="2588" w:space="2218"/>
            <w:col w:w="5834"/>
          </w:cols>
        </w:sectPr>
      </w:pPr>
    </w:p>
    <w:p>
      <w:pPr>
        <w:spacing w:before="45"/>
        <w:ind w:left="248" w:right="0" w:firstLine="0"/>
        <w:jc w:val="left"/>
        <w:rPr>
          <w:sz w:val="12"/>
        </w:rPr>
      </w:pPr>
      <w:r>
        <w:rPr/>
        <w:pict>
          <v:group style="position:absolute;margin-left:51.084999pt;margin-top:18.140814pt;width:160.65pt;height:115.2pt;mso-position-horizontal-relative:page;mso-position-vertical-relative:paragraph;z-index:16009728" coordorigin="1022,363" coordsize="3213,2304">
            <v:shape style="position:absolute;left:1183;top:474;width:2668;height:2183" coordorigin="1183,474" coordsize="2668,2183" path="m1183,2027l1403,1349m1403,1349l1631,474m1631,474l1851,719m1851,719l2068,812m2068,812l2298,1327m2298,1327l2518,1934m2518,1934l2736,1467m2736,1467l2956,1724m2956,1724l3186,2657m3186,2657l3403,2284m3403,2284l3621,1432m3621,1432l3851,2014e" filled="false" stroked="true" strokeweight="1pt" strokecolor="#f6bd61">
              <v:path arrowok="t"/>
              <v:stroke dashstyle="solid"/>
            </v:shape>
            <v:shape style="position:absolute;left:1183;top:951;width:2888;height:1660" coordorigin="1183,952" coordsize="2888,1660" path="m2956,1957l3186,2612m3186,2612l3403,2472m1183,1524l1403,1419m1403,1419l1631,1244m1631,1244l1851,952m1851,952l2068,1374m2068,1374l2298,1594m2298,1594l2518,1419m2518,1419l2736,1664m2736,1664l2956,1957m3403,2472l3621,1759m3621,1759l3851,1642m3851,1642l4071,1607e" filled="false" stroked="true" strokeweight="1pt" strokecolor="#0099d9">
              <v:path arrowok="t"/>
              <v:stroke dashstyle="solid"/>
            </v:shape>
            <v:line style="position:absolute" from="2144,1590" to="1897,2237" stroked="true" strokeweight=".5pt" strokecolor="#000000">
              <v:stroke dashstyle="solid"/>
            </v:line>
            <v:shape style="position:absolute;left:2114;top:1526;width:54;height:89" coordorigin="2115,1527" coordsize="54,89" path="m2168,1527l2115,1597,2162,1615,2161,1598,2162,1585,2162,1572,2163,1558,2165,1546,2166,1535,2168,1527xe" filled="true" fillcolor="#000000" stroked="false">
              <v:path arrowok="t"/>
              <v:fill type="solid"/>
            </v:shape>
            <v:shape style="position:absolute;left:1021;top:490;width:3213;height:2008" coordorigin="1022,491" coordsize="3213,2008" path="m1108,777l1022,777m1108,1350l1022,1350m1108,2497l1022,2497m1108,1924l1022,1924m4234,777l4147,777m4234,1351l4147,1351m4234,2498l4147,2498m4234,1924l4147,1924m4234,491l4147,491m4234,1064l4147,1064m4234,1638l4147,1638m4234,2211l4147,2211e" filled="false" stroked="true" strokeweight=".5pt" strokecolor="#000000">
              <v:path arrowok="t"/>
              <v:stroke dashstyle="solid"/>
            </v:shape>
            <v:shape style="position:absolute;left:1954;top:362;width:1573;height:374" type="#_x0000_t202" filled="false" stroked="false">
              <v:textbox inset="0,0,0,0">
                <w:txbxContent>
                  <w:p>
                    <w:pPr>
                      <w:spacing w:line="124" w:lineRule="exact" w:before="0"/>
                      <w:ind w:left="0" w:right="0" w:firstLine="0"/>
                      <w:jc w:val="left"/>
                      <w:rPr>
                        <w:sz w:val="12"/>
                      </w:rPr>
                    </w:pPr>
                    <w:r>
                      <w:rPr>
                        <w:sz w:val="12"/>
                      </w:rPr>
                      <w:t>ONS services output</w:t>
                    </w:r>
                  </w:p>
                  <w:p>
                    <w:pPr>
                      <w:spacing w:line="208" w:lineRule="auto" w:before="5"/>
                      <w:ind w:left="60" w:right="18" w:firstLine="0"/>
                      <w:jc w:val="left"/>
                      <w:rPr>
                        <w:sz w:val="12"/>
                      </w:rPr>
                    </w:pPr>
                    <w:r>
                      <w:rPr>
                        <w:sz w:val="12"/>
                      </w:rPr>
                      <w:t>excluding government services (right-hand scale)</w:t>
                    </w:r>
                  </w:p>
                </w:txbxContent>
              </v:textbox>
              <w10:wrap type="none"/>
            </v:shape>
            <v:shape style="position:absolute;left:1361;top:2225;width:1517;height:254" type="#_x0000_t202" filled="false" stroked="false">
              <v:textbox inset="0,0,0,0">
                <w:txbxContent>
                  <w:p>
                    <w:pPr>
                      <w:spacing w:line="208" w:lineRule="auto" w:before="9"/>
                      <w:ind w:left="60" w:right="0" w:hanging="60"/>
                      <w:jc w:val="left"/>
                      <w:rPr>
                        <w:sz w:val="12"/>
                      </w:rPr>
                    </w:pPr>
                    <w:r>
                      <w:rPr>
                        <w:sz w:val="12"/>
                      </w:rPr>
                      <w:t>CIPS services business activity index (a) (left-hand scale)</w:t>
                    </w:r>
                  </w:p>
                </w:txbxContent>
              </v:textbox>
              <w10:wrap type="none"/>
            </v:shape>
            <w10:wrap type="none"/>
          </v:group>
        </w:pict>
      </w:r>
      <w:r>
        <w:rPr>
          <w:position w:val="-7"/>
          <w:sz w:val="12"/>
        </w:rPr>
        <w:t>70</w:t>
      </w:r>
      <w:r>
        <w:rPr>
          <w:sz w:val="12"/>
        </w:rPr>
        <w:t> </w:t>
      </w:r>
      <w:r>
        <w:rPr>
          <w:sz w:val="12"/>
          <w:u w:val="single"/>
        </w:rPr>
        <w:t>In</w:t>
      </w:r>
      <w:r>
        <w:rPr>
          <w:sz w:val="12"/>
        </w:rPr>
        <w:t>dex</w:t>
      </w:r>
    </w:p>
    <w:p>
      <w:pPr>
        <w:pStyle w:val="BodyText"/>
        <w:rPr>
          <w:sz w:val="22"/>
        </w:rPr>
      </w:pPr>
    </w:p>
    <w:p>
      <w:pPr>
        <w:spacing w:before="188"/>
        <w:ind w:left="248" w:right="0" w:firstLine="0"/>
        <w:jc w:val="left"/>
        <w:rPr>
          <w:sz w:val="12"/>
        </w:rPr>
      </w:pPr>
      <w:r>
        <w:rPr>
          <w:sz w:val="12"/>
        </w:rPr>
        <w:t>65</w:t>
      </w:r>
    </w:p>
    <w:p>
      <w:pPr>
        <w:pStyle w:val="BodyText"/>
        <w:rPr>
          <w:sz w:val="12"/>
        </w:rPr>
      </w:pPr>
    </w:p>
    <w:p>
      <w:pPr>
        <w:pStyle w:val="BodyText"/>
        <w:rPr>
          <w:sz w:val="12"/>
        </w:rPr>
      </w:pPr>
    </w:p>
    <w:p>
      <w:pPr>
        <w:pStyle w:val="BodyText"/>
        <w:spacing w:before="11"/>
        <w:rPr>
          <w:sz w:val="13"/>
        </w:rPr>
      </w:pPr>
    </w:p>
    <w:p>
      <w:pPr>
        <w:spacing w:before="0"/>
        <w:ind w:left="248" w:right="0" w:firstLine="0"/>
        <w:jc w:val="left"/>
        <w:rPr>
          <w:sz w:val="12"/>
        </w:rPr>
      </w:pPr>
      <w:r>
        <w:rPr>
          <w:sz w:val="12"/>
        </w:rPr>
        <w:t>60</w:t>
      </w:r>
    </w:p>
    <w:p>
      <w:pPr>
        <w:pStyle w:val="BodyText"/>
        <w:rPr>
          <w:sz w:val="12"/>
        </w:rPr>
      </w:pPr>
    </w:p>
    <w:p>
      <w:pPr>
        <w:pStyle w:val="BodyText"/>
        <w:rPr>
          <w:sz w:val="12"/>
        </w:rPr>
      </w:pPr>
    </w:p>
    <w:p>
      <w:pPr>
        <w:pStyle w:val="BodyText"/>
        <w:spacing w:before="11"/>
        <w:rPr>
          <w:sz w:val="13"/>
        </w:rPr>
      </w:pPr>
    </w:p>
    <w:p>
      <w:pPr>
        <w:spacing w:before="0"/>
        <w:ind w:left="248" w:right="0" w:firstLine="0"/>
        <w:jc w:val="left"/>
        <w:rPr>
          <w:sz w:val="12"/>
        </w:rPr>
      </w:pPr>
      <w:r>
        <w:rPr>
          <w:sz w:val="12"/>
        </w:rPr>
        <w:t>55</w:t>
      </w:r>
    </w:p>
    <w:p>
      <w:pPr>
        <w:pStyle w:val="BodyText"/>
        <w:rPr>
          <w:sz w:val="12"/>
        </w:rPr>
      </w:pPr>
    </w:p>
    <w:p>
      <w:pPr>
        <w:pStyle w:val="BodyText"/>
        <w:rPr>
          <w:sz w:val="12"/>
        </w:rPr>
      </w:pPr>
    </w:p>
    <w:p>
      <w:pPr>
        <w:pStyle w:val="BodyText"/>
        <w:spacing w:before="11"/>
        <w:rPr>
          <w:sz w:val="13"/>
        </w:rPr>
      </w:pPr>
    </w:p>
    <w:p>
      <w:pPr>
        <w:spacing w:before="0"/>
        <w:ind w:left="248" w:right="0" w:firstLine="0"/>
        <w:jc w:val="left"/>
        <w:rPr>
          <w:sz w:val="12"/>
        </w:rPr>
      </w:pPr>
      <w:r>
        <w:rPr>
          <w:sz w:val="12"/>
        </w:rPr>
        <w:t>50</w:t>
      </w:r>
    </w:p>
    <w:p>
      <w:pPr>
        <w:pStyle w:val="BodyText"/>
        <w:rPr>
          <w:sz w:val="12"/>
        </w:rPr>
      </w:pPr>
    </w:p>
    <w:p>
      <w:pPr>
        <w:pStyle w:val="BodyText"/>
        <w:rPr>
          <w:sz w:val="12"/>
        </w:rPr>
      </w:pPr>
    </w:p>
    <w:p>
      <w:pPr>
        <w:pStyle w:val="BodyText"/>
        <w:spacing w:before="11"/>
        <w:rPr>
          <w:sz w:val="13"/>
        </w:rPr>
      </w:pPr>
    </w:p>
    <w:p>
      <w:pPr>
        <w:spacing w:line="131" w:lineRule="exact" w:before="0"/>
        <w:ind w:left="248" w:right="0" w:firstLine="0"/>
        <w:jc w:val="left"/>
        <w:rPr>
          <w:sz w:val="12"/>
        </w:rPr>
      </w:pPr>
      <w:r>
        <w:rPr/>
        <w:pict>
          <v:shape style="position:absolute;margin-left:51.084999pt;margin-top:-1.937259pt;width:160.65pt;height:5.4pt;mso-position-horizontal-relative:page;mso-position-vertical-relative:paragraph;z-index:16010240" coordorigin="1022,-39" coordsize="3213,108" path="m1108,69l1022,69m1179,68l4081,68m1177,15l1177,68m1622,-39l1622,68m2290,15l2290,68m3626,15l3626,68m2735,15l2735,68m1400,15l1400,68m1845,15l1845,68m2958,15l2958,68m3180,15l3180,68m4071,15l4071,68m2067,15l2067,68m3403,-39l3403,68m2513,-39l2513,68m3848,15l3848,68m4234,69l4147,69e" filled="false" stroked="true" strokeweight=".5pt" strokecolor="#000000">
            <v:path arrowok="t"/>
            <v:stroke dashstyle="solid"/>
            <w10:wrap type="none"/>
          </v:shape>
        </w:pict>
      </w:r>
      <w:r>
        <w:rPr>
          <w:sz w:val="12"/>
        </w:rPr>
        <w:t>45</w:t>
      </w:r>
    </w:p>
    <w:p>
      <w:pPr>
        <w:spacing w:line="131" w:lineRule="exact" w:before="0"/>
        <w:ind w:left="628" w:right="0" w:firstLine="0"/>
        <w:jc w:val="left"/>
        <w:rPr>
          <w:sz w:val="12"/>
        </w:rPr>
      </w:pPr>
      <w:r>
        <w:rPr>
          <w:sz w:val="12"/>
        </w:rPr>
        <w:t>1996</w:t>
      </w:r>
    </w:p>
    <w:p>
      <w:pPr>
        <w:spacing w:line="118" w:lineRule="exact" w:before="18"/>
        <w:ind w:left="621" w:right="0" w:firstLine="0"/>
        <w:jc w:val="left"/>
        <w:rPr>
          <w:sz w:val="12"/>
        </w:rPr>
      </w:pPr>
      <w:r>
        <w:rPr/>
        <w:br w:type="column"/>
      </w:r>
      <w:r>
        <w:rPr>
          <w:sz w:val="12"/>
        </w:rPr>
        <w:t>Percentage change on a quarter earlier</w:t>
      </w:r>
    </w:p>
    <w:p>
      <w:pPr>
        <w:spacing w:line="118" w:lineRule="exact" w:before="0"/>
        <w:ind w:left="2540" w:right="0" w:firstLine="0"/>
        <w:jc w:val="left"/>
        <w:rPr>
          <w:sz w:val="12"/>
        </w:rPr>
      </w:pPr>
      <w:r>
        <w:rPr/>
        <w:pict>
          <v:line style="position:absolute;mso-position-horizontal-relative:page;mso-position-vertical-relative:paragraph;z-index:16010752" from="211.707001pt,3.373567pt" to="207.373001pt,3.373567pt" stroked="true" strokeweight=".5pt" strokecolor="#000000">
            <v:stroke dashstyle="solid"/>
            <w10:wrap type="none"/>
          </v:line>
        </w:pict>
      </w:r>
      <w:r>
        <w:rPr>
          <w:sz w:val="12"/>
        </w:rPr>
        <w:t>2.0</w:t>
      </w:r>
    </w:p>
    <w:p>
      <w:pPr>
        <w:pStyle w:val="BodyText"/>
        <w:spacing w:before="11"/>
        <w:rPr>
          <w:sz w:val="12"/>
        </w:rPr>
      </w:pPr>
    </w:p>
    <w:p>
      <w:pPr>
        <w:spacing w:before="0"/>
        <w:ind w:left="2540" w:right="0" w:firstLine="0"/>
        <w:jc w:val="left"/>
        <w:rPr>
          <w:sz w:val="12"/>
        </w:rPr>
      </w:pPr>
      <w:r>
        <w:rPr>
          <w:sz w:val="12"/>
        </w:rPr>
        <w:t>1.8</w:t>
      </w:r>
    </w:p>
    <w:p>
      <w:pPr>
        <w:pStyle w:val="BodyText"/>
        <w:rPr>
          <w:sz w:val="13"/>
        </w:rPr>
      </w:pPr>
    </w:p>
    <w:p>
      <w:pPr>
        <w:spacing w:before="0"/>
        <w:ind w:left="2540" w:right="0" w:firstLine="0"/>
        <w:jc w:val="left"/>
        <w:rPr>
          <w:sz w:val="12"/>
        </w:rPr>
      </w:pPr>
      <w:r>
        <w:rPr>
          <w:sz w:val="12"/>
        </w:rPr>
        <w:t>1.6</w:t>
      </w:r>
    </w:p>
    <w:p>
      <w:pPr>
        <w:pStyle w:val="BodyText"/>
        <w:rPr>
          <w:sz w:val="13"/>
        </w:rPr>
      </w:pPr>
    </w:p>
    <w:p>
      <w:pPr>
        <w:spacing w:before="0"/>
        <w:ind w:left="2540" w:right="0" w:firstLine="0"/>
        <w:jc w:val="left"/>
        <w:rPr>
          <w:sz w:val="12"/>
        </w:rPr>
      </w:pPr>
      <w:r>
        <w:rPr>
          <w:sz w:val="12"/>
        </w:rPr>
        <w:t>1.4</w:t>
      </w:r>
    </w:p>
    <w:p>
      <w:pPr>
        <w:pStyle w:val="BodyText"/>
        <w:spacing w:before="11"/>
        <w:rPr>
          <w:sz w:val="12"/>
        </w:rPr>
      </w:pPr>
    </w:p>
    <w:p>
      <w:pPr>
        <w:spacing w:before="0"/>
        <w:ind w:left="2540" w:right="0" w:firstLine="0"/>
        <w:jc w:val="left"/>
        <w:rPr>
          <w:sz w:val="12"/>
        </w:rPr>
      </w:pPr>
      <w:r>
        <w:rPr>
          <w:sz w:val="12"/>
        </w:rPr>
        <w:t>1.2</w:t>
      </w:r>
    </w:p>
    <w:p>
      <w:pPr>
        <w:pStyle w:val="BodyText"/>
        <w:rPr>
          <w:sz w:val="13"/>
        </w:rPr>
      </w:pPr>
    </w:p>
    <w:p>
      <w:pPr>
        <w:spacing w:before="0"/>
        <w:ind w:left="2540" w:right="0" w:firstLine="0"/>
        <w:jc w:val="left"/>
        <w:rPr>
          <w:sz w:val="12"/>
        </w:rPr>
      </w:pPr>
      <w:r>
        <w:rPr>
          <w:sz w:val="12"/>
        </w:rPr>
        <w:t>1.0</w:t>
      </w:r>
    </w:p>
    <w:p>
      <w:pPr>
        <w:pStyle w:val="BodyText"/>
        <w:spacing w:before="11"/>
        <w:rPr>
          <w:sz w:val="12"/>
        </w:rPr>
      </w:pPr>
    </w:p>
    <w:p>
      <w:pPr>
        <w:spacing w:before="0"/>
        <w:ind w:left="2540" w:right="0" w:firstLine="0"/>
        <w:jc w:val="left"/>
        <w:rPr>
          <w:sz w:val="12"/>
        </w:rPr>
      </w:pPr>
      <w:r>
        <w:rPr>
          <w:sz w:val="12"/>
        </w:rPr>
        <w:t>0.8</w:t>
      </w:r>
    </w:p>
    <w:p>
      <w:pPr>
        <w:pStyle w:val="BodyText"/>
        <w:rPr>
          <w:sz w:val="13"/>
        </w:rPr>
      </w:pPr>
    </w:p>
    <w:p>
      <w:pPr>
        <w:spacing w:before="0"/>
        <w:ind w:left="2540" w:right="0" w:firstLine="0"/>
        <w:jc w:val="left"/>
        <w:rPr>
          <w:sz w:val="12"/>
        </w:rPr>
      </w:pPr>
      <w:r>
        <w:rPr>
          <w:sz w:val="12"/>
        </w:rPr>
        <w:t>0.6</w:t>
      </w:r>
    </w:p>
    <w:p>
      <w:pPr>
        <w:pStyle w:val="BodyText"/>
        <w:spacing w:before="11"/>
        <w:rPr>
          <w:sz w:val="12"/>
        </w:rPr>
      </w:pPr>
    </w:p>
    <w:p>
      <w:pPr>
        <w:spacing w:before="0"/>
        <w:ind w:left="2540" w:right="0" w:firstLine="0"/>
        <w:jc w:val="left"/>
        <w:rPr>
          <w:sz w:val="12"/>
        </w:rPr>
      </w:pPr>
      <w:r>
        <w:rPr>
          <w:sz w:val="12"/>
        </w:rPr>
        <w:t>0.4</w:t>
      </w:r>
    </w:p>
    <w:p>
      <w:pPr>
        <w:pStyle w:val="BodyText"/>
        <w:rPr>
          <w:sz w:val="13"/>
        </w:rPr>
      </w:pPr>
    </w:p>
    <w:p>
      <w:pPr>
        <w:spacing w:before="0"/>
        <w:ind w:left="2540" w:right="0" w:firstLine="0"/>
        <w:jc w:val="left"/>
        <w:rPr>
          <w:sz w:val="12"/>
        </w:rPr>
      </w:pPr>
      <w:r>
        <w:rPr/>
        <w:pict>
          <v:line style="position:absolute;mso-position-horizontal-relative:page;mso-position-vertical-relative:paragraph;z-index:16011264" from="211.707001pt,4.148353pt" to="207.373001pt,4.148353pt" stroked="true" strokeweight=".5pt" strokecolor="#000000">
            <v:stroke dashstyle="solid"/>
            <w10:wrap type="none"/>
          </v:line>
        </w:pict>
      </w:r>
      <w:r>
        <w:rPr>
          <w:sz w:val="12"/>
        </w:rPr>
        <w:t>0.2</w:t>
      </w:r>
    </w:p>
    <w:p>
      <w:pPr>
        <w:pStyle w:val="BodyText"/>
        <w:spacing w:before="11"/>
        <w:rPr>
          <w:sz w:val="12"/>
        </w:rPr>
      </w:pPr>
    </w:p>
    <w:p>
      <w:pPr>
        <w:spacing w:before="0"/>
        <w:ind w:left="2540" w:right="0" w:firstLine="0"/>
        <w:jc w:val="left"/>
        <w:rPr>
          <w:sz w:val="12"/>
        </w:rPr>
      </w:pPr>
      <w:r>
        <w:rPr>
          <w:sz w:val="12"/>
        </w:rPr>
        <w:t>0.0</w:t>
      </w:r>
    </w:p>
    <w:p>
      <w:pPr>
        <w:tabs>
          <w:tab w:pos="1133" w:val="left" w:leader="none"/>
          <w:tab w:pos="2020" w:val="left" w:leader="none"/>
        </w:tabs>
        <w:spacing w:before="0"/>
        <w:ind w:left="248" w:right="0" w:firstLine="0"/>
        <w:jc w:val="left"/>
        <w:rPr>
          <w:sz w:val="12"/>
        </w:rPr>
      </w:pPr>
      <w:r>
        <w:rPr>
          <w:sz w:val="12"/>
        </w:rPr>
        <w:t>97</w:t>
        <w:tab/>
        <w:t>98</w:t>
        <w:tab/>
        <w:t>99</w:t>
      </w:r>
    </w:p>
    <w:p>
      <w:pPr>
        <w:pStyle w:val="Heading6"/>
        <w:spacing w:line="242" w:lineRule="auto" w:before="3"/>
        <w:ind w:left="248" w:right="180"/>
      </w:pPr>
      <w:r>
        <w:rPr/>
        <w:br w:type="column"/>
      </w:r>
      <w:r>
        <w:rPr/>
        <w:t>service sector growth remains firm. The BCC survey suggested that service sector sales and orders, both domestic and exported, continued to rise in 1999 Q4, though export order growth slowed compared with Q3. The CIPS services business activity index in Q4 rose to its highest </w:t>
      </w:r>
      <w:r>
        <w:rPr>
          <w:spacing w:val="-3"/>
        </w:rPr>
        <w:t>level </w:t>
      </w:r>
      <w:r>
        <w:rPr/>
        <w:t>since 1998 Q1 (see Chart 2.20), and reported </w:t>
      </w:r>
      <w:r>
        <w:rPr>
          <w:spacing w:val="-3"/>
        </w:rPr>
        <w:t>new </w:t>
      </w:r>
      <w:r>
        <w:rPr/>
        <w:t>business continued to grow </w:t>
      </w:r>
      <w:r>
        <w:rPr>
          <w:spacing w:val="-3"/>
        </w:rPr>
        <w:t>strongly, </w:t>
      </w:r>
      <w:r>
        <w:rPr/>
        <w:t>though at a slightly slower rate than in the previous two quarters. Recent CIPS reports suggest that one service industry</w:t>
      </w:r>
      <w:r>
        <w:rPr>
          <w:spacing w:val="-7"/>
        </w:rPr>
        <w:t> </w:t>
      </w:r>
      <w:r>
        <w:rPr/>
        <w:t>experiencing</w:t>
      </w:r>
      <w:r>
        <w:rPr>
          <w:spacing w:val="-7"/>
        </w:rPr>
        <w:t> </w:t>
      </w:r>
      <w:r>
        <w:rPr/>
        <w:t>weaker</w:t>
      </w:r>
      <w:r>
        <w:rPr>
          <w:spacing w:val="-7"/>
        </w:rPr>
        <w:t> </w:t>
      </w:r>
      <w:r>
        <w:rPr/>
        <w:t>growth</w:t>
      </w:r>
      <w:r>
        <w:rPr>
          <w:spacing w:val="-7"/>
        </w:rPr>
        <w:t> </w:t>
      </w:r>
      <w:r>
        <w:rPr/>
        <w:t>in</w:t>
      </w:r>
      <w:r>
        <w:rPr>
          <w:spacing w:val="-6"/>
        </w:rPr>
        <w:t> </w:t>
      </w:r>
      <w:r>
        <w:rPr/>
        <w:t>late</w:t>
      </w:r>
      <w:r>
        <w:rPr>
          <w:spacing w:val="-7"/>
        </w:rPr>
        <w:t> </w:t>
      </w:r>
      <w:r>
        <w:rPr/>
        <w:t>1999</w:t>
      </w:r>
      <w:r>
        <w:rPr>
          <w:spacing w:val="-7"/>
        </w:rPr>
        <w:t> </w:t>
      </w:r>
      <w:r>
        <w:rPr/>
        <w:t>was</w:t>
      </w:r>
      <w:r>
        <w:rPr>
          <w:spacing w:val="-7"/>
        </w:rPr>
        <w:t> </w:t>
      </w:r>
      <w:r>
        <w:rPr/>
        <w:t>IT and computing. </w:t>
      </w:r>
      <w:r>
        <w:rPr>
          <w:spacing w:val="-4"/>
        </w:rPr>
        <w:t>However, </w:t>
      </w:r>
      <w:r>
        <w:rPr/>
        <w:t>activity in that sector rebounded in </w:t>
      </w:r>
      <w:r>
        <w:rPr>
          <w:spacing w:val="-3"/>
        </w:rPr>
        <w:t>January, </w:t>
      </w:r>
      <w:r>
        <w:rPr/>
        <w:t>as the earlier </w:t>
      </w:r>
      <w:r>
        <w:rPr>
          <w:spacing w:val="-3"/>
        </w:rPr>
        <w:t>slowdown</w:t>
      </w:r>
      <w:r>
        <w:rPr>
          <w:spacing w:val="-10"/>
        </w:rPr>
        <w:t> </w:t>
      </w:r>
      <w:r>
        <w:rPr/>
        <w:t>was</w:t>
      </w:r>
    </w:p>
    <w:p>
      <w:pPr>
        <w:spacing w:after="0" w:line="242" w:lineRule="auto"/>
        <w:sectPr>
          <w:type w:val="continuous"/>
          <w:pgSz w:w="11900" w:h="16840"/>
          <w:pgMar w:top="1220" w:bottom="280" w:left="620" w:right="640"/>
          <w:cols w:num="3" w:equalWidth="0">
            <w:col w:w="909" w:space="241"/>
            <w:col w:w="2731" w:space="854"/>
            <w:col w:w="5905"/>
          </w:cols>
        </w:sectPr>
      </w:pPr>
    </w:p>
    <w:p>
      <w:pPr>
        <w:spacing w:before="23"/>
        <w:ind w:left="202" w:right="0" w:firstLine="0"/>
        <w:jc w:val="left"/>
        <w:rPr>
          <w:sz w:val="12"/>
        </w:rPr>
      </w:pPr>
      <w:r>
        <w:rPr>
          <w:sz w:val="12"/>
        </w:rPr>
        <w:t>Sources: ONS and CIPS.</w:t>
      </w:r>
    </w:p>
    <w:p>
      <w:pPr>
        <w:spacing w:before="102"/>
        <w:ind w:left="202" w:right="0" w:firstLine="0"/>
        <w:jc w:val="left"/>
        <w:rPr>
          <w:sz w:val="12"/>
        </w:rPr>
      </w:pPr>
      <w:r>
        <w:rPr>
          <w:sz w:val="12"/>
        </w:rPr>
        <w:t>(a) The CIPS services survey excludes government services.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0"/>
        </w:rPr>
      </w:pPr>
    </w:p>
    <w:p>
      <w:pPr>
        <w:pStyle w:val="Heading9"/>
        <w:spacing w:before="0"/>
        <w:ind w:left="200"/>
      </w:pPr>
      <w:r>
        <w:rPr>
          <w:color w:val="0092C7"/>
        </w:rPr>
        <w:t>Chart 2.21</w:t>
      </w:r>
    </w:p>
    <w:p>
      <w:pPr>
        <w:spacing w:before="10"/>
        <w:ind w:left="200" w:right="0" w:firstLine="0"/>
        <w:jc w:val="left"/>
        <w:rPr>
          <w:b/>
          <w:sz w:val="20"/>
        </w:rPr>
      </w:pPr>
      <w:r>
        <w:rPr>
          <w:b/>
          <w:color w:val="0092C7"/>
          <w:sz w:val="20"/>
        </w:rPr>
        <w:t>Construction output and new orders</w:t>
      </w:r>
    </w:p>
    <w:p>
      <w:pPr>
        <w:spacing w:line="242" w:lineRule="auto" w:before="15"/>
        <w:ind w:left="200" w:right="181" w:firstLine="0"/>
        <w:jc w:val="left"/>
        <w:rPr>
          <w:sz w:val="24"/>
        </w:rPr>
      </w:pPr>
      <w:r>
        <w:rPr/>
        <w:br w:type="column"/>
      </w:r>
      <w:r>
        <w:rPr>
          <w:sz w:val="24"/>
        </w:rPr>
        <w:t>reported to have reflected some customers’ deferral of new IT orders until the effects of any ‘millennium bug’ were known.</w:t>
      </w:r>
    </w:p>
    <w:p>
      <w:pPr>
        <w:pStyle w:val="BodyText"/>
        <w:spacing w:before="3"/>
        <w:rPr>
          <w:sz w:val="24"/>
        </w:rPr>
      </w:pPr>
    </w:p>
    <w:p>
      <w:pPr>
        <w:spacing w:line="280" w:lineRule="atLeast" w:before="1"/>
        <w:ind w:left="200" w:right="0" w:firstLine="0"/>
        <w:jc w:val="left"/>
        <w:rPr>
          <w:sz w:val="24"/>
        </w:rPr>
      </w:pPr>
      <w:r>
        <w:rPr>
          <w:sz w:val="24"/>
        </w:rPr>
        <w:t>There are signs that the modest recovery in the construction sector, which began in the first half of 1999, gathered pace in the second half of the year.</w:t>
      </w:r>
    </w:p>
    <w:p>
      <w:pPr>
        <w:spacing w:after="0" w:line="280" w:lineRule="atLeast"/>
        <w:jc w:val="left"/>
        <w:rPr>
          <w:sz w:val="24"/>
        </w:rPr>
        <w:sectPr>
          <w:type w:val="continuous"/>
          <w:pgSz w:w="11900" w:h="16840"/>
          <w:pgMar w:top="1220" w:bottom="280" w:left="620" w:right="640"/>
          <w:cols w:num="2" w:equalWidth="0">
            <w:col w:w="3351" w:space="1432"/>
            <w:col w:w="5857"/>
          </w:cols>
        </w:sectPr>
      </w:pPr>
    </w:p>
    <w:p>
      <w:pPr>
        <w:spacing w:line="59" w:lineRule="exact" w:before="0"/>
        <w:ind w:left="385" w:right="0" w:firstLine="0"/>
        <w:jc w:val="left"/>
        <w:rPr>
          <w:sz w:val="12"/>
        </w:rPr>
      </w:pPr>
      <w:r>
        <w:rPr>
          <w:sz w:val="12"/>
        </w:rPr>
        <w:t>Percentage change</w:t>
      </w:r>
    </w:p>
    <w:p>
      <w:pPr>
        <w:spacing w:line="114" w:lineRule="exact" w:before="0"/>
        <w:ind w:left="385" w:right="0" w:firstLine="0"/>
        <w:jc w:val="left"/>
        <w:rPr>
          <w:sz w:val="12"/>
        </w:rPr>
      </w:pPr>
      <w:r>
        <w:rPr>
          <w:sz w:val="12"/>
        </w:rPr>
        <w:t>on a year earlier</w:t>
      </w:r>
    </w:p>
    <w:p>
      <w:pPr>
        <w:spacing w:line="123" w:lineRule="exact" w:before="0"/>
        <w:ind w:left="234" w:right="0" w:firstLine="0"/>
        <w:jc w:val="left"/>
        <w:rPr>
          <w:sz w:val="12"/>
        </w:rPr>
      </w:pPr>
      <w:r>
        <w:rPr/>
        <w:pict>
          <v:line style="position:absolute;mso-position-horizontal-relative:page;mso-position-vertical-relative:paragraph;z-index:16016384" from="54.583pt,2.708823pt" to="50.25pt,2.708823pt" stroked="true" strokeweight=".5pt" strokecolor="#000000">
            <v:stroke dashstyle="solid"/>
            <w10:wrap type="none"/>
          </v:line>
        </w:pict>
      </w:r>
      <w:r>
        <w:rPr>
          <w:sz w:val="12"/>
        </w:rPr>
        <w:t>50</w:t>
      </w:r>
    </w:p>
    <w:p>
      <w:pPr>
        <w:pStyle w:val="BodyText"/>
        <w:rPr>
          <w:sz w:val="12"/>
        </w:rPr>
      </w:pPr>
    </w:p>
    <w:p>
      <w:pPr>
        <w:spacing w:before="84"/>
        <w:ind w:left="234" w:right="0" w:firstLine="0"/>
        <w:jc w:val="left"/>
        <w:rPr>
          <w:sz w:val="12"/>
        </w:rPr>
      </w:pPr>
      <w:r>
        <w:rPr/>
        <w:pict>
          <v:group style="position:absolute;margin-left:58.372002pt;margin-top:5.663074pt;width:145pt;height:114.75pt;mso-position-horizontal-relative:page;mso-position-vertical-relative:paragraph;z-index:16015872" coordorigin="1167,113" coordsize="2900,2295">
            <v:line style="position:absolute" from="1172,1603" to="4052,1603" stroked="true" strokeweight=".5pt" strokecolor="#000000">
              <v:stroke dashstyle="solid"/>
            </v:line>
            <v:shape style="position:absolute;left:1177;top:350;width:348;height:703" coordorigin="1177,351" coordsize="348,703" path="m1177,351l1227,806m1227,806l1292,616m1292,616l1342,561m1342,561l1407,446m1407,446l1460,503m1460,503l1525,1053e" filled="false" stroked="true" strokeweight="1pt" strokecolor="#de0035">
              <v:path arrowok="t"/>
              <v:stroke dashstyle="solid"/>
            </v:shape>
            <v:shape style="position:absolute;left:1514;top:948;width:533;height:798" type="#_x0000_t75" stroked="false">
              <v:imagedata r:id="rId91" o:title=""/>
            </v:shape>
            <v:shape style="position:absolute;left:2037;top:1735;width:298;height:608" coordorigin="2037,1736" coordsize="298,608" path="m2037,1736l2102,2228m2102,2228l2155,2343m2155,2343l2217,2211m2217,2211l2270,2248m2270,2248l2335,2001e" filled="false" stroked="true" strokeweight="1pt" strokecolor="#de0035">
              <v:path arrowok="t"/>
              <v:stroke dashstyle="solid"/>
            </v:shape>
            <v:line style="position:absolute" from="2325,2002" to="2395,2002" stroked="true" strokeweight="1.125pt" strokecolor="#de0035">
              <v:stroke dashstyle="solid"/>
            </v:line>
            <v:shape style="position:absolute;left:2384;top:1925;width:118;height:75" coordorigin="2385,1926" coordsize="118,75" path="m2385,2001l2450,1963m2450,1963l2502,1926e" filled="false" stroked="true" strokeweight="1pt" strokecolor="#de0035">
              <v:path arrowok="t"/>
              <v:stroke dashstyle="solid"/>
            </v:shape>
            <v:line style="position:absolute" from="2492,1927" to="2575,1927" stroked="true" strokeweight="1.125pt" strokecolor="#de0035">
              <v:stroke dashstyle="solid"/>
            </v:line>
            <v:shape style="position:absolute;left:2564;top:1128;width:1210;height:798" coordorigin="2565,1128" coordsize="1210,798" path="m2565,1926l2617,1793m2617,1793l2670,1773m2670,1773l2732,1583m2732,1583l2785,1356m2785,1356l2850,1261m2850,1261l2900,1243m2900,1243l2965,1338m2965,1338l3017,1546m3017,1546l3080,1603m3080,1603l3132,1661m3132,1661l3197,1641m3197,1641l3247,1488m3247,1488l3312,1471m3312,1471l3365,1318m3365,1318l3427,1281m3427,1281l3480,1318m3480,1318l3545,1281m3545,1281l3595,1393m3595,1393l3660,1338m3660,1338l3710,1128m3710,1128l3775,1526e" filled="false" stroked="true" strokeweight="1pt" strokecolor="#de0035">
              <v:path arrowok="t"/>
              <v:stroke dashstyle="solid"/>
            </v:shape>
            <v:line style="position:absolute" from="3765,1527" to="3837,1527" stroked="true" strokeweight="1.125pt" strokecolor="#de0035">
              <v:stroke dashstyle="solid"/>
            </v:line>
            <v:shape style="position:absolute;left:3827;top:1413;width:230;height:398" coordorigin="3827,1413" coordsize="230,398" path="m3827,1526l3892,1641m3892,1641l3942,1811m3942,1811l4007,1471m4007,1471l4057,1413e" filled="false" stroked="true" strokeweight="1pt" strokecolor="#de0035">
              <v:path arrowok="t"/>
              <v:stroke dashstyle="solid"/>
            </v:shape>
            <v:shape style="position:absolute;left:1177;top:123;width:578;height:2200" coordorigin="1177,123" coordsize="578,2200" path="m1177,1128l1227,1318m1227,1318l1292,123m1292,123l1342,1298m1342,1298l1407,976m1407,976l1460,1413m1460,1413l1525,2323m1525,2323l1575,938m1575,938l1640,1811m1640,1811l1690,1393m1690,1393l1755,1943e" filled="false" stroked="true" strokeweight="1pt" strokecolor="#9ed01a">
              <v:path arrowok="t"/>
              <v:stroke dashstyle="solid"/>
            </v:shape>
            <v:shape style="position:absolute;left:1744;top:1933;width:368;height:363" type="#_x0000_t75" stroked="false">
              <v:imagedata r:id="rId92" o:title=""/>
            </v:shape>
            <v:shape style="position:absolute;left:2102;top:388;width:748;height:1860" coordorigin="2102,388" coordsize="748,1860" path="m2102,2248l2155,1811m2155,1811l2217,1678m2217,1678l2270,1471m2270,1471l2335,1091m2335,1091l2385,2133m2385,2133l2450,1583m2450,1583l2502,1926m2502,1926l2565,1526m2565,1526l2617,1318m2617,1318l2670,1376m2670,1376l2732,388m2732,388l2785,1413m2785,1413l2850,1071e" filled="false" stroked="true" strokeweight="1pt" strokecolor="#9ed01a">
              <v:path arrowok="t"/>
              <v:stroke dashstyle="solid"/>
            </v:shape>
            <v:line style="position:absolute" from="2875,1061" to="2875,1631" stroked="true" strokeweight="3.5pt" strokecolor="#9ed01a">
              <v:stroke dashstyle="solid"/>
            </v:line>
            <v:line style="position:absolute" from="2900,1621" to="2965,2398" stroked="true" strokeweight="1pt" strokecolor="#9ed01a">
              <v:stroke dashstyle="solid"/>
            </v:line>
            <v:line style="position:absolute" from="2991,1821" to="2991,2408" stroked="true" strokeweight="3.625pt" strokecolor="#9ed01a">
              <v:stroke dashstyle="solid"/>
            </v:line>
            <v:shape style="position:absolute;left:3017;top:863;width:295;height:1233" coordorigin="3017,863" coordsize="295,1233" path="m3017,1831l3080,2096m3080,2096l3132,1906m3132,1906l3197,863m3197,863l3247,1678m3247,1678l3312,1281e" filled="false" stroked="true" strokeweight="1pt" strokecolor="#9ed01a">
              <v:path arrowok="t"/>
              <v:stroke dashstyle="solid"/>
            </v:shape>
            <v:shape style="position:absolute;left:3302;top:1270;width:483;height:400" type="#_x0000_t75" stroked="false">
              <v:imagedata r:id="rId93" o:title=""/>
            </v:shape>
            <v:shape style="position:absolute;left:3774;top:1223;width:233;height:683" coordorigin="3775,1223" coordsize="233,683" path="m3775,1621l3827,1223m3827,1223l3892,1451m3892,1451l3942,1906m3942,1906l4007,1641e" filled="false" stroked="true" strokeweight="1pt" strokecolor="#9ed01a">
              <v:path arrowok="t"/>
              <v:stroke dashstyle="solid"/>
            </v:shape>
            <v:line style="position:absolute" from="4032,1631" to="4032,2163" stroked="true" strokeweight="3.5pt" strokecolor="#9ed01a">
              <v:stroke dashstyle="solid"/>
            </v:line>
            <v:shape style="position:absolute;left:1167;top:113;width:2900;height:2295" type="#_x0000_t202" filled="false" stroked="false">
              <v:textbox inset="0,0,0,0">
                <w:txbxContent>
                  <w:p>
                    <w:pPr>
                      <w:spacing w:line="240" w:lineRule="auto" w:before="0"/>
                      <w:rPr>
                        <w:sz w:val="12"/>
                      </w:rPr>
                    </w:pPr>
                  </w:p>
                  <w:p>
                    <w:pPr>
                      <w:spacing w:line="240" w:lineRule="auto" w:before="0"/>
                      <w:rPr>
                        <w:sz w:val="15"/>
                      </w:rPr>
                    </w:pPr>
                  </w:p>
                  <w:p>
                    <w:pPr>
                      <w:spacing w:line="124" w:lineRule="exact" w:before="0"/>
                      <w:ind w:left="315" w:right="0" w:firstLine="0"/>
                      <w:jc w:val="left"/>
                      <w:rPr>
                        <w:sz w:val="12"/>
                      </w:rPr>
                    </w:pPr>
                    <w:r>
                      <w:rPr>
                        <w:sz w:val="12"/>
                      </w:rPr>
                      <w:t>Output</w:t>
                    </w:r>
                  </w:p>
                  <w:p>
                    <w:pPr>
                      <w:tabs>
                        <w:tab w:pos="1603" w:val="left" w:leader="none"/>
                      </w:tabs>
                      <w:spacing w:line="122" w:lineRule="exact" w:before="0"/>
                      <w:ind w:left="375" w:right="0" w:firstLine="0"/>
                      <w:jc w:val="left"/>
                      <w:rPr>
                        <w:sz w:val="12"/>
                      </w:rPr>
                    </w:pPr>
                    <w:r>
                      <w:rPr>
                        <w:sz w:val="12"/>
                      </w:rPr>
                      <w:t>(right-hand scale)</w:t>
                      <w:tab/>
                      <w:t>New </w:t>
                    </w:r>
                    <w:r>
                      <w:rPr>
                        <w:position w:val="1"/>
                        <w:sz w:val="12"/>
                      </w:rPr>
                      <w:t>orders</w:t>
                    </w:r>
                  </w:p>
                  <w:p>
                    <w:pPr>
                      <w:spacing w:line="126" w:lineRule="exact" w:before="0"/>
                      <w:ind w:left="1663" w:right="0" w:firstLine="0"/>
                      <w:jc w:val="left"/>
                      <w:rPr>
                        <w:sz w:val="12"/>
                      </w:rPr>
                    </w:pPr>
                    <w:r>
                      <w:rPr>
                        <w:sz w:val="12"/>
                      </w:rPr>
                      <w:t>(left-hand scale)</w:t>
                    </w:r>
                  </w:p>
                </w:txbxContent>
              </v:textbox>
              <w10:wrap type="none"/>
            </v:shape>
            <w10:wrap type="none"/>
          </v:group>
        </w:pict>
      </w:r>
      <w:r>
        <w:rPr/>
        <w:pict>
          <v:line style="position:absolute;mso-position-horizontal-relative:page;mso-position-vertical-relative:paragraph;z-index:16016896" from="54.583pt,7.655074pt" to="50.25pt,7.655074pt" stroked="true" strokeweight=".5pt" strokecolor="#000000">
            <v:stroke dashstyle="solid"/>
            <w10:wrap type="none"/>
          </v:line>
        </w:pict>
      </w:r>
      <w:r>
        <w:rPr>
          <w:sz w:val="12"/>
        </w:rPr>
        <w:t>40</w:t>
      </w:r>
    </w:p>
    <w:p>
      <w:pPr>
        <w:pStyle w:val="BodyText"/>
        <w:rPr>
          <w:sz w:val="12"/>
        </w:rPr>
      </w:pPr>
    </w:p>
    <w:p>
      <w:pPr>
        <w:spacing w:before="84"/>
        <w:ind w:left="234" w:right="0" w:firstLine="0"/>
        <w:jc w:val="left"/>
        <w:rPr>
          <w:sz w:val="12"/>
        </w:rPr>
      </w:pPr>
      <w:r>
        <w:rPr/>
        <w:pict>
          <v:line style="position:absolute;mso-position-horizontal-relative:page;mso-position-vertical-relative:paragraph;z-index:16017408" from="54.583pt,7.6609pt" to="50.25pt,7.6609pt" stroked="true" strokeweight=".5pt" strokecolor="#000000">
            <v:stroke dashstyle="solid"/>
            <w10:wrap type="none"/>
          </v:line>
        </w:pict>
      </w:r>
      <w:r>
        <w:rPr>
          <w:sz w:val="12"/>
        </w:rPr>
        <w:t>30</w:t>
      </w:r>
    </w:p>
    <w:p>
      <w:pPr>
        <w:pStyle w:val="BodyText"/>
        <w:rPr>
          <w:sz w:val="12"/>
        </w:rPr>
      </w:pPr>
    </w:p>
    <w:p>
      <w:pPr>
        <w:spacing w:before="85"/>
        <w:ind w:left="234" w:right="0" w:firstLine="0"/>
        <w:jc w:val="left"/>
        <w:rPr>
          <w:sz w:val="12"/>
        </w:rPr>
      </w:pPr>
      <w:r>
        <w:rPr/>
        <w:pict>
          <v:line style="position:absolute;mso-position-horizontal-relative:page;mso-position-vertical-relative:paragraph;z-index:16018944" from="54.583pt,7.716694pt" to="50.25pt,7.716694pt" stroked="true" strokeweight=".5pt" strokecolor="#000000">
            <v:stroke dashstyle="solid"/>
            <w10:wrap type="none"/>
          </v:line>
        </w:pict>
      </w:r>
      <w:r>
        <w:rPr>
          <w:sz w:val="12"/>
        </w:rPr>
        <w:t>20</w:t>
      </w:r>
    </w:p>
    <w:p>
      <w:pPr>
        <w:pStyle w:val="BodyText"/>
        <w:rPr>
          <w:sz w:val="12"/>
        </w:rPr>
      </w:pPr>
    </w:p>
    <w:p>
      <w:pPr>
        <w:spacing w:before="84"/>
        <w:ind w:left="234" w:right="0" w:firstLine="0"/>
        <w:jc w:val="left"/>
        <w:rPr>
          <w:sz w:val="12"/>
        </w:rPr>
      </w:pPr>
      <w:r>
        <w:rPr/>
        <w:pict>
          <v:line style="position:absolute;mso-position-horizontal-relative:page;mso-position-vertical-relative:paragraph;z-index:16017920" from="54.583pt,7.67249pt" to="50.25pt,7.67249pt" stroked="true" strokeweight=".5pt" strokecolor="#000000">
            <v:stroke dashstyle="solid"/>
            <w10:wrap type="none"/>
          </v:line>
        </w:pict>
      </w:r>
      <w:r>
        <w:rPr>
          <w:sz w:val="12"/>
        </w:rPr>
        <w:t>10</w:t>
      </w:r>
    </w:p>
    <w:p>
      <w:pPr>
        <w:spacing w:before="14"/>
        <w:ind w:left="309" w:right="0" w:firstLine="0"/>
        <w:jc w:val="left"/>
        <w:rPr>
          <w:sz w:val="16"/>
        </w:rPr>
      </w:pPr>
      <w:r>
        <w:rPr>
          <w:sz w:val="16"/>
        </w:rPr>
        <w:t>+</w:t>
      </w:r>
    </w:p>
    <w:p>
      <w:pPr>
        <w:spacing w:line="135" w:lineRule="exact" w:before="24"/>
        <w:ind w:left="294" w:right="0" w:firstLine="0"/>
        <w:jc w:val="left"/>
        <w:rPr>
          <w:sz w:val="12"/>
        </w:rPr>
      </w:pPr>
      <w:r>
        <w:rPr/>
        <w:pict>
          <v:line style="position:absolute;mso-position-horizontal-relative:page;mso-position-vertical-relative:paragraph;z-index:16019456" from="54.583pt,4.678895pt" to="50.25pt,4.678895pt" stroked="true" strokeweight=".5pt" strokecolor="#000000">
            <v:stroke dashstyle="solid"/>
            <w10:wrap type="none"/>
          </v:line>
        </w:pict>
      </w:r>
      <w:r>
        <w:rPr>
          <w:sz w:val="12"/>
        </w:rPr>
        <w:t>0</w:t>
      </w:r>
    </w:p>
    <w:p>
      <w:pPr>
        <w:spacing w:line="181" w:lineRule="exact" w:before="0"/>
        <w:ind w:left="314" w:right="0" w:firstLine="0"/>
        <w:jc w:val="left"/>
        <w:rPr>
          <w:sz w:val="16"/>
        </w:rPr>
      </w:pPr>
      <w:r>
        <w:rPr>
          <w:sz w:val="16"/>
        </w:rPr>
        <w:t>–</w:t>
      </w:r>
    </w:p>
    <w:p>
      <w:pPr>
        <w:spacing w:before="45"/>
        <w:ind w:left="234" w:right="0" w:firstLine="0"/>
        <w:jc w:val="left"/>
        <w:rPr>
          <w:sz w:val="12"/>
        </w:rPr>
      </w:pPr>
      <w:r>
        <w:rPr/>
        <w:pict>
          <v:line style="position:absolute;mso-position-horizontal-relative:page;mso-position-vertical-relative:paragraph;z-index:16018432" from="54.583pt,5.735301pt" to="50.25pt,5.735301pt" stroked="true" strokeweight=".5pt" strokecolor="#000000">
            <v:stroke dashstyle="solid"/>
            <w10:wrap type="none"/>
          </v:line>
        </w:pict>
      </w:r>
      <w:r>
        <w:rPr>
          <w:sz w:val="12"/>
        </w:rPr>
        <w:t>10</w:t>
      </w:r>
    </w:p>
    <w:p>
      <w:pPr>
        <w:pStyle w:val="BodyText"/>
        <w:rPr>
          <w:sz w:val="12"/>
        </w:rPr>
      </w:pPr>
    </w:p>
    <w:p>
      <w:pPr>
        <w:spacing w:before="84"/>
        <w:ind w:left="234" w:right="0" w:firstLine="0"/>
        <w:jc w:val="left"/>
        <w:rPr>
          <w:sz w:val="12"/>
        </w:rPr>
      </w:pPr>
      <w:r>
        <w:rPr/>
        <w:pict>
          <v:line style="position:absolute;mso-position-horizontal-relative:page;mso-position-vertical-relative:paragraph;z-index:16019968" from="54.583pt,7.691676pt" to="50.25pt,7.691676pt" stroked="true" strokeweight=".5pt" strokecolor="#000000">
            <v:stroke dashstyle="solid"/>
            <w10:wrap type="none"/>
          </v:line>
        </w:pict>
      </w:r>
      <w:r>
        <w:rPr>
          <w:sz w:val="12"/>
        </w:rPr>
        <w:t>20</w:t>
      </w:r>
    </w:p>
    <w:p>
      <w:pPr>
        <w:pStyle w:val="BodyText"/>
        <w:rPr>
          <w:sz w:val="12"/>
        </w:rPr>
      </w:pPr>
    </w:p>
    <w:p>
      <w:pPr>
        <w:spacing w:line="54" w:lineRule="exact" w:before="84"/>
        <w:ind w:left="234" w:right="0" w:firstLine="0"/>
        <w:jc w:val="left"/>
        <w:rPr>
          <w:sz w:val="12"/>
        </w:rPr>
      </w:pPr>
      <w:r>
        <w:rPr/>
        <w:pict>
          <v:shape style="position:absolute;margin-left:58.556pt;margin-top:5.052081pt;width:145.2pt;height:2.7pt;mso-position-horizontal-relative:page;mso-position-vertical-relative:paragraph;z-index:16020480" coordorigin="1171,101" coordsize="2904,54" path="m1174,155l4075,155m1171,101l1171,154m1633,101l1633,154m2327,101l2327,154m2789,101l2789,154m1402,101l1402,154m1865,101l1865,154m3020,101l3020,154m3251,101l3251,154m2096,101l2096,154m3945,101l3945,154m2558,101l2558,154m3483,101l3483,154m3714,101l3714,154e" filled="false" stroked="true" strokeweight=".5pt" strokecolor="#000000">
            <v:path arrowok="t"/>
            <v:stroke dashstyle="solid"/>
            <w10:wrap type="none"/>
          </v:shape>
        </w:pict>
      </w:r>
      <w:r>
        <w:rPr>
          <w:sz w:val="12"/>
        </w:rPr>
        <w:t>30</w:t>
      </w:r>
    </w:p>
    <w:p>
      <w:pPr>
        <w:pStyle w:val="BodyText"/>
        <w:spacing w:line="20" w:lineRule="exact"/>
        <w:ind w:left="38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line="67" w:lineRule="exact" w:before="0"/>
        <w:ind w:left="0" w:right="205" w:firstLine="0"/>
        <w:jc w:val="right"/>
        <w:rPr>
          <w:sz w:val="12"/>
        </w:rPr>
      </w:pPr>
      <w:r>
        <w:rPr/>
        <w:br w:type="column"/>
      </w:r>
      <w:r>
        <w:rPr>
          <w:sz w:val="12"/>
        </w:rPr>
        <w:t>Percentage change</w:t>
      </w:r>
    </w:p>
    <w:p>
      <w:pPr>
        <w:spacing w:line="110" w:lineRule="exact" w:before="0"/>
        <w:ind w:left="0" w:right="205" w:firstLine="0"/>
        <w:jc w:val="right"/>
        <w:rPr>
          <w:sz w:val="12"/>
        </w:rPr>
      </w:pPr>
      <w:r>
        <w:rPr>
          <w:sz w:val="12"/>
        </w:rPr>
        <w:t>on a year earlier</w:t>
      </w:r>
    </w:p>
    <w:p>
      <w:pPr>
        <w:spacing w:line="119" w:lineRule="exact" w:before="0"/>
        <w:ind w:left="0" w:right="38" w:firstLine="0"/>
        <w:jc w:val="right"/>
        <w:rPr>
          <w:sz w:val="12"/>
        </w:rPr>
      </w:pPr>
      <w:r>
        <w:rPr/>
        <w:pict>
          <v:line style="position:absolute;mso-position-horizontal-relative:page;mso-position-vertical-relative:paragraph;z-index:16020992" from="211.746994pt,2.51425pt" to="207.412994pt,2.51425pt" stroked="true" strokeweight=".5pt" strokecolor="#000000">
            <v:stroke dashstyle="solid"/>
            <w10:wrap type="none"/>
          </v:line>
        </w:pict>
      </w:r>
      <w:r>
        <w:rPr>
          <w:sz w:val="12"/>
        </w:rPr>
        <w:t>20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21504" from="211.746994pt,7.658948pt" to="207.412994pt,7.658948pt" stroked="true" strokeweight=".5pt" strokecolor="#000000">
            <v:stroke dashstyle="solid"/>
            <w10:wrap type="none"/>
          </v:line>
        </w:pict>
      </w:r>
      <w:r>
        <w:rPr>
          <w:sz w:val="12"/>
        </w:rPr>
        <w:t>16</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22016" from="211.746994pt,7.664774pt" to="207.412994pt,7.664774pt" stroked="true" strokeweight=".5pt" strokecolor="#000000">
            <v:stroke dashstyle="solid"/>
            <w10:wrap type="none"/>
          </v:line>
        </w:pict>
      </w:r>
      <w:r>
        <w:rPr>
          <w:sz w:val="12"/>
        </w:rPr>
        <w:t>12</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023552" from="211.746994pt,7.720149pt" to="207.412994pt,7.720149pt" stroked="true" strokeweight=".5pt" strokecolor="#000000">
            <v:stroke dashstyle="solid"/>
            <w10:wrap type="none"/>
          </v:line>
        </w:pict>
      </w:r>
      <w:r>
        <w:rPr>
          <w:sz w:val="12"/>
        </w:rPr>
        <w:t>8</w:t>
      </w:r>
    </w:p>
    <w:p>
      <w:pPr>
        <w:pStyle w:val="BodyText"/>
        <w:rPr>
          <w:sz w:val="12"/>
        </w:rPr>
      </w:pPr>
    </w:p>
    <w:p>
      <w:pPr>
        <w:spacing w:line="137" w:lineRule="exact" w:before="84"/>
        <w:ind w:left="0" w:right="38" w:firstLine="0"/>
        <w:jc w:val="right"/>
        <w:rPr>
          <w:sz w:val="12"/>
        </w:rPr>
      </w:pPr>
      <w:r>
        <w:rPr/>
        <w:pict>
          <v:line style="position:absolute;mso-position-horizontal-relative:page;mso-position-vertical-relative:paragraph;z-index:16022528" from="211.746994pt,7.676555pt" to="207.412994pt,7.676555pt" stroked="true" strokeweight=".5pt" strokecolor="#000000">
            <v:stroke dashstyle="solid"/>
            <w10:wrap type="none"/>
          </v:line>
        </w:pict>
      </w:r>
      <w:r>
        <w:rPr>
          <w:sz w:val="12"/>
        </w:rPr>
        <w:t>4</w:t>
      </w:r>
    </w:p>
    <w:p>
      <w:pPr>
        <w:spacing w:line="183" w:lineRule="exact" w:before="0"/>
        <w:ind w:left="1082" w:right="0" w:firstLine="0"/>
        <w:jc w:val="left"/>
        <w:rPr>
          <w:sz w:val="16"/>
        </w:rPr>
      </w:pPr>
      <w:r>
        <w:rPr>
          <w:sz w:val="16"/>
        </w:rPr>
        <w:t>+</w:t>
      </w:r>
    </w:p>
    <w:p>
      <w:pPr>
        <w:spacing w:line="127" w:lineRule="exact" w:before="40"/>
        <w:ind w:left="0" w:right="38" w:firstLine="0"/>
        <w:jc w:val="right"/>
        <w:rPr>
          <w:sz w:val="12"/>
        </w:rPr>
      </w:pPr>
      <w:r>
        <w:rPr/>
        <w:pict>
          <v:line style="position:absolute;mso-position-horizontal-relative:page;mso-position-vertical-relative:paragraph;z-index:16024064" from="211.746994pt,5.48296pt" to="207.412994pt,5.48296pt" stroked="true" strokeweight=".5pt" strokecolor="#000000">
            <v:stroke dashstyle="solid"/>
            <w10:wrap type="none"/>
          </v:line>
        </w:pict>
      </w:r>
      <w:r>
        <w:rPr>
          <w:sz w:val="12"/>
        </w:rPr>
        <w:t>0</w:t>
      </w:r>
    </w:p>
    <w:p>
      <w:pPr>
        <w:spacing w:line="173" w:lineRule="exact" w:before="0"/>
        <w:ind w:left="1087" w:right="0" w:firstLine="0"/>
        <w:jc w:val="left"/>
        <w:rPr>
          <w:sz w:val="16"/>
        </w:rPr>
      </w:pPr>
      <w:r>
        <w:rPr>
          <w:sz w:val="16"/>
        </w:rPr>
        <w:t>–</w:t>
      </w:r>
    </w:p>
    <w:p>
      <w:pPr>
        <w:spacing w:before="60"/>
        <w:ind w:left="0" w:right="38" w:firstLine="0"/>
        <w:jc w:val="right"/>
        <w:rPr>
          <w:sz w:val="12"/>
        </w:rPr>
      </w:pPr>
      <w:r>
        <w:rPr/>
        <w:pict>
          <v:line style="position:absolute;mso-position-horizontal-relative:page;mso-position-vertical-relative:paragraph;z-index:16023040" from="211.746994pt,6.489366pt" to="207.412994pt,6.489366pt" stroked="true" strokeweight=".5pt" strokecolor="#000000">
            <v:stroke dashstyle="solid"/>
            <w10:wrap type="none"/>
          </v:line>
        </w:pict>
      </w:r>
      <w:r>
        <w:rPr>
          <w:sz w:val="12"/>
        </w:rPr>
        <w:t>4</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24576" from="211.746994pt,7.695771pt" to="207.412994pt,7.695771pt" stroked="true" strokeweight=".5pt" strokecolor="#000000">
            <v:stroke dashstyle="solid"/>
            <w10:wrap type="none"/>
          </v:line>
        </w:pict>
      </w:r>
      <w:r>
        <w:rPr>
          <w:sz w:val="12"/>
        </w:rPr>
        <w:t>8</w:t>
      </w:r>
    </w:p>
    <w:p>
      <w:pPr>
        <w:pStyle w:val="BodyText"/>
        <w:rPr>
          <w:sz w:val="12"/>
        </w:rPr>
      </w:pPr>
    </w:p>
    <w:p>
      <w:pPr>
        <w:spacing w:line="53" w:lineRule="exact" w:before="84"/>
        <w:ind w:left="1178" w:right="0" w:firstLine="0"/>
        <w:jc w:val="left"/>
        <w:rPr>
          <w:sz w:val="12"/>
        </w:rPr>
      </w:pPr>
      <w:r>
        <w:rPr>
          <w:sz w:val="12"/>
        </w:rPr>
        <w:t>12</w:t>
      </w:r>
    </w:p>
    <w:p>
      <w:pPr>
        <w:pStyle w:val="BodyText"/>
        <w:spacing w:line="20" w:lineRule="exact"/>
        <w:ind w:left="1039"/>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Heading6"/>
        <w:spacing w:line="242" w:lineRule="auto" w:before="4"/>
        <w:ind w:left="234" w:right="184"/>
      </w:pPr>
      <w:r>
        <w:rPr/>
        <w:br w:type="column"/>
      </w:r>
      <w:r>
        <w:rPr/>
        <w:t>Construction output increased by 0.6% in 1999 Q3 and was 1.4% higher than a year </w:t>
      </w:r>
      <w:r>
        <w:rPr>
          <w:spacing w:val="-3"/>
        </w:rPr>
        <w:t>earlier. New </w:t>
      </w:r>
      <w:r>
        <w:rPr/>
        <w:t>construction orders were weaker than the </w:t>
      </w:r>
      <w:r>
        <w:rPr>
          <w:spacing w:val="-3"/>
        </w:rPr>
        <w:t>sector’s </w:t>
      </w:r>
      <w:r>
        <w:rPr/>
        <w:t>output indicators in 1999 Q3 (see Chart 2.21). </w:t>
      </w:r>
      <w:r>
        <w:rPr>
          <w:spacing w:val="-4"/>
        </w:rPr>
        <w:t>However, </w:t>
      </w:r>
      <w:r>
        <w:rPr>
          <w:spacing w:val="-3"/>
        </w:rPr>
        <w:t>new </w:t>
      </w:r>
      <w:r>
        <w:rPr/>
        <w:t>orders data tend to be rather volatile, and survey indicators continue to suggest that robust growth is expected </w:t>
      </w:r>
      <w:r>
        <w:rPr>
          <w:spacing w:val="-3"/>
        </w:rPr>
        <w:t>over </w:t>
      </w:r>
      <w:r>
        <w:rPr/>
        <w:t>the coming year (see Chart 2.22).  Construction output in the housing sector has been particularly buoyant, reflecting high </w:t>
      </w:r>
      <w:r>
        <w:rPr>
          <w:spacing w:val="-3"/>
        </w:rPr>
        <w:t>levels </w:t>
      </w:r>
      <w:r>
        <w:rPr/>
        <w:t>of transactions activity in the </w:t>
      </w:r>
      <w:r>
        <w:rPr>
          <w:spacing w:val="-3"/>
        </w:rPr>
        <w:t>private </w:t>
      </w:r>
      <w:r>
        <w:rPr/>
        <w:t>housing market, though the CIPS survey suggests that</w:t>
      </w:r>
      <w:r>
        <w:rPr>
          <w:spacing w:val="-6"/>
        </w:rPr>
        <w:t> </w:t>
      </w:r>
      <w:r>
        <w:rPr/>
        <w:t>growth</w:t>
      </w:r>
      <w:r>
        <w:rPr>
          <w:spacing w:val="-5"/>
        </w:rPr>
        <w:t> </w:t>
      </w:r>
      <w:r>
        <w:rPr/>
        <w:t>in</w:t>
      </w:r>
      <w:r>
        <w:rPr>
          <w:spacing w:val="-6"/>
        </w:rPr>
        <w:t> </w:t>
      </w:r>
      <w:r>
        <w:rPr/>
        <w:t>the</w:t>
      </w:r>
      <w:r>
        <w:rPr>
          <w:spacing w:val="-5"/>
        </w:rPr>
        <w:t> </w:t>
      </w:r>
      <w:r>
        <w:rPr/>
        <w:t>sector</w:t>
      </w:r>
      <w:r>
        <w:rPr>
          <w:spacing w:val="-6"/>
        </w:rPr>
        <w:t> </w:t>
      </w:r>
      <w:r>
        <w:rPr/>
        <w:t>has</w:t>
      </w:r>
      <w:r>
        <w:rPr>
          <w:spacing w:val="-5"/>
        </w:rPr>
        <w:t> </w:t>
      </w:r>
      <w:r>
        <w:rPr/>
        <w:t>slowed</w:t>
      </w:r>
      <w:r>
        <w:rPr>
          <w:spacing w:val="-6"/>
        </w:rPr>
        <w:t> </w:t>
      </w:r>
      <w:r>
        <w:rPr/>
        <w:t>somewhat</w:t>
      </w:r>
      <w:r>
        <w:rPr>
          <w:spacing w:val="-5"/>
        </w:rPr>
        <w:t> </w:t>
      </w:r>
      <w:r>
        <w:rPr/>
        <w:t>in</w:t>
      </w:r>
      <w:r>
        <w:rPr>
          <w:spacing w:val="-6"/>
        </w:rPr>
        <w:t> </w:t>
      </w:r>
      <w:r>
        <w:rPr/>
        <w:t>recent</w:t>
      </w:r>
    </w:p>
    <w:p>
      <w:pPr>
        <w:spacing w:after="0" w:line="242" w:lineRule="auto"/>
        <w:sectPr>
          <w:type w:val="continuous"/>
          <w:pgSz w:w="11900" w:h="16840"/>
          <w:pgMar w:top="1220" w:bottom="280" w:left="620" w:right="640"/>
          <w:cols w:num="3" w:equalWidth="0">
            <w:col w:w="1322" w:space="1162"/>
            <w:col w:w="1339" w:space="925"/>
            <w:col w:w="5892"/>
          </w:cols>
        </w:sectPr>
      </w:pPr>
    </w:p>
    <w:p>
      <w:pPr>
        <w:tabs>
          <w:tab w:pos="549" w:val="left" w:leader="none"/>
          <w:tab w:pos="1011" w:val="left" w:leader="none"/>
          <w:tab w:pos="1476" w:val="left" w:leader="none"/>
          <w:tab w:pos="1926" w:val="left" w:leader="none"/>
          <w:tab w:pos="2389" w:val="left" w:leader="none"/>
          <w:tab w:pos="2786" w:val="left" w:leader="none"/>
        </w:tabs>
        <w:spacing w:before="33"/>
        <w:ind w:left="0" w:right="182" w:firstLine="0"/>
        <w:jc w:val="right"/>
        <w:rPr>
          <w:sz w:val="12"/>
        </w:rPr>
      </w:pPr>
      <w:r>
        <w:rPr>
          <w:sz w:val="12"/>
        </w:rPr>
        <w:t>1987</w:t>
        <w:tab/>
        <w:t>89</w:t>
        <w:tab/>
        <w:t>91</w:t>
        <w:tab/>
        <w:t>93</w:t>
        <w:tab/>
        <w:t>95</w:t>
        <w:tab/>
        <w:t>97</w:t>
        <w:tab/>
        <w:t>99</w:t>
      </w:r>
    </w:p>
    <w:p>
      <w:pPr>
        <w:spacing w:before="87"/>
        <w:ind w:left="0" w:right="84" w:firstLine="0"/>
        <w:jc w:val="right"/>
        <w:rPr>
          <w:sz w:val="12"/>
        </w:rPr>
      </w:pPr>
      <w:r>
        <w:rPr>
          <w:sz w:val="12"/>
        </w:rPr>
        <w:t>Source: Department for the Environment, Transport and the Regions.</w:t>
      </w:r>
    </w:p>
    <w:p>
      <w:pPr>
        <w:pStyle w:val="BodyText"/>
        <w:rPr>
          <w:sz w:val="12"/>
        </w:rPr>
      </w:pPr>
    </w:p>
    <w:p>
      <w:pPr>
        <w:pStyle w:val="BodyText"/>
        <w:rPr>
          <w:sz w:val="12"/>
        </w:rPr>
      </w:pPr>
    </w:p>
    <w:p>
      <w:pPr>
        <w:pStyle w:val="BodyText"/>
        <w:rPr>
          <w:sz w:val="12"/>
        </w:rPr>
      </w:pPr>
    </w:p>
    <w:p>
      <w:pPr>
        <w:pStyle w:val="BodyText"/>
        <w:rPr>
          <w:sz w:val="13"/>
        </w:rPr>
      </w:pPr>
    </w:p>
    <w:p>
      <w:pPr>
        <w:pStyle w:val="Heading9"/>
        <w:spacing w:before="0"/>
        <w:ind w:left="202"/>
      </w:pPr>
      <w:r>
        <w:rPr>
          <w:color w:val="0092C7"/>
        </w:rPr>
        <w:t>Chart 2.22</w:t>
      </w:r>
    </w:p>
    <w:p>
      <w:pPr>
        <w:spacing w:before="10"/>
        <w:ind w:left="202" w:right="0" w:firstLine="0"/>
        <w:jc w:val="left"/>
        <w:rPr>
          <w:sz w:val="12"/>
        </w:rPr>
      </w:pPr>
      <w:r>
        <w:rPr>
          <w:b/>
          <w:color w:val="0092C7"/>
          <w:sz w:val="20"/>
        </w:rPr>
        <w:t>CIPS construction survey</w:t>
      </w:r>
      <w:r>
        <w:rPr>
          <w:position w:val="4"/>
          <w:sz w:val="12"/>
        </w:rPr>
        <w:t>(a)</w:t>
      </w:r>
    </w:p>
    <w:p>
      <w:pPr>
        <w:spacing w:before="16"/>
        <w:ind w:left="3160" w:right="0" w:firstLine="0"/>
        <w:jc w:val="left"/>
        <w:rPr>
          <w:sz w:val="12"/>
        </w:rPr>
      </w:pPr>
      <w:r>
        <w:rPr/>
        <w:pict>
          <v:line style="position:absolute;mso-position-horizontal-relative:page;mso-position-vertical-relative:paragraph;z-index:16013824" from="47.318001pt,8.859498pt" to="42.985001pt,8.859498pt" stroked="true" strokeweight=".5pt" strokecolor="#000000">
            <v:stroke dashstyle="solid"/>
            <w10:wrap type="none"/>
          </v:line>
        </w:pict>
      </w:r>
      <w:r>
        <w:rPr/>
        <w:pict>
          <v:line style="position:absolute;mso-position-horizontal-relative:page;mso-position-vertical-relative:paragraph;z-index:-22130176" from="202.526993pt,8.880498pt" to="198.192993pt,8.880498pt" stroked="true" strokeweight=".5pt" strokecolor="#000000">
            <v:stroke dashstyle="solid"/>
            <w10:wrap type="none"/>
          </v:line>
        </w:pict>
      </w:r>
      <w:r>
        <w:rPr>
          <w:sz w:val="12"/>
        </w:rPr>
        <w:t>Index</w:t>
      </w:r>
      <w:r>
        <w:rPr>
          <w:spacing w:val="3"/>
          <w:sz w:val="12"/>
        </w:rPr>
        <w:t> </w:t>
      </w:r>
      <w:r>
        <w:rPr>
          <w:position w:val="-8"/>
          <w:sz w:val="12"/>
        </w:rPr>
        <w:t>90</w:t>
      </w:r>
    </w:p>
    <w:p>
      <w:pPr>
        <w:spacing w:before="155"/>
        <w:ind w:left="0" w:right="38" w:firstLine="0"/>
        <w:jc w:val="right"/>
        <w:rPr>
          <w:sz w:val="12"/>
        </w:rPr>
      </w:pPr>
      <w:r>
        <w:rPr/>
        <w:pict>
          <v:group style="position:absolute;margin-left:42.985001pt;margin-top:11.100563pt;width:159.550pt;height:115.7pt;mso-position-horizontal-relative:page;mso-position-vertical-relative:paragraph;z-index:16012800" coordorigin="860,222" coordsize="3191,2314">
            <v:shape style="position:absolute;left:1004;top:1285;width:2605;height:1240" coordorigin="1005,1285" coordsize="2605,1240" path="m1005,1285l1097,1440m1097,1440l1192,1533m1192,1533l1285,1628m1285,1628l1377,1673m1377,1673l1470,1783m1470,1783l1562,1860m1562,1860l1655,1658m1655,1658l1747,1440m1747,1440l1840,1488m1840,1488l1932,1688m1932,1688l2025,1765m2025,1765l2117,1783m2117,1783l2210,1905m2210,1905l2302,2168m2302,2168l2395,2400m2395,2400l2500,2495m2500,2495l2592,2525m2592,2525l2685,2495m2685,2495l2777,2323m2777,2323l2870,2123m2870,2123l2962,1938m2962,1938l3055,1720m3055,1720l3147,1533m3147,1533l3240,1455m3240,1455l3332,1550m3332,1550l3517,1735m3517,1735l3610,1798e" filled="false" stroked="true" strokeweight="1pt" strokecolor="#835335">
              <v:path arrowok="t"/>
              <v:stroke dashstyle="solid"/>
            </v:shape>
            <v:line style="position:absolute" from="3600,1799" to="3712,1799" stroked="true" strokeweight="1.125pt" strokecolor="#835335">
              <v:stroke dashstyle="solid"/>
            </v:line>
            <v:line style="position:absolute" from="3702,1798" to="3795,1765" stroked="true" strokeweight="1pt" strokecolor="#835335">
              <v:stroke dashstyle="solid"/>
            </v:line>
            <v:line style="position:absolute" from="3785,1767" to="3897,1767" stroked="true" strokeweight="1.125pt" strokecolor="#835335">
              <v:stroke dashstyle="solid"/>
            </v:line>
            <v:shape style="position:absolute;left:1004;top:1222;width:2883;height:1255" coordorigin="1005,1223" coordsize="2883,1255" path="m1005,1240l1097,1473m1097,1473l1192,1828m1192,1828l1285,2123m1285,2123l1377,2138m1377,2138l1470,2090m1470,2090l1562,2168m1562,2168l1655,2030m1655,2030l1747,1798m1747,1798l1840,1843m1840,1843l1932,2013m1932,2013l2025,1968m2025,1968l2117,1938m2117,1938l2210,2030m2210,2030l2302,2263m2302,2263l2395,2478m2395,2478l2500,2400m2500,2400l2592,2278m2592,2278l2685,2418m2685,2418l2777,2385m2777,2385l2870,1920m2870,1920l2962,1628m2962,1628l3055,1440m3055,1440l3147,1240m3147,1240l3240,1223m3240,1223l3332,1300m3332,1300l3425,1333m3425,1333l3517,1473m3517,1473l3610,1550m3610,1550l3702,1473m3702,1473l3795,1550m3795,1550l3887,1720e" filled="false" stroked="true" strokeweight="1pt" strokecolor="#009391">
              <v:path arrowok="t"/>
              <v:stroke dashstyle="solid"/>
            </v:shape>
            <v:shape style="position:absolute;left:994;top:252;width:670;height:330" type="#_x0000_t75" stroked="false">
              <v:imagedata r:id="rId94" o:title=""/>
            </v:shape>
            <v:shape style="position:absolute;left:1654;top:280;width:555;height:1208" coordorigin="1655,280" coordsize="555,1208" path="m1655,280l1747,665m1747,665l1840,713m1840,713l1932,775m1932,775l2025,665m2025,665l2117,975m2117,975l2210,1488e" filled="false" stroked="true" strokeweight="1pt" strokecolor="#efa900">
              <v:path arrowok="t"/>
              <v:stroke dashstyle="solid"/>
            </v:shape>
            <v:line style="position:absolute" from="2200,1489" to="2312,1489" stroked="true" strokeweight="1.125pt" strokecolor="#efa900">
              <v:stroke dashstyle="solid"/>
            </v:line>
            <v:shape style="position:absolute;left:2302;top:665;width:1585;height:1055" coordorigin="2302,665" coordsize="1585,1055" path="m2302,1488l2395,1720m2395,1720l2500,1673m2500,1673l2592,1503m2592,1503l2685,1425m2685,1425l2777,1085m2777,1085l2870,1178m2870,1178l2962,1130m2962,1130l3055,930m3055,930l3147,838m3147,838l3240,665m3240,665l3332,1023m3332,1023l3425,728m3425,728l3610,1038m3610,1038l3702,883m3702,883l3795,1070m3795,1070l3887,945e" filled="false" stroked="true" strokeweight="1pt" strokecolor="#efa900">
              <v:path arrowok="t"/>
              <v:stroke dashstyle="solid"/>
            </v:shape>
            <v:shape style="position:absolute;left:859;top:227;width:3191;height:2300" coordorigin="860,227" coordsize="3191,2300" path="m946,1380l860,1380m946,1674l860,1674m946,1953l860,1953m946,2246l860,2246m946,2526l860,2526m946,227l860,227m946,506l860,506m946,800l860,800m946,1080l860,1080m4051,1380l3964,1380m4051,1674l3964,1674m4051,1953l3964,1953m4051,2247l3964,2247m4051,2527l3964,2527m4051,227l3964,227m4051,507l3964,507m4051,800l3964,800m4051,1080l3964,1080e" filled="false" stroked="true" strokeweight=".5pt" strokecolor="#000000">
              <v:path arrowok="t"/>
              <v:stroke dashstyle="solid"/>
            </v:shape>
            <v:line style="position:absolute" from="1415,1137" to="1415,1598" stroked="true" strokeweight=".640484pt" strokecolor="#000000">
              <v:stroke dashstyle="solid"/>
            </v:line>
            <v:shape style="position:absolute;left:1388;top:1575;width:51;height:86" coordorigin="1388,1576" coordsize="51,86" path="m1388,1576l1409,1641,1412,1661,1414,1652,1439,1576,1388,1576xe" filled="true" fillcolor="#000000" stroked="false">
              <v:path arrowok="t"/>
              <v:fill type="solid"/>
            </v:shape>
            <v:shape style="position:absolute;left:1068;top:407;width:1450;height:745" type="#_x0000_t202" filled="false" stroked="false">
              <v:textbox inset="0,0,0,0">
                <w:txbxContent>
                  <w:p>
                    <w:pPr>
                      <w:spacing w:line="133" w:lineRule="exact" w:before="0"/>
                      <w:ind w:left="679" w:right="0" w:firstLine="0"/>
                      <w:jc w:val="left"/>
                      <w:rPr>
                        <w:sz w:val="12"/>
                      </w:rPr>
                    </w:pPr>
                    <w:r>
                      <w:rPr>
                        <w:sz w:val="12"/>
                      </w:rPr>
                      <w:t>Future business</w:t>
                    </w:r>
                  </w:p>
                  <w:p>
                    <w:pPr>
                      <w:spacing w:line="240" w:lineRule="auto" w:before="0"/>
                      <w:rPr>
                        <w:sz w:val="12"/>
                      </w:rPr>
                    </w:pPr>
                  </w:p>
                  <w:p>
                    <w:pPr>
                      <w:spacing w:line="240" w:lineRule="auto" w:before="0"/>
                      <w:rPr>
                        <w:sz w:val="17"/>
                      </w:rPr>
                    </w:pPr>
                  </w:p>
                  <w:p>
                    <w:pPr>
                      <w:spacing w:line="242" w:lineRule="auto" w:before="0"/>
                      <w:ind w:left="30" w:right="553" w:hanging="30"/>
                      <w:jc w:val="left"/>
                      <w:rPr>
                        <w:sz w:val="12"/>
                      </w:rPr>
                    </w:pPr>
                    <w:r>
                      <w:rPr>
                        <w:sz w:val="12"/>
                      </w:rPr>
                      <w:t>Total construction activity</w:t>
                    </w:r>
                  </w:p>
                </w:txbxContent>
              </v:textbox>
              <w10:wrap type="none"/>
            </v:shape>
            <v:shape style="position:absolute;left:1257;top:2184;width:817;height:134" type="#_x0000_t202" filled="false" stroked="false">
              <v:textbox inset="0,0,0,0">
                <w:txbxContent>
                  <w:p>
                    <w:pPr>
                      <w:spacing w:line="133" w:lineRule="exact" w:before="0"/>
                      <w:ind w:left="0" w:right="0" w:firstLine="0"/>
                      <w:jc w:val="left"/>
                      <w:rPr>
                        <w:sz w:val="12"/>
                      </w:rPr>
                    </w:pPr>
                    <w:r>
                      <w:rPr>
                        <w:sz w:val="12"/>
                      </w:rPr>
                      <w:t>Housing activity</w:t>
                    </w:r>
                  </w:p>
                </w:txbxContent>
              </v:textbox>
              <w10:wrap type="none"/>
            </v:shape>
            <w10:wrap type="none"/>
          </v:group>
        </w:pict>
      </w:r>
      <w:r>
        <w:rPr>
          <w:sz w:val="12"/>
        </w:rPr>
        <w:t>85</w:t>
      </w:r>
    </w:p>
    <w:p>
      <w:pPr>
        <w:pStyle w:val="BodyText"/>
        <w:spacing w:before="1"/>
        <w:rPr>
          <w:sz w:val="12"/>
        </w:rPr>
      </w:pPr>
    </w:p>
    <w:p>
      <w:pPr>
        <w:spacing w:before="1"/>
        <w:ind w:left="0" w:right="38" w:firstLine="0"/>
        <w:jc w:val="right"/>
        <w:rPr>
          <w:sz w:val="12"/>
        </w:rPr>
      </w:pPr>
      <w:r>
        <w:rPr>
          <w:sz w:val="12"/>
        </w:rPr>
        <w:t>80</w:t>
      </w:r>
    </w:p>
    <w:p>
      <w:pPr>
        <w:pStyle w:val="BodyText"/>
        <w:spacing w:before="7"/>
        <w:rPr>
          <w:sz w:val="13"/>
        </w:rPr>
      </w:pPr>
    </w:p>
    <w:p>
      <w:pPr>
        <w:spacing w:before="0"/>
        <w:ind w:left="0" w:right="38" w:firstLine="0"/>
        <w:jc w:val="right"/>
        <w:rPr>
          <w:sz w:val="12"/>
        </w:rPr>
      </w:pPr>
      <w:r>
        <w:rPr>
          <w:sz w:val="12"/>
        </w:rPr>
        <w:t>75</w:t>
      </w:r>
    </w:p>
    <w:p>
      <w:pPr>
        <w:pStyle w:val="BodyText"/>
        <w:spacing w:before="1"/>
        <w:rPr>
          <w:sz w:val="12"/>
        </w:rPr>
      </w:pPr>
    </w:p>
    <w:p>
      <w:pPr>
        <w:spacing w:before="1"/>
        <w:ind w:left="0" w:right="38" w:firstLine="0"/>
        <w:jc w:val="right"/>
        <w:rPr>
          <w:sz w:val="12"/>
        </w:rPr>
      </w:pPr>
      <w:r>
        <w:rPr>
          <w:sz w:val="12"/>
        </w:rPr>
        <w:t>70</w:t>
      </w:r>
    </w:p>
    <w:p>
      <w:pPr>
        <w:pStyle w:val="BodyText"/>
        <w:spacing w:before="7"/>
        <w:rPr>
          <w:sz w:val="13"/>
        </w:rPr>
      </w:pPr>
    </w:p>
    <w:p>
      <w:pPr>
        <w:spacing w:before="0"/>
        <w:ind w:left="0" w:right="38" w:firstLine="0"/>
        <w:jc w:val="right"/>
        <w:rPr>
          <w:sz w:val="12"/>
        </w:rPr>
      </w:pPr>
      <w:r>
        <w:rPr>
          <w:sz w:val="12"/>
        </w:rPr>
        <w:t>65</w:t>
      </w:r>
    </w:p>
    <w:p>
      <w:pPr>
        <w:pStyle w:val="BodyText"/>
        <w:spacing w:before="7"/>
        <w:rPr>
          <w:sz w:val="13"/>
        </w:rPr>
      </w:pPr>
    </w:p>
    <w:p>
      <w:pPr>
        <w:spacing w:before="1"/>
        <w:ind w:left="0" w:right="38" w:firstLine="0"/>
        <w:jc w:val="right"/>
        <w:rPr>
          <w:sz w:val="12"/>
        </w:rPr>
      </w:pPr>
      <w:r>
        <w:rPr>
          <w:sz w:val="12"/>
        </w:rPr>
        <w:t>60</w:t>
      </w:r>
    </w:p>
    <w:p>
      <w:pPr>
        <w:pStyle w:val="BodyText"/>
        <w:spacing w:before="1"/>
        <w:rPr>
          <w:sz w:val="12"/>
        </w:rPr>
      </w:pPr>
    </w:p>
    <w:p>
      <w:pPr>
        <w:spacing w:before="0"/>
        <w:ind w:left="0" w:right="38" w:firstLine="0"/>
        <w:jc w:val="right"/>
        <w:rPr>
          <w:sz w:val="12"/>
        </w:rPr>
      </w:pPr>
      <w:r>
        <w:rPr>
          <w:sz w:val="12"/>
        </w:rPr>
        <w:t>55</w:t>
      </w:r>
    </w:p>
    <w:p>
      <w:pPr>
        <w:pStyle w:val="BodyText"/>
        <w:spacing w:before="7"/>
        <w:rPr>
          <w:sz w:val="13"/>
        </w:rPr>
      </w:pPr>
    </w:p>
    <w:p>
      <w:pPr>
        <w:spacing w:before="1"/>
        <w:ind w:left="0" w:right="38" w:firstLine="0"/>
        <w:jc w:val="right"/>
        <w:rPr>
          <w:sz w:val="12"/>
        </w:rPr>
      </w:pPr>
      <w:r>
        <w:rPr>
          <w:sz w:val="12"/>
        </w:rPr>
        <w:t>50</w:t>
      </w:r>
    </w:p>
    <w:p>
      <w:pPr>
        <w:pStyle w:val="BodyText"/>
        <w:spacing w:before="3"/>
        <w:rPr>
          <w:sz w:val="12"/>
        </w:rPr>
      </w:pPr>
    </w:p>
    <w:p>
      <w:pPr>
        <w:spacing w:before="1"/>
        <w:ind w:left="0" w:right="38" w:firstLine="0"/>
        <w:jc w:val="right"/>
        <w:rPr>
          <w:sz w:val="12"/>
        </w:rPr>
      </w:pPr>
      <w:r>
        <w:rPr>
          <w:sz w:val="12"/>
        </w:rPr>
        <w:t>45</w:t>
      </w:r>
    </w:p>
    <w:p>
      <w:pPr>
        <w:pStyle w:val="BodyText"/>
        <w:spacing w:before="5"/>
        <w:rPr>
          <w:sz w:val="13"/>
        </w:rPr>
      </w:pPr>
    </w:p>
    <w:p>
      <w:pPr>
        <w:spacing w:line="127" w:lineRule="exact" w:before="0"/>
        <w:ind w:left="3467" w:right="0" w:firstLine="0"/>
        <w:jc w:val="left"/>
        <w:rPr>
          <w:sz w:val="12"/>
        </w:rPr>
      </w:pPr>
      <w:r>
        <w:rPr/>
        <w:pict>
          <v:shape style="position:absolute;margin-left:42.985001pt;margin-top:-.981438pt;width:151.050pt;height:5pt;mso-position-horizontal-relative:page;mso-position-vertical-relative:paragraph;z-index:16013312" coordorigin="860,-20" coordsize="3021,100" path="m946,76l860,76m1000,27l1000,80m1661,-20l1661,80m1189,27l1189,80m1094,27l1094,80m2774,-20l2774,80m1283,27l1283,80m3881,-20l3881,80m1377,27l1377,80m1566,27l1566,80m1472,27l1472,80m1007,75l3881,75m1753,27l1753,80m1939,27l1939,80m1846,27l1846,80m2032,27l2032,80m2124,27l2124,80m2310,27l2310,80m2217,27l2217,80m2403,27l2403,80m2588,27l2588,80m2496,27l2496,80m2681,27l2681,80m2866,27l2866,80m3051,27l3051,80m2958,27l2958,80m3143,27l3143,80m3235,27l3235,80m3419,27l3419,80m3327,27l3327,80m3512,27l3512,80m3696,27l3696,80m3604,27l3604,80m3788,27l3788,80e" filled="false" stroked="true" strokeweight=".5pt" strokecolor="#000000">
            <v:path arrowok="t"/>
            <v:stroke dashstyle="solid"/>
            <w10:wrap type="none"/>
          </v:shape>
        </w:pict>
      </w:r>
      <w:r>
        <w:rPr/>
        <w:pict>
          <v:line style="position:absolute;mso-position-horizontal-relative:page;mso-position-vertical-relative:paragraph;z-index:16014336" from="202.526993pt,3.810562pt" to="198.192993pt,3.810562pt" stroked="true" strokeweight=".5pt" strokecolor="#000000">
            <v:stroke dashstyle="solid"/>
            <w10:wrap type="none"/>
          </v:line>
        </w:pict>
      </w:r>
      <w:r>
        <w:rPr>
          <w:sz w:val="12"/>
        </w:rPr>
        <w:t>40</w:t>
      </w:r>
    </w:p>
    <w:p>
      <w:pPr>
        <w:tabs>
          <w:tab w:pos="1530" w:val="left" w:leader="none"/>
          <w:tab w:pos="2652" w:val="left" w:leader="none"/>
          <w:tab w:pos="3137" w:val="left" w:leader="none"/>
        </w:tabs>
        <w:spacing w:line="127" w:lineRule="exact" w:before="0"/>
        <w:ind w:left="543" w:right="0" w:firstLine="0"/>
        <w:jc w:val="left"/>
        <w:rPr>
          <w:sz w:val="12"/>
        </w:rPr>
      </w:pPr>
      <w:r>
        <w:rPr>
          <w:sz w:val="12"/>
        </w:rPr>
        <w:t>1997</w:t>
        <w:tab/>
        <w:t>98</w:t>
        <w:tab/>
        <w:t>99</w:t>
        <w:tab/>
        <w:t>2000</w:t>
      </w:r>
    </w:p>
    <w:p>
      <w:pPr>
        <w:pStyle w:val="BodyText"/>
        <w:spacing w:before="7"/>
        <w:rPr>
          <w:sz w:val="9"/>
        </w:rPr>
      </w:pPr>
    </w:p>
    <w:p>
      <w:pPr>
        <w:spacing w:before="0"/>
        <w:ind w:left="180" w:right="0" w:firstLine="0"/>
        <w:jc w:val="left"/>
        <w:rPr>
          <w:sz w:val="12"/>
        </w:rPr>
      </w:pPr>
      <w:r>
        <w:rPr>
          <w:sz w:val="12"/>
        </w:rPr>
        <w:t>Source: CIPS.</w:t>
      </w:r>
    </w:p>
    <w:p>
      <w:pPr>
        <w:pStyle w:val="BodyText"/>
        <w:spacing w:before="1"/>
        <w:rPr>
          <w:sz w:val="10"/>
        </w:rPr>
      </w:pPr>
    </w:p>
    <w:p>
      <w:pPr>
        <w:spacing w:line="208" w:lineRule="auto" w:before="1"/>
        <w:ind w:left="420" w:right="0" w:hanging="240"/>
        <w:jc w:val="left"/>
        <w:rPr>
          <w:sz w:val="12"/>
        </w:rPr>
      </w:pPr>
      <w:r>
        <w:rPr>
          <w:sz w:val="12"/>
        </w:rPr>
        <w:t>(a) A reading below 50 suggests contraction, a reading above 50 suggests expansion.</w:t>
      </w:r>
    </w:p>
    <w:p>
      <w:pPr>
        <w:pStyle w:val="Heading6"/>
        <w:spacing w:line="246" w:lineRule="exact"/>
        <w:ind w:left="180"/>
      </w:pPr>
      <w:r>
        <w:rPr/>
        <w:br w:type="column"/>
      </w:r>
      <w:r>
        <w:rPr/>
        <w:t>months.</w:t>
      </w:r>
    </w:p>
    <w:p>
      <w:pPr>
        <w:pStyle w:val="BodyText"/>
        <w:spacing w:before="8"/>
        <w:rPr>
          <w:sz w:val="24"/>
        </w:rPr>
      </w:pPr>
    </w:p>
    <w:p>
      <w:pPr>
        <w:spacing w:line="242" w:lineRule="auto" w:before="0"/>
        <w:ind w:left="180" w:right="145" w:firstLine="0"/>
        <w:jc w:val="left"/>
        <w:rPr>
          <w:sz w:val="24"/>
        </w:rPr>
      </w:pPr>
      <w:r>
        <w:rPr>
          <w:sz w:val="24"/>
        </w:rPr>
        <w:t>Survey measures suggested that production capacity became somewhat scarcer during 1999, as the economic recovery strengthened (see Chart 2.23). The CIPS index of ‘outstanding business’ in the service sector rose throughout 1999, and in December reached its highest level since February 1998, indicating that capacity constraints may have become more significant in recent months. The BCC measure of service sector capacity utilisation also rose markedly in 1999, particularly in the last quarter of the year. Consistent with reports from the Bank’s regional Agents, the CBI quarterly industrial trends survey reported that most manufacturing firms continue to operate with spare capacity. However, the CBI survey suggested that the proportion of manufacturing firms with spare capacity was slightly lower in the second half of 1999 than in the first half of the year, and the number reporting that plant capacity</w:t>
      </w:r>
    </w:p>
    <w:p>
      <w:pPr>
        <w:spacing w:after="0" w:line="242" w:lineRule="auto"/>
        <w:jc w:val="left"/>
        <w:rPr>
          <w:sz w:val="24"/>
        </w:rPr>
        <w:sectPr>
          <w:type w:val="continuous"/>
          <w:pgSz w:w="11900" w:h="16840"/>
          <w:pgMar w:top="1220" w:bottom="280" w:left="620" w:right="640"/>
          <w:cols w:num="2" w:equalWidth="0">
            <w:col w:w="3628" w:space="1175"/>
            <w:col w:w="5837"/>
          </w:cols>
        </w:sectPr>
      </w:pPr>
    </w:p>
    <w:p>
      <w:pPr>
        <w:pStyle w:val="BodyText"/>
        <w:rPr>
          <w:sz w:val="20"/>
        </w:rPr>
      </w:pPr>
    </w:p>
    <w:p>
      <w:pPr>
        <w:spacing w:after="0"/>
        <w:rPr>
          <w:sz w:val="20"/>
        </w:rPr>
        <w:sectPr>
          <w:pgSz w:w="11900" w:h="16840"/>
          <w:pgMar w:header="586" w:footer="597" w:top="780" w:bottom="780" w:left="620" w:right="640"/>
        </w:sectPr>
      </w:pPr>
    </w:p>
    <w:p>
      <w:pPr>
        <w:pStyle w:val="BodyText"/>
        <w:spacing w:before="10"/>
        <w:rPr>
          <w:sz w:val="20"/>
        </w:rPr>
      </w:pPr>
    </w:p>
    <w:p>
      <w:pPr>
        <w:pStyle w:val="Heading9"/>
        <w:spacing w:before="0"/>
        <w:ind w:left="188"/>
      </w:pPr>
      <w:bookmarkStart w:name="Summary" w:id="45"/>
      <w:bookmarkEnd w:id="45"/>
      <w:r>
        <w:rPr>
          <w:b w:val="0"/>
        </w:rPr>
      </w:r>
      <w:bookmarkStart w:name="_bookmark17" w:id="46"/>
      <w:bookmarkEnd w:id="46"/>
      <w:r>
        <w:rPr>
          <w:b w:val="0"/>
        </w:rPr>
      </w:r>
      <w:r>
        <w:rPr>
          <w:color w:val="0092C7"/>
        </w:rPr>
        <w:t>Chart 2.23</w:t>
      </w:r>
    </w:p>
    <w:p>
      <w:pPr>
        <w:spacing w:before="10"/>
        <w:ind w:left="188" w:right="0" w:firstLine="0"/>
        <w:jc w:val="left"/>
        <w:rPr>
          <w:b/>
          <w:sz w:val="20"/>
        </w:rPr>
      </w:pPr>
      <w:r>
        <w:rPr>
          <w:b/>
          <w:color w:val="0092C7"/>
          <w:sz w:val="20"/>
        </w:rPr>
        <w:t>Survey measures of capacity utilisation</w:t>
      </w:r>
    </w:p>
    <w:p>
      <w:pPr>
        <w:spacing w:line="242" w:lineRule="auto" w:before="217"/>
        <w:ind w:left="188" w:right="0" w:firstLine="0"/>
        <w:jc w:val="left"/>
        <w:rPr>
          <w:sz w:val="24"/>
        </w:rPr>
      </w:pPr>
      <w:r>
        <w:rPr/>
        <w:br w:type="column"/>
      </w:r>
      <w:r>
        <w:rPr>
          <w:sz w:val="24"/>
        </w:rPr>
        <w:t>was likely to limit future output rose throughout 1999. Similarly, the CIPS manufacturing survey suggested that</w:t>
      </w:r>
    </w:p>
    <w:p>
      <w:pPr>
        <w:spacing w:after="0" w:line="242" w:lineRule="auto"/>
        <w:jc w:val="left"/>
        <w:rPr>
          <w:sz w:val="24"/>
        </w:rPr>
        <w:sectPr>
          <w:type w:val="continuous"/>
          <w:pgSz w:w="11900" w:h="16840"/>
          <w:pgMar w:top="1220" w:bottom="280" w:left="620" w:right="640"/>
          <w:cols w:num="2" w:equalWidth="0">
            <w:col w:w="3561" w:space="1245"/>
            <w:col w:w="5834"/>
          </w:cols>
        </w:sectPr>
      </w:pPr>
    </w:p>
    <w:p>
      <w:pPr>
        <w:spacing w:line="95" w:lineRule="exact" w:before="0"/>
        <w:ind w:left="434" w:right="0" w:firstLine="0"/>
        <w:jc w:val="left"/>
        <w:rPr>
          <w:sz w:val="12"/>
        </w:rPr>
      </w:pPr>
      <w:r>
        <w:rPr>
          <w:sz w:val="12"/>
        </w:rPr>
        <w:t>Index</w:t>
      </w:r>
    </w:p>
    <w:p>
      <w:pPr>
        <w:spacing w:line="121" w:lineRule="exact" w:before="0"/>
        <w:ind w:left="242" w:right="0" w:firstLine="0"/>
        <w:jc w:val="left"/>
        <w:rPr>
          <w:sz w:val="12"/>
        </w:rPr>
      </w:pPr>
      <w:r>
        <w:rPr/>
        <w:pict>
          <v:line style="position:absolute;mso-position-horizontal-relative:page;mso-position-vertical-relative:paragraph;z-index:16031232" from="56.869999pt,3.837515pt" to="52.536999pt,3.837515pt" stroked="true" strokeweight=".5pt" strokecolor="#000000">
            <v:stroke dashstyle="solid"/>
            <w10:wrap type="none"/>
          </v:line>
        </w:pict>
      </w:r>
      <w:r>
        <w:rPr>
          <w:sz w:val="12"/>
        </w:rPr>
        <w:t>30</w:t>
      </w:r>
    </w:p>
    <w:p>
      <w:pPr>
        <w:pStyle w:val="BodyText"/>
        <w:rPr>
          <w:sz w:val="12"/>
        </w:rPr>
      </w:pPr>
    </w:p>
    <w:p>
      <w:pPr>
        <w:pStyle w:val="BodyText"/>
        <w:spacing w:before="11"/>
        <w:rPr>
          <w:sz w:val="17"/>
        </w:rPr>
      </w:pPr>
    </w:p>
    <w:p>
      <w:pPr>
        <w:spacing w:before="0"/>
        <w:ind w:left="242" w:right="0" w:firstLine="0"/>
        <w:jc w:val="left"/>
        <w:rPr>
          <w:sz w:val="12"/>
        </w:rPr>
      </w:pPr>
      <w:r>
        <w:rPr/>
        <w:pict>
          <v:group style="position:absolute;margin-left:52.536999pt;margin-top:-8.524655pt;width:162pt;height:107.45pt;mso-position-horizontal-relative:page;mso-position-vertical-relative:paragraph;z-index:-22119424" coordorigin="1051,-170" coordsize="3240,2149">
            <v:shape style="position:absolute;left:1237;top:864;width:740;height:503" type="#_x0000_t75" stroked="false">
              <v:imagedata r:id="rId95" o:title=""/>
            </v:shape>
            <v:shape style="position:absolute;left:1967;top:304;width:635;height:1338" coordorigin="1967,305" coordsize="635,1338" path="m1967,1302l2045,305m2045,305l2120,1160m2120,1160l2210,1212m2210,1212l2285,1070m2285,1070l2360,1160m2360,1160l2450,1302m2450,1302l2525,1392m2525,1392l2602,1642e" filled="false" stroked="true" strokeweight="1pt" strokecolor="#f6bd61">
              <v:path arrowok="t"/>
              <v:stroke dashstyle="solid"/>
            </v:shape>
            <v:line style="position:absolute" from="2592,1643" to="2700,1643" stroked="true" strokeweight="1.125pt" strokecolor="#f6bd61">
              <v:stroke dashstyle="solid"/>
            </v:line>
            <v:shape style="position:absolute;left:2689;top:1069;width:1430;height:840" coordorigin="2690,1070" coordsize="1430,840" path="m2690,1642l2765,1552m2765,1552l2842,1730m2842,1730l2917,1910m2917,1910l3007,1872m3007,1872l3082,1712m3082,1712l3157,1677m3157,1677l3247,1660m3247,1660l3322,1570m3322,1570l3400,1410m3400,1410l3487,1375m3487,1375l3562,1392m3562,1392l3640,1160m3640,1160l3715,1250m3715,1250l3805,1267m3805,1267l3880,1337m3880,1337l3955,1142m3955,1142l4045,1090m4045,1090l4120,1070e" filled="false" stroked="true" strokeweight="1pt" strokecolor="#f6bd61">
              <v:path arrowok="t"/>
              <v:stroke dashstyle="solid"/>
            </v:shape>
            <v:shape style="position:absolute;left:1237;top:1338;width:185;height:2" coordorigin="1237,1338" coordsize="185,0" path="m1237,1338l1332,1338m1312,1338l1422,1338e" filled="false" stroked="true" strokeweight="1.125pt" strokecolor="#006caa">
              <v:path arrowok="t"/>
              <v:stroke dashstyle="solid"/>
            </v:shape>
            <v:shape style="position:absolute;left:1412;top:802;width:2708;height:1053" coordorigin="1412,802" coordsize="2708,1053" path="m1412,1337l1487,1410m1487,1410l1562,1357m1562,1357l1652,1375m1652,1375l1727,1302m1727,1302l1805,1125m1805,1125l1880,1285m1880,1285l1967,1232m1967,1232l2045,1125m2045,1125l2120,1195m2120,1195l2210,1302m2210,1302l2285,1357m2285,1357l2360,1392m2360,1392l2450,1462m2450,1462l2525,1500m2525,1500l2602,1517m2602,1517l2690,1642m2690,1642l2765,1605m2765,1605l2842,1552m2842,1552l2917,1802m2917,1802l3007,1820m3007,1820l3082,1855m3082,1855l3157,1837m3157,1837l3247,1802m3247,1802l3322,1785m3322,1785l3400,1730m3400,1730l3487,1605m3487,1605l3562,1625m3562,1625l3640,1605m3640,1605l3715,1375m3715,1375l3805,1212m3805,1212l3880,1052m3880,1052l3955,1000m3955,1000l4045,802m4045,802l4120,927e" filled="false" stroked="true" strokeweight="1pt" strokecolor="#006caa">
              <v:path arrowok="t"/>
              <v:stroke dashstyle="solid"/>
            </v:shape>
            <v:shape style="position:absolute;left:1487;top:-161;width:1278;height:1373" coordorigin="1487,-160" coordsize="1278,1373" path="m1487,840l1562,215m1562,215l1652,-160m1652,-160l1727,-105m1727,-105l1805,72m1805,72l1880,392m1880,392l1967,715m1967,715l2045,820m2045,820l2120,802m2120,802l2210,820m2210,820l2285,857m2285,857l2360,910m2360,910l2450,875m2450,875l2525,767m2525,767l2602,802m2602,802l2690,1035m2690,1035l2765,1212e" filled="false" stroked="true" strokeweight="1pt" strokecolor="#835335">
              <v:path arrowok="t"/>
              <v:stroke dashstyle="solid"/>
            </v:shape>
            <v:line style="position:absolute" from="2755,1213" to="2852,1213" stroked="true" strokeweight="1.125pt" strokecolor="#835335">
              <v:stroke dashstyle="solid"/>
            </v:line>
            <v:shape style="position:absolute;left:2842;top:1212;width:240;height:535" coordorigin="2842,1212" coordsize="240,535" path="m2842,1212l2917,1357m2917,1357l3007,1587m3007,1587l3082,1747e" filled="false" stroked="true" strokeweight="1pt" strokecolor="#835335">
              <v:path arrowok="t"/>
              <v:stroke dashstyle="solid"/>
            </v:shape>
            <v:line style="position:absolute" from="3082,1747" to="3157,1820" stroked="true" strokeweight=".625pt" strokecolor="#000000">
              <v:stroke dashstyle="solid"/>
            </v:line>
            <v:shape style="position:absolute;left:3157;top:464;width:963;height:1355" coordorigin="3157,465" coordsize="963,1355" path="m3157,1820l3247,1747m3247,1747l3322,1570m3322,1570l3400,1375m3400,1375l3487,1125m3487,1125l3562,892m3562,892l3640,642m3640,642l3715,465m3715,465l3805,535m3805,535l3880,840m3880,840l3955,1017m3955,1017l4045,1000m4045,1000l4120,982e" filled="false" stroked="true" strokeweight="1pt" strokecolor="#835335">
              <v:path arrowok="t"/>
              <v:stroke dashstyle="solid"/>
            </v:shape>
            <v:line style="position:absolute" from="2138,1978" to="2138,1398" stroked="true" strokeweight=".5pt" strokecolor="#000000">
              <v:stroke dashstyle="solid"/>
            </v:line>
            <v:shape style="position:absolute;left:2113;top:1330;width:51;height:85" coordorigin="2113,1330" coordsize="51,85" path="m2138,1330l2113,1415,2163,1415,2142,1349,2140,1339,2138,1330xe" filled="true" fillcolor="#000000" stroked="false">
              <v:path arrowok="t"/>
              <v:fill type="solid"/>
            </v:shape>
            <v:line style="position:absolute" from="2333,-111" to="2146,324" stroked="true" strokeweight=".5pt" strokecolor="#000000">
              <v:stroke dashstyle="solid"/>
            </v:line>
            <v:shape style="position:absolute;left:2118;top:298;width:57;height:88" coordorigin="2119,298" coordsize="57,88" path="m2129,298l2123,367,2119,386,2124,378,2176,318,2129,298xe" filled="true" fillcolor="#000000" stroked="false">
              <v:path arrowok="t"/>
              <v:fill type="solid"/>
            </v:shape>
            <v:shape style="position:absolute;left:1050;top:1515;width:3240;height:2" coordorigin="1051,1515" coordsize="3240,0" path="m1137,1515l1051,1515m4291,1515l4204,1515m4147,1515l1197,1515e" filled="false" stroked="true" strokeweight=".5pt" strokecolor="#000000">
              <v:path arrowok="t"/>
              <v:stroke dashstyle="solid"/>
            </v:shape>
            <v:shape style="position:absolute;left:3154;top:157;width:851;height:271" type="#_x0000_t202" filled="false" stroked="false">
              <v:textbox inset="0,0,0,0">
                <w:txbxContent>
                  <w:p>
                    <w:pPr>
                      <w:spacing w:line="240" w:lineRule="auto" w:before="0"/>
                      <w:ind w:left="47" w:right="18" w:hanging="48"/>
                      <w:jc w:val="left"/>
                      <w:rPr>
                        <w:sz w:val="12"/>
                      </w:rPr>
                    </w:pPr>
                    <w:r>
                      <w:rPr>
                        <w:sz w:val="12"/>
                      </w:rPr>
                      <w:t>Construction (b) (left-hand scale)</w:t>
                    </w:r>
                  </w:p>
                </w:txbxContent>
              </v:textbox>
              <w10:wrap type="none"/>
            </v:shape>
            <w10:wrap type="none"/>
          </v:group>
        </w:pict>
      </w:r>
      <w:r>
        <w:rPr/>
        <w:pict>
          <v:line style="position:absolute;mso-position-horizontal-relative:page;mso-position-vertical-relative:paragraph;z-index:16031744" from="56.869999pt,3.996344pt" to="52.536999pt,3.996344pt" stroked="true" strokeweight=".5pt" strokecolor="#000000">
            <v:stroke dashstyle="solid"/>
            <w10:wrap type="none"/>
          </v:line>
        </w:pict>
      </w:r>
      <w:r>
        <w:rPr>
          <w:sz w:val="12"/>
        </w:rPr>
        <w:t>35</w:t>
      </w:r>
    </w:p>
    <w:p>
      <w:pPr>
        <w:pStyle w:val="BodyText"/>
        <w:rPr>
          <w:sz w:val="12"/>
        </w:rPr>
      </w:pPr>
    </w:p>
    <w:p>
      <w:pPr>
        <w:pStyle w:val="BodyText"/>
        <w:spacing w:before="11"/>
        <w:rPr>
          <w:sz w:val="17"/>
        </w:rPr>
      </w:pPr>
    </w:p>
    <w:p>
      <w:pPr>
        <w:spacing w:before="0"/>
        <w:ind w:left="242" w:right="0" w:firstLine="0"/>
        <w:jc w:val="left"/>
        <w:rPr>
          <w:sz w:val="12"/>
        </w:rPr>
      </w:pPr>
      <w:r>
        <w:rPr/>
        <w:pict>
          <v:line style="position:absolute;mso-position-horizontal-relative:page;mso-position-vertical-relative:paragraph;z-index:16026112" from="56.869999pt,3.871588pt" to="52.536999pt,3.871588pt" stroked="true" strokeweight=".5pt" strokecolor="#000000">
            <v:stroke dashstyle="solid"/>
            <w10:wrap type="none"/>
          </v:line>
        </w:pict>
      </w:r>
      <w:r>
        <w:rPr>
          <w:sz w:val="12"/>
        </w:rPr>
        <w:t>40</w:t>
      </w:r>
    </w:p>
    <w:p>
      <w:pPr>
        <w:pStyle w:val="BodyText"/>
        <w:rPr>
          <w:sz w:val="12"/>
        </w:rPr>
      </w:pPr>
    </w:p>
    <w:p>
      <w:pPr>
        <w:pStyle w:val="BodyText"/>
        <w:spacing w:before="8"/>
        <w:rPr>
          <w:sz w:val="17"/>
        </w:rPr>
      </w:pPr>
    </w:p>
    <w:p>
      <w:pPr>
        <w:spacing w:before="0"/>
        <w:ind w:left="242" w:right="0" w:firstLine="0"/>
        <w:jc w:val="left"/>
        <w:rPr>
          <w:sz w:val="12"/>
        </w:rPr>
      </w:pPr>
      <w:r>
        <w:rPr/>
        <w:pict>
          <v:line style="position:absolute;mso-position-horizontal-relative:page;mso-position-vertical-relative:paragraph;z-index:16026624" from="56.869999pt,4.329588pt" to="52.536999pt,4.329588pt" stroked="true" strokeweight=".5pt" strokecolor="#000000">
            <v:stroke dashstyle="solid"/>
            <w10:wrap type="none"/>
          </v:line>
        </w:pict>
      </w:r>
      <w:r>
        <w:rPr>
          <w:sz w:val="12"/>
        </w:rPr>
        <w:t>45</w:t>
      </w:r>
    </w:p>
    <w:p>
      <w:pPr>
        <w:pStyle w:val="BodyText"/>
        <w:rPr>
          <w:sz w:val="12"/>
        </w:rPr>
      </w:pPr>
    </w:p>
    <w:p>
      <w:pPr>
        <w:pStyle w:val="BodyText"/>
        <w:spacing w:before="5"/>
        <w:rPr>
          <w:sz w:val="16"/>
        </w:rPr>
      </w:pPr>
    </w:p>
    <w:p>
      <w:pPr>
        <w:spacing w:before="0"/>
        <w:ind w:left="242" w:right="0" w:firstLine="0"/>
        <w:jc w:val="left"/>
        <w:rPr>
          <w:sz w:val="12"/>
        </w:rPr>
      </w:pPr>
      <w:r>
        <w:rPr>
          <w:sz w:val="12"/>
        </w:rPr>
        <w:t>50</w:t>
      </w:r>
    </w:p>
    <w:p>
      <w:pPr>
        <w:pStyle w:val="BodyText"/>
        <w:rPr>
          <w:sz w:val="12"/>
        </w:rPr>
      </w:pPr>
    </w:p>
    <w:p>
      <w:pPr>
        <w:pStyle w:val="BodyText"/>
        <w:spacing w:before="9"/>
        <w:rPr>
          <w:sz w:val="17"/>
        </w:rPr>
      </w:pPr>
    </w:p>
    <w:p>
      <w:pPr>
        <w:spacing w:before="0"/>
        <w:ind w:left="242" w:right="0" w:firstLine="0"/>
        <w:jc w:val="left"/>
        <w:rPr>
          <w:sz w:val="12"/>
        </w:rPr>
      </w:pPr>
      <w:r>
        <w:rPr/>
        <w:pict>
          <v:line style="position:absolute;mso-position-horizontal-relative:page;mso-position-vertical-relative:paragraph;z-index:16027136" from="56.869999pt,4.121588pt" to="52.536999pt,4.121588pt" stroked="true" strokeweight=".5pt" strokecolor="#000000">
            <v:stroke dashstyle="solid"/>
            <w10:wrap type="none"/>
          </v:line>
        </w:pict>
      </w:r>
      <w:r>
        <w:rPr>
          <w:sz w:val="12"/>
        </w:rPr>
        <w:t>55</w:t>
      </w:r>
    </w:p>
    <w:p>
      <w:pPr>
        <w:pStyle w:val="BodyText"/>
        <w:spacing w:before="5"/>
        <w:rPr>
          <w:sz w:val="15"/>
        </w:rPr>
      </w:pPr>
      <w:r>
        <w:rPr/>
        <w:br w:type="column"/>
      </w:r>
      <w:r>
        <w:rPr>
          <w:sz w:val="15"/>
        </w:rPr>
      </w:r>
    </w:p>
    <w:p>
      <w:pPr>
        <w:spacing w:line="138" w:lineRule="exact" w:before="1"/>
        <w:ind w:left="314" w:right="0" w:firstLine="0"/>
        <w:jc w:val="left"/>
        <w:rPr>
          <w:sz w:val="12"/>
        </w:rPr>
      </w:pPr>
      <w:r>
        <w:rPr>
          <w:sz w:val="12"/>
        </w:rPr>
        <w:t>Services (a)</w:t>
      </w:r>
    </w:p>
    <w:p>
      <w:pPr>
        <w:spacing w:line="138" w:lineRule="exact" w:before="0"/>
        <w:ind w:left="354" w:right="0" w:firstLine="0"/>
        <w:jc w:val="left"/>
        <w:rPr>
          <w:sz w:val="12"/>
        </w:rPr>
      </w:pPr>
      <w:r>
        <w:rPr>
          <w:sz w:val="12"/>
        </w:rPr>
        <w:t>(right-hand scale)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spacing w:before="0"/>
        <w:ind w:left="299" w:right="117" w:hanging="58"/>
        <w:jc w:val="left"/>
        <w:rPr>
          <w:sz w:val="12"/>
        </w:rPr>
      </w:pPr>
      <w:r>
        <w:rPr>
          <w:sz w:val="12"/>
        </w:rPr>
        <w:t>Manufacturing (b) (left-hand scale)</w:t>
      </w:r>
    </w:p>
    <w:p>
      <w:pPr>
        <w:spacing w:line="105" w:lineRule="exact" w:before="0"/>
        <w:ind w:left="242" w:right="0" w:firstLine="0"/>
        <w:jc w:val="left"/>
        <w:rPr>
          <w:sz w:val="12"/>
        </w:rPr>
      </w:pPr>
      <w:r>
        <w:rPr/>
        <w:br w:type="column"/>
      </w:r>
      <w:r>
        <w:rPr>
          <w:sz w:val="12"/>
        </w:rPr>
        <w:t>Index</w:t>
      </w:r>
    </w:p>
    <w:p>
      <w:pPr>
        <w:spacing w:line="131" w:lineRule="exact" w:before="0"/>
        <w:ind w:left="599" w:right="0" w:firstLine="0"/>
        <w:jc w:val="left"/>
        <w:rPr>
          <w:sz w:val="12"/>
        </w:rPr>
      </w:pPr>
      <w:r>
        <w:rPr/>
        <w:pict>
          <v:line style="position:absolute;mso-position-horizontal-relative:page;mso-position-vertical-relative:paragraph;z-index:16037376" from="214.537003pt,3.120064pt" to="210.203003pt,3.120064pt" stroked="true" strokeweight=".5pt" strokecolor="#000000">
            <v:stroke dashstyle="solid"/>
            <w10:wrap type="none"/>
          </v:line>
        </w:pict>
      </w:r>
      <w:r>
        <w:rPr>
          <w:sz w:val="12"/>
        </w:rPr>
        <w:t>70</w:t>
      </w:r>
    </w:p>
    <w:p>
      <w:pPr>
        <w:pStyle w:val="BodyText"/>
        <w:rPr>
          <w:sz w:val="12"/>
        </w:rPr>
      </w:pPr>
    </w:p>
    <w:p>
      <w:pPr>
        <w:pStyle w:val="BodyText"/>
        <w:spacing w:before="11"/>
        <w:rPr>
          <w:sz w:val="17"/>
        </w:rPr>
      </w:pPr>
    </w:p>
    <w:p>
      <w:pPr>
        <w:spacing w:before="0"/>
        <w:ind w:left="0" w:right="38" w:firstLine="0"/>
        <w:jc w:val="right"/>
        <w:rPr>
          <w:sz w:val="12"/>
        </w:rPr>
      </w:pPr>
      <w:r>
        <w:rPr/>
        <w:pict>
          <v:line style="position:absolute;mso-position-horizontal-relative:page;mso-position-vertical-relative:paragraph;z-index:16037888" from="214.537003pt,2.778138pt" to="210.203003pt,2.778138pt" stroked="true" strokeweight=".5pt" strokecolor="#000000">
            <v:stroke dashstyle="solid"/>
            <w10:wrap type="none"/>
          </v:line>
        </w:pict>
      </w:r>
      <w:r>
        <w:rPr>
          <w:sz w:val="12"/>
        </w:rPr>
        <w:t>65</w:t>
      </w:r>
    </w:p>
    <w:p>
      <w:pPr>
        <w:pStyle w:val="BodyText"/>
        <w:rPr>
          <w:sz w:val="12"/>
        </w:rPr>
      </w:pPr>
    </w:p>
    <w:p>
      <w:pPr>
        <w:pStyle w:val="BodyText"/>
        <w:spacing w:before="11"/>
        <w:rPr>
          <w:sz w:val="17"/>
        </w:rPr>
      </w:pPr>
    </w:p>
    <w:p>
      <w:pPr>
        <w:spacing w:before="0"/>
        <w:ind w:left="0" w:right="38" w:firstLine="0"/>
        <w:jc w:val="right"/>
        <w:rPr>
          <w:sz w:val="12"/>
        </w:rPr>
      </w:pPr>
      <w:r>
        <w:rPr/>
        <w:pict>
          <v:line style="position:absolute;mso-position-horizontal-relative:page;mso-position-vertical-relative:paragraph;z-index:16035840" from="214.537003pt,2.653382pt" to="210.203003pt,2.653382pt" stroked="true" strokeweight=".5pt" strokecolor="#000000">
            <v:stroke dashstyle="solid"/>
            <w10:wrap type="none"/>
          </v:line>
        </w:pict>
      </w:r>
      <w:r>
        <w:rPr>
          <w:sz w:val="12"/>
        </w:rPr>
        <w:t>60</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6036352" from="214.537003pt,3.111382pt" to="210.203003pt,3.111382pt" stroked="true" strokeweight=".5pt" strokecolor="#000000">
            <v:stroke dashstyle="solid"/>
            <w10:wrap type="none"/>
          </v:line>
        </w:pict>
      </w:r>
      <w:r>
        <w:rPr>
          <w:sz w:val="12"/>
        </w:rPr>
        <w:t>55</w:t>
      </w:r>
    </w:p>
    <w:p>
      <w:pPr>
        <w:pStyle w:val="BodyText"/>
        <w:rPr>
          <w:sz w:val="12"/>
        </w:rPr>
      </w:pPr>
    </w:p>
    <w:p>
      <w:pPr>
        <w:pStyle w:val="BodyText"/>
        <w:spacing w:before="5"/>
        <w:rPr>
          <w:sz w:val="16"/>
        </w:rPr>
      </w:pPr>
    </w:p>
    <w:p>
      <w:pPr>
        <w:spacing w:before="0"/>
        <w:ind w:left="0" w:right="38" w:firstLine="0"/>
        <w:jc w:val="right"/>
        <w:rPr>
          <w:sz w:val="12"/>
        </w:rPr>
      </w:pPr>
      <w:r>
        <w:rPr>
          <w:sz w:val="12"/>
        </w:rPr>
        <w:t>50</w:t>
      </w:r>
    </w:p>
    <w:p>
      <w:pPr>
        <w:pStyle w:val="BodyText"/>
        <w:rPr>
          <w:sz w:val="12"/>
        </w:rPr>
      </w:pPr>
    </w:p>
    <w:p>
      <w:pPr>
        <w:pStyle w:val="BodyText"/>
        <w:spacing w:before="9"/>
        <w:rPr>
          <w:sz w:val="17"/>
        </w:rPr>
      </w:pPr>
    </w:p>
    <w:p>
      <w:pPr>
        <w:spacing w:before="0"/>
        <w:ind w:left="0" w:right="38" w:firstLine="0"/>
        <w:jc w:val="right"/>
        <w:rPr>
          <w:sz w:val="12"/>
        </w:rPr>
      </w:pPr>
      <w:r>
        <w:rPr/>
        <w:pict>
          <v:line style="position:absolute;mso-position-horizontal-relative:page;mso-position-vertical-relative:paragraph;z-index:16036864" from="214.537003pt,2.903382pt" to="210.203003pt,2.903382pt" stroked="true" strokeweight=".5pt" strokecolor="#000000">
            <v:stroke dashstyle="solid"/>
            <w10:wrap type="none"/>
          </v:line>
        </w:pict>
      </w:r>
      <w:r>
        <w:rPr>
          <w:sz w:val="12"/>
        </w:rPr>
        <w:t>45</w:t>
      </w:r>
    </w:p>
    <w:p>
      <w:pPr>
        <w:pStyle w:val="Heading6"/>
        <w:spacing w:line="242" w:lineRule="auto" w:before="3"/>
        <w:ind w:left="242" w:right="221"/>
      </w:pPr>
      <w:r>
        <w:rPr/>
        <w:br w:type="column"/>
      </w:r>
      <w:r>
        <w:rPr/>
        <w:t>supply conditions within the sector </w:t>
      </w:r>
      <w:r>
        <w:rPr>
          <w:spacing w:val="-3"/>
        </w:rPr>
        <w:t>have </w:t>
      </w:r>
      <w:r>
        <w:rPr/>
        <w:t>tightened </w:t>
      </w:r>
      <w:r>
        <w:rPr>
          <w:spacing w:val="-3"/>
        </w:rPr>
        <w:t>over </w:t>
      </w:r>
      <w:r>
        <w:rPr/>
        <w:t>the past </w:t>
      </w:r>
      <w:r>
        <w:rPr>
          <w:spacing w:val="-4"/>
        </w:rPr>
        <w:t>year. </w:t>
      </w:r>
      <w:r>
        <w:rPr/>
        <w:t>The BCC measure of capacity utilisation in the manufacturing sector also rose during 1999, to a </w:t>
      </w:r>
      <w:r>
        <w:rPr>
          <w:spacing w:val="-3"/>
        </w:rPr>
        <w:t>level </w:t>
      </w:r>
      <w:r>
        <w:rPr/>
        <w:t>last reported in the second half of 1996. In the construction </w:t>
      </w:r>
      <w:r>
        <w:rPr>
          <w:spacing w:val="-3"/>
        </w:rPr>
        <w:t>sector, </w:t>
      </w:r>
      <w:r>
        <w:rPr/>
        <w:t>CIPS reports suggested that supplier delivery times continued to lengthen, though at a less marked pace than in</w:t>
      </w:r>
      <w:r>
        <w:rPr>
          <w:spacing w:val="-7"/>
        </w:rPr>
        <w:t> </w:t>
      </w:r>
      <w:r>
        <w:rPr/>
        <w:t>mid-1999.</w:t>
      </w:r>
    </w:p>
    <w:p>
      <w:pPr>
        <w:pStyle w:val="BodyText"/>
        <w:spacing w:before="9"/>
        <w:rPr>
          <w:sz w:val="21"/>
        </w:rPr>
      </w:pPr>
    </w:p>
    <w:p>
      <w:pPr>
        <w:pStyle w:val="ListParagraph"/>
        <w:numPr>
          <w:ilvl w:val="1"/>
          <w:numId w:val="9"/>
        </w:numPr>
        <w:tabs>
          <w:tab w:pos="4340" w:val="left" w:leader="none"/>
          <w:tab w:pos="4341" w:val="left" w:leader="none"/>
          <w:tab w:pos="5722" w:val="left" w:leader="none"/>
        </w:tabs>
        <w:spacing w:line="240" w:lineRule="auto" w:before="1" w:after="0"/>
        <w:ind w:left="4340" w:right="0" w:hanging="4099"/>
        <w:jc w:val="left"/>
        <w:rPr>
          <w:b/>
          <w:color w:val="009391"/>
          <w:sz w:val="28"/>
        </w:rPr>
      </w:pPr>
      <w:r>
        <w:rPr>
          <w:b/>
          <w:color w:val="009391"/>
          <w:sz w:val="28"/>
          <w:u w:val="thick" w:color="0092C7"/>
        </w:rPr>
        <w:t>Summary</w:t>
        <w:tab/>
      </w:r>
    </w:p>
    <w:p>
      <w:pPr>
        <w:spacing w:after="0" w:line="240" w:lineRule="auto"/>
        <w:jc w:val="left"/>
        <w:rPr>
          <w:sz w:val="28"/>
        </w:rPr>
        <w:sectPr>
          <w:type w:val="continuous"/>
          <w:pgSz w:w="11900" w:h="16840"/>
          <w:pgMar w:top="1220" w:bottom="280" w:left="620" w:right="640"/>
          <w:cols w:num="4" w:equalWidth="0">
            <w:col w:w="749" w:space="219"/>
            <w:col w:w="1245" w:space="950"/>
            <w:col w:w="760" w:space="829"/>
            <w:col w:w="5888"/>
          </w:cols>
        </w:sectPr>
      </w:pPr>
    </w:p>
    <w:p>
      <w:pPr>
        <w:pStyle w:val="BodyText"/>
        <w:spacing w:before="10"/>
        <w:rPr>
          <w:b/>
          <w:sz w:val="13"/>
        </w:rPr>
      </w:pPr>
    </w:p>
    <w:p>
      <w:pPr>
        <w:tabs>
          <w:tab w:pos="629" w:val="left" w:leader="none"/>
          <w:tab w:pos="3509" w:val="left" w:leader="none"/>
          <w:tab w:pos="3762" w:val="left" w:leader="none"/>
        </w:tabs>
        <w:spacing w:before="0"/>
        <w:ind w:left="242" w:right="0" w:firstLine="0"/>
        <w:jc w:val="left"/>
        <w:rPr>
          <w:sz w:val="12"/>
        </w:rPr>
      </w:pPr>
      <w:r>
        <w:rPr/>
        <w:pict>
          <v:line style="position:absolute;mso-position-horizontal-relative:page;mso-position-vertical-relative:paragraph;z-index:-22117376" from="56.869999pt,3.726565pt" to="52.536999pt,3.726565pt" stroked="true" strokeweight=".5pt" strokecolor="#000000">
            <v:stroke dashstyle="solid"/>
            <w10:wrap type="none"/>
          </v:line>
        </w:pict>
      </w:r>
      <w:r>
        <w:rPr/>
        <w:pict>
          <v:line style="position:absolute;mso-position-horizontal-relative:page;mso-position-vertical-relative:paragraph;z-index:-22116864" from="62.511002pt,-.773435pt" to="62.511002pt,4.226565pt" stroked="true" strokeweight=".5pt" strokecolor="#000000">
            <v:stroke dashstyle="solid"/>
            <w10:wrap type="none"/>
          </v:line>
        </w:pict>
      </w:r>
      <w:r>
        <w:rPr/>
        <w:pict>
          <v:line style="position:absolute;mso-position-horizontal-relative:page;mso-position-vertical-relative:paragraph;z-index:-22116352" from="66.551003pt,1.559565pt" to="66.551003pt,4.226565pt" stroked="true" strokeweight=".5pt" strokecolor="#000000">
            <v:stroke dashstyle="solid"/>
            <w10:wrap type="none"/>
          </v:line>
        </w:pict>
      </w:r>
      <w:r>
        <w:rPr/>
        <w:pict>
          <v:line style="position:absolute;mso-position-horizontal-relative:page;mso-position-vertical-relative:paragraph;z-index:-22115840" from="70.589996pt,1.559565pt" to="70.589996pt,4.226565pt" stroked="true" strokeweight=".5pt" strokecolor="#000000">
            <v:stroke dashstyle="solid"/>
            <w10:wrap type="none"/>
          </v:line>
        </w:pict>
      </w:r>
      <w:r>
        <w:rPr/>
        <w:pict>
          <v:line style="position:absolute;mso-position-horizontal-relative:page;mso-position-vertical-relative:paragraph;z-index:-22115328" from="74.629997pt,1.559565pt" to="74.629997pt,4.226565pt" stroked="true" strokeweight=".5pt" strokecolor="#000000">
            <v:stroke dashstyle="solid"/>
            <w10:wrap type="none"/>
          </v:line>
        </w:pict>
      </w:r>
      <w:r>
        <w:rPr/>
        <w:pict>
          <v:shape style="position:absolute;margin-left:110.989998pt;margin-top:-.773435pt;width:103.55pt;height:5.3pt;mso-position-horizontal-relative:page;mso-position-vertical-relative:paragraph;z-index:-22114816" coordorigin="2220,-15" coordsize="2071,106" path="m2220,-15l2220,85m2299,31l2299,85m2378,31l2378,85m2457,31l2457,85m2536,31l2536,85m2616,31l2616,85m2695,31l2695,85m2774,31l2774,85m2853,31l2853,85m2932,31l2932,85m3011,31l3011,85m3170,-15l3170,85m3091,31l3091,85m3250,31l3250,85m3330,31l3330,85m3410,31l3410,85m3490,31l3490,85m3570,31l3570,85m3650,31l3650,85m3730,31l3730,85m3810,31l3810,85m3890,31l3890,85m3970,31l3970,85m4130,-15l4130,85m4050,31l4050,85m4291,90l4204,90e" filled="false" stroked="true" strokeweight=".5pt" strokecolor="#000000">
            <v:path arrowok="t"/>
            <v:stroke dashstyle="solid"/>
            <w10:wrap type="none"/>
          </v:shape>
        </w:pict>
      </w:r>
      <w:r>
        <w:rPr/>
        <w:pict>
          <v:line style="position:absolute;mso-position-horizontal-relative:page;mso-position-vertical-relative:paragraph;z-index:-22114304" from="78.669998pt,1.559565pt" to="78.669998pt,4.226565pt" stroked="true" strokeweight=".5pt" strokecolor="#000000">
            <v:stroke dashstyle="solid"/>
            <w10:wrap type="none"/>
          </v:line>
        </w:pict>
      </w:r>
      <w:r>
        <w:rPr/>
        <w:pict>
          <v:line style="position:absolute;mso-position-horizontal-relative:page;mso-position-vertical-relative:paragraph;z-index:-22112768" from="82.709999pt,1.559565pt" to="82.709999pt,4.226565pt" stroked="true" strokeweight=".5pt" strokecolor="#000000">
            <v:stroke dashstyle="solid"/>
            <w10:wrap type="none"/>
          </v:line>
        </w:pict>
      </w:r>
      <w:r>
        <w:rPr/>
        <w:pict>
          <v:line style="position:absolute;mso-position-horizontal-relative:page;mso-position-vertical-relative:paragraph;z-index:-22112256" from="86.75pt,1.559565pt" to="86.75pt,4.226565pt" stroked="true" strokeweight=".5pt" strokecolor="#000000">
            <v:stroke dashstyle="solid"/>
            <w10:wrap type="none"/>
          </v:line>
        </w:pict>
      </w:r>
      <w:r>
        <w:rPr/>
        <w:pict>
          <v:line style="position:absolute;mso-position-horizontal-relative:page;mso-position-vertical-relative:paragraph;z-index:-22111744" from="90.790001pt,1.559565pt" to="90.790001pt,4.226565pt" stroked="true" strokeweight=".5pt" strokecolor="#000000">
            <v:stroke dashstyle="solid"/>
            <w10:wrap type="none"/>
          </v:line>
        </w:pict>
      </w:r>
      <w:r>
        <w:rPr/>
        <w:pict>
          <v:line style="position:absolute;mso-position-horizontal-relative:page;mso-position-vertical-relative:paragraph;z-index:-22111232" from="94.830002pt,1.559565pt" to="94.830002pt,4.226565pt" stroked="true" strokeweight=".5pt" strokecolor="#000000">
            <v:stroke dashstyle="solid"/>
            <w10:wrap type="none"/>
          </v:line>
        </w:pict>
      </w:r>
      <w:r>
        <w:rPr/>
        <w:pict>
          <v:line style="position:absolute;mso-position-horizontal-relative:page;mso-position-vertical-relative:paragraph;z-index:-22110720" from="98.870003pt,1.559565pt" to="98.870003pt,4.226565pt" stroked="true" strokeweight=".5pt" strokecolor="#000000">
            <v:stroke dashstyle="solid"/>
            <w10:wrap type="none"/>
          </v:line>
        </w:pict>
      </w:r>
      <w:r>
        <w:rPr/>
        <w:pict>
          <v:line style="position:absolute;mso-position-horizontal-relative:page;mso-position-vertical-relative:paragraph;z-index:-22110208" from="102.910004pt,1.559565pt" to="102.910004pt,4.226565pt" stroked="true" strokeweight=".5pt" strokecolor="#000000">
            <v:stroke dashstyle="solid"/>
            <w10:wrap type="none"/>
          </v:line>
        </w:pict>
      </w:r>
      <w:r>
        <w:rPr/>
        <w:pict>
          <v:line style="position:absolute;mso-position-horizontal-relative:page;mso-position-vertical-relative:paragraph;z-index:-22109696" from="106.949997pt,1.559565pt" to="106.949997pt,4.226565pt" stroked="true" strokeweight=".5pt" strokecolor="#000000">
            <v:stroke dashstyle="solid"/>
            <w10:wrap type="none"/>
          </v:line>
        </w:pict>
      </w:r>
      <w:r>
        <w:rPr>
          <w:position w:val="2"/>
          <w:sz w:val="12"/>
        </w:rPr>
        <w:t>60</w:t>
        <w:tab/>
      </w:r>
      <w:r>
        <w:rPr>
          <w:position w:val="2"/>
          <w:sz w:val="12"/>
          <w:u w:val="single"/>
        </w:rPr>
        <w:t> </w:t>
        <w:tab/>
      </w:r>
      <w:r>
        <w:rPr>
          <w:position w:val="2"/>
          <w:sz w:val="12"/>
        </w:rPr>
        <w:tab/>
      </w:r>
      <w:r>
        <w:rPr>
          <w:sz w:val="12"/>
        </w:rPr>
        <w:t>40</w:t>
      </w:r>
    </w:p>
    <w:p>
      <w:pPr>
        <w:tabs>
          <w:tab w:pos="2047" w:val="left" w:leader="none"/>
          <w:tab w:pos="2927" w:val="left" w:leader="none"/>
          <w:tab w:pos="3387" w:val="left" w:leader="none"/>
        </w:tabs>
        <w:spacing w:before="7"/>
        <w:ind w:left="964" w:right="0" w:firstLine="0"/>
        <w:jc w:val="left"/>
        <w:rPr>
          <w:sz w:val="12"/>
        </w:rPr>
      </w:pPr>
      <w:r>
        <w:rPr>
          <w:sz w:val="12"/>
        </w:rPr>
        <w:t>1997</w:t>
        <w:tab/>
        <w:t>98</w:t>
        <w:tab/>
        <w:t>99</w:t>
        <w:tab/>
        <w:t>2000</w:t>
      </w:r>
    </w:p>
    <w:p>
      <w:pPr>
        <w:spacing w:before="23"/>
        <w:ind w:left="182" w:right="0" w:firstLine="0"/>
        <w:jc w:val="left"/>
        <w:rPr>
          <w:sz w:val="12"/>
        </w:rPr>
      </w:pPr>
      <w:r>
        <w:rPr>
          <w:sz w:val="12"/>
        </w:rPr>
        <w:t>Source: CIPS.</w:t>
      </w:r>
    </w:p>
    <w:p>
      <w:pPr>
        <w:pStyle w:val="BodyText"/>
        <w:spacing w:before="1"/>
        <w:rPr>
          <w:sz w:val="10"/>
        </w:rPr>
      </w:pPr>
    </w:p>
    <w:p>
      <w:pPr>
        <w:pStyle w:val="ListParagraph"/>
        <w:numPr>
          <w:ilvl w:val="0"/>
          <w:numId w:val="18"/>
        </w:numPr>
        <w:tabs>
          <w:tab w:pos="422" w:val="left" w:leader="none"/>
        </w:tabs>
        <w:spacing w:line="208" w:lineRule="auto" w:before="1" w:after="0"/>
        <w:ind w:left="422" w:right="126" w:hanging="240"/>
        <w:jc w:val="left"/>
        <w:rPr>
          <w:sz w:val="12"/>
        </w:rPr>
      </w:pPr>
      <w:r>
        <w:rPr>
          <w:sz w:val="12"/>
        </w:rPr>
        <w:t>Survey</w:t>
      </w:r>
      <w:r>
        <w:rPr>
          <w:spacing w:val="-5"/>
          <w:sz w:val="12"/>
        </w:rPr>
        <w:t> </w:t>
      </w:r>
      <w:r>
        <w:rPr>
          <w:sz w:val="12"/>
        </w:rPr>
        <w:t>responses</w:t>
      </w:r>
      <w:r>
        <w:rPr>
          <w:spacing w:val="-5"/>
          <w:sz w:val="12"/>
        </w:rPr>
        <w:t> </w:t>
      </w:r>
      <w:r>
        <w:rPr>
          <w:sz w:val="12"/>
        </w:rPr>
        <w:t>to</w:t>
      </w:r>
      <w:r>
        <w:rPr>
          <w:spacing w:val="-5"/>
          <w:sz w:val="12"/>
        </w:rPr>
        <w:t> </w:t>
      </w:r>
      <w:r>
        <w:rPr>
          <w:sz w:val="12"/>
        </w:rPr>
        <w:t>question</w:t>
      </w:r>
      <w:r>
        <w:rPr>
          <w:spacing w:val="-5"/>
          <w:sz w:val="12"/>
        </w:rPr>
        <w:t> </w:t>
      </w:r>
      <w:r>
        <w:rPr>
          <w:sz w:val="12"/>
        </w:rPr>
        <w:t>asking</w:t>
      </w:r>
      <w:r>
        <w:rPr>
          <w:spacing w:val="-5"/>
          <w:sz w:val="12"/>
        </w:rPr>
        <w:t> </w:t>
      </w:r>
      <w:r>
        <w:rPr>
          <w:sz w:val="12"/>
        </w:rPr>
        <w:t>how</w:t>
      </w:r>
      <w:r>
        <w:rPr>
          <w:spacing w:val="-5"/>
          <w:sz w:val="12"/>
        </w:rPr>
        <w:t> </w:t>
      </w:r>
      <w:r>
        <w:rPr>
          <w:sz w:val="12"/>
        </w:rPr>
        <w:t>much</w:t>
      </w:r>
      <w:r>
        <w:rPr>
          <w:spacing w:val="-5"/>
          <w:sz w:val="12"/>
        </w:rPr>
        <w:t> </w:t>
      </w:r>
      <w:r>
        <w:rPr>
          <w:sz w:val="12"/>
        </w:rPr>
        <w:t>work</w:t>
      </w:r>
      <w:r>
        <w:rPr>
          <w:spacing w:val="-5"/>
          <w:sz w:val="12"/>
        </w:rPr>
        <w:t> </w:t>
      </w:r>
      <w:r>
        <w:rPr>
          <w:sz w:val="12"/>
        </w:rPr>
        <w:t>is</w:t>
      </w:r>
      <w:r>
        <w:rPr>
          <w:spacing w:val="-5"/>
          <w:sz w:val="12"/>
        </w:rPr>
        <w:t> </w:t>
      </w:r>
      <w:r>
        <w:rPr>
          <w:sz w:val="12"/>
        </w:rPr>
        <w:t>outstanding</w:t>
      </w:r>
      <w:r>
        <w:rPr>
          <w:spacing w:val="-5"/>
          <w:sz w:val="12"/>
        </w:rPr>
        <w:t> </w:t>
      </w:r>
      <w:r>
        <w:rPr>
          <w:sz w:val="12"/>
        </w:rPr>
        <w:t>in the sector. Readings above 50 suggest a greater backlog of work and increasing capacity utilisation in the service</w:t>
      </w:r>
      <w:r>
        <w:rPr>
          <w:spacing w:val="-13"/>
          <w:sz w:val="12"/>
        </w:rPr>
        <w:t> </w:t>
      </w:r>
      <w:r>
        <w:rPr>
          <w:sz w:val="12"/>
        </w:rPr>
        <w:t>sector.</w:t>
      </w:r>
    </w:p>
    <w:p>
      <w:pPr>
        <w:pStyle w:val="ListParagraph"/>
        <w:numPr>
          <w:ilvl w:val="0"/>
          <w:numId w:val="18"/>
        </w:numPr>
        <w:tabs>
          <w:tab w:pos="423" w:val="left" w:leader="none"/>
        </w:tabs>
        <w:spacing w:line="208" w:lineRule="auto" w:before="0" w:after="0"/>
        <w:ind w:left="422" w:right="60" w:hanging="240"/>
        <w:jc w:val="left"/>
        <w:rPr>
          <w:sz w:val="12"/>
        </w:rPr>
      </w:pPr>
      <w:r>
        <w:rPr>
          <w:sz w:val="12"/>
        </w:rPr>
        <w:t>Survey responses to question asking about supplier delivery times. Readings below 50 suggest longer delivery times. The scale is inverted so that a rise represents longer delivery times and increasing capacity utilisation in the manufacturing or construction</w:t>
      </w:r>
      <w:r>
        <w:rPr>
          <w:spacing w:val="-14"/>
          <w:sz w:val="12"/>
        </w:rPr>
        <w:t> </w:t>
      </w:r>
      <w:r>
        <w:rPr>
          <w:sz w:val="12"/>
        </w:rPr>
        <w:t>sectors.</w:t>
      </w:r>
    </w:p>
    <w:p>
      <w:pPr>
        <w:pStyle w:val="Heading6"/>
        <w:spacing w:line="242" w:lineRule="auto" w:before="11"/>
        <w:ind w:left="182" w:right="201"/>
      </w:pPr>
      <w:r>
        <w:rPr/>
        <w:br w:type="column"/>
      </w:r>
      <w:r>
        <w:rPr/>
        <w:t>Prospects for continued economic growth in the United Kingdom </w:t>
      </w:r>
      <w:r>
        <w:rPr>
          <w:spacing w:val="-3"/>
        </w:rPr>
        <w:t>have </w:t>
      </w:r>
      <w:r>
        <w:rPr/>
        <w:t>remained favourable since the November </w:t>
      </w:r>
      <w:r>
        <w:rPr>
          <w:i/>
        </w:rPr>
        <w:t>Report</w:t>
      </w:r>
      <w:r>
        <w:rPr/>
        <w:t>. Household wealth, labour income, borrowing and confidence </w:t>
      </w:r>
      <w:r>
        <w:rPr>
          <w:spacing w:val="-3"/>
        </w:rPr>
        <w:t>have </w:t>
      </w:r>
      <w:r>
        <w:rPr/>
        <w:t>grown </w:t>
      </w:r>
      <w:r>
        <w:rPr>
          <w:spacing w:val="-3"/>
        </w:rPr>
        <w:t>strongly, </w:t>
      </w:r>
      <w:r>
        <w:rPr/>
        <w:t>supporting the outlook for consumption. Survey data on profit expectations, capacity utilisation and </w:t>
      </w:r>
      <w:r>
        <w:rPr>
          <w:spacing w:val="-3"/>
        </w:rPr>
        <w:t>investment </w:t>
      </w:r>
      <w:r>
        <w:rPr/>
        <w:t>intentions suggest that the </w:t>
      </w:r>
      <w:r>
        <w:rPr>
          <w:spacing w:val="-3"/>
        </w:rPr>
        <w:t>slowdown </w:t>
      </w:r>
      <w:r>
        <w:rPr/>
        <w:t>in </w:t>
      </w:r>
      <w:r>
        <w:rPr>
          <w:spacing w:val="-3"/>
        </w:rPr>
        <w:t>investment </w:t>
      </w:r>
      <w:r>
        <w:rPr/>
        <w:t>growth in 1999 may </w:t>
      </w:r>
      <w:r>
        <w:rPr>
          <w:spacing w:val="-3"/>
        </w:rPr>
        <w:t>have </w:t>
      </w:r>
      <w:r>
        <w:rPr/>
        <w:t>been partly a temporary phenomenon. The pattern of exports in the second half of 1999 was rather volatile, but the immediate outlook for</w:t>
      </w:r>
      <w:r>
        <w:rPr>
          <w:spacing w:val="-7"/>
        </w:rPr>
        <w:t> </w:t>
      </w:r>
      <w:r>
        <w:rPr/>
        <w:t>international</w:t>
      </w:r>
      <w:r>
        <w:rPr>
          <w:spacing w:val="-7"/>
        </w:rPr>
        <w:t> </w:t>
      </w:r>
      <w:r>
        <w:rPr/>
        <w:t>growth</w:t>
      </w:r>
      <w:r>
        <w:rPr>
          <w:spacing w:val="-7"/>
        </w:rPr>
        <w:t> </w:t>
      </w:r>
      <w:r>
        <w:rPr/>
        <w:t>is</w:t>
      </w:r>
      <w:r>
        <w:rPr>
          <w:spacing w:val="-7"/>
        </w:rPr>
        <w:t> </w:t>
      </w:r>
      <w:r>
        <w:rPr/>
        <w:t>somewhat</w:t>
      </w:r>
      <w:r>
        <w:rPr>
          <w:spacing w:val="-6"/>
        </w:rPr>
        <w:t> </w:t>
      </w:r>
      <w:r>
        <w:rPr/>
        <w:t>stronger</w:t>
      </w:r>
      <w:r>
        <w:rPr>
          <w:spacing w:val="-7"/>
        </w:rPr>
        <w:t> </w:t>
      </w:r>
      <w:r>
        <w:rPr/>
        <w:t>than</w:t>
      </w:r>
      <w:r>
        <w:rPr>
          <w:spacing w:val="-7"/>
        </w:rPr>
        <w:t> </w:t>
      </w:r>
      <w:r>
        <w:rPr/>
        <w:t>at</w:t>
      </w:r>
      <w:r>
        <w:rPr>
          <w:spacing w:val="-7"/>
        </w:rPr>
        <w:t> </w:t>
      </w:r>
      <w:r>
        <w:rPr/>
        <w:t>the time of the last </w:t>
      </w:r>
      <w:r>
        <w:rPr>
          <w:i/>
        </w:rPr>
        <w:t>Report</w:t>
      </w:r>
      <w:r>
        <w:rPr/>
        <w:t>. </w:t>
      </w:r>
      <w:r>
        <w:rPr>
          <w:spacing w:val="-4"/>
        </w:rPr>
        <w:t>However, </w:t>
      </w:r>
      <w:r>
        <w:rPr/>
        <w:t>the appreciation of sterling and the rise in interest rates are likely to dampen output growth. Reflecting the balance of these considerations, the MPC expects annual growth of GDP to slow from above-trend rates to a little below 2</w:t>
      </w:r>
      <w:r>
        <w:rPr>
          <w:position w:val="8"/>
          <w:sz w:val="12"/>
        </w:rPr>
        <w:t>1</w:t>
      </w:r>
      <w:r>
        <w:rPr/>
        <w:t>/</w:t>
      </w:r>
      <w:r>
        <w:rPr>
          <w:sz w:val="12"/>
        </w:rPr>
        <w:t>2</w:t>
      </w:r>
      <w:r>
        <w:rPr/>
        <w:t>% in the coming</w:t>
      </w:r>
      <w:r>
        <w:rPr>
          <w:spacing w:val="-2"/>
        </w:rPr>
        <w:t> </w:t>
      </w:r>
      <w:r>
        <w:rPr/>
        <w:t>quarters.</w:t>
      </w:r>
    </w:p>
    <w:p>
      <w:pPr>
        <w:spacing w:after="0" w:line="242" w:lineRule="auto"/>
        <w:sectPr>
          <w:type w:val="continuous"/>
          <w:pgSz w:w="11900" w:h="16840"/>
          <w:pgMar w:top="1220" w:bottom="280" w:left="620" w:right="640"/>
          <w:cols w:num="2" w:equalWidth="0">
            <w:col w:w="3923" w:space="889"/>
            <w:col w:w="5828"/>
          </w:cols>
        </w:sectPr>
      </w:pPr>
    </w:p>
    <w:p>
      <w:pPr>
        <w:pStyle w:val="BodyText"/>
        <w:spacing w:line="20" w:lineRule="exact"/>
        <w:ind w:left="15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10"/>
        <w:rPr>
          <w:sz w:val="17"/>
        </w:rPr>
      </w:pPr>
      <w:r>
        <w:rPr/>
        <w:pict>
          <v:shape style="position:absolute;margin-left:40.090pt;margin-top:11.500977pt;width:516pt;height:48pt;mso-position-horizontal-relative:page;mso-position-vertical-relative:paragraph;z-index:-15418368;mso-wrap-distance-left:0;mso-wrap-distance-right:0" type="#_x0000_t202" filled="true" fillcolor="#b5dad6" stroked="false">
            <v:textbox inset="0,0,0,0">
              <w:txbxContent>
                <w:p>
                  <w:pPr>
                    <w:tabs>
                      <w:tab w:pos="10099" w:val="right" w:leader="none"/>
                    </w:tabs>
                    <w:spacing w:before="51"/>
                    <w:ind w:left="260" w:right="0" w:firstLine="0"/>
                    <w:jc w:val="left"/>
                    <w:rPr>
                      <w:b/>
                      <w:sz w:val="72"/>
                    </w:rPr>
                  </w:pPr>
                  <w:bookmarkStart w:name="The labour market" w:id="47"/>
                  <w:bookmarkEnd w:id="47"/>
                  <w:r>
                    <w:rPr/>
                  </w:r>
                  <w:bookmarkStart w:name="Employment, non-employment and labour ma" w:id="48"/>
                  <w:bookmarkEnd w:id="48"/>
                  <w:r>
                    <w:rPr/>
                  </w:r>
                  <w:bookmarkStart w:name="_bookmark18" w:id="49"/>
                  <w:bookmarkEnd w:id="49"/>
                  <w:r>
                    <w:rPr/>
                  </w:r>
                  <w:r>
                    <w:rPr>
                      <w:b/>
                      <w:color w:val="009483"/>
                      <w:sz w:val="48"/>
                    </w:rPr>
                    <w:t>The</w:t>
                  </w:r>
                  <w:r>
                    <w:rPr>
                      <w:b/>
                      <w:color w:val="009483"/>
                      <w:spacing w:val="-1"/>
                      <w:sz w:val="48"/>
                    </w:rPr>
                    <w:t> </w:t>
                  </w:r>
                  <w:r>
                    <w:rPr>
                      <w:b/>
                      <w:color w:val="009483"/>
                      <w:sz w:val="48"/>
                    </w:rPr>
                    <w:t>labour market</w:t>
                    <w:tab/>
                  </w:r>
                  <w:r>
                    <w:rPr>
                      <w:b/>
                      <w:color w:val="009483"/>
                      <w:sz w:val="72"/>
                    </w:rPr>
                    <w:t>3</w:t>
                  </w:r>
                </w:p>
              </w:txbxContent>
            </v:textbox>
            <v:fill type="solid"/>
            <w10:wrap type="topAndBottom"/>
          </v:shape>
        </w:pict>
      </w:r>
    </w:p>
    <w:p>
      <w:pPr>
        <w:pStyle w:val="BodyText"/>
        <w:rPr>
          <w:sz w:val="20"/>
        </w:rPr>
      </w:pPr>
    </w:p>
    <w:p>
      <w:pPr>
        <w:pStyle w:val="BodyText"/>
        <w:rPr>
          <w:sz w:val="20"/>
        </w:rPr>
      </w:pPr>
    </w:p>
    <w:p>
      <w:pPr>
        <w:spacing w:line="242" w:lineRule="auto" w:before="208"/>
        <w:ind w:left="4980" w:right="175" w:firstLine="0"/>
        <w:jc w:val="left"/>
        <w:rPr>
          <w:sz w:val="24"/>
        </w:rPr>
      </w:pPr>
      <w:r>
        <w:rPr>
          <w:sz w:val="24"/>
        </w:rPr>
        <w:t>Labour market conditions may </w:t>
      </w:r>
      <w:r>
        <w:rPr>
          <w:spacing w:val="-3"/>
          <w:sz w:val="24"/>
        </w:rPr>
        <w:t>have </w:t>
      </w:r>
      <w:r>
        <w:rPr>
          <w:sz w:val="24"/>
        </w:rPr>
        <w:t>tightened a little since the November </w:t>
      </w:r>
      <w:r>
        <w:rPr>
          <w:i/>
          <w:color w:val="231F20"/>
          <w:sz w:val="24"/>
        </w:rPr>
        <w:t>Report</w:t>
      </w:r>
      <w:r>
        <w:rPr>
          <w:color w:val="231F20"/>
          <w:sz w:val="24"/>
        </w:rPr>
        <w:t>. Employment growth remains firm, though total hours worked </w:t>
      </w:r>
      <w:r>
        <w:rPr>
          <w:color w:val="231F20"/>
          <w:spacing w:val="-3"/>
          <w:sz w:val="24"/>
        </w:rPr>
        <w:t>have </w:t>
      </w:r>
      <w:r>
        <w:rPr>
          <w:color w:val="231F20"/>
          <w:sz w:val="24"/>
        </w:rPr>
        <w:t>fallen. There has been a small rise in LFS unemployment, perhaps because previously inactive people </w:t>
      </w:r>
      <w:r>
        <w:rPr>
          <w:color w:val="231F20"/>
          <w:spacing w:val="-3"/>
          <w:sz w:val="24"/>
        </w:rPr>
        <w:t>have </w:t>
      </w:r>
      <w:r>
        <w:rPr>
          <w:color w:val="231F20"/>
          <w:sz w:val="24"/>
        </w:rPr>
        <w:t>been encouraged to look for work again, though the claimant count measure continues to fall. Labour shortages </w:t>
      </w:r>
      <w:r>
        <w:rPr>
          <w:color w:val="231F20"/>
          <w:spacing w:val="-3"/>
          <w:sz w:val="24"/>
        </w:rPr>
        <w:t>have </w:t>
      </w:r>
      <w:r>
        <w:rPr>
          <w:color w:val="231F20"/>
          <w:sz w:val="24"/>
        </w:rPr>
        <w:t>increased. They remain more acute in some regions, and in some sectors, than in others. </w:t>
      </w:r>
      <w:r>
        <w:rPr>
          <w:color w:val="231F20"/>
          <w:spacing w:val="-4"/>
          <w:sz w:val="24"/>
        </w:rPr>
        <w:t>Average </w:t>
      </w:r>
      <w:r>
        <w:rPr>
          <w:color w:val="231F20"/>
          <w:sz w:val="24"/>
        </w:rPr>
        <w:t>earnings growth has been stronger than expected. If anything, settlements </w:t>
      </w:r>
      <w:r>
        <w:rPr>
          <w:color w:val="231F20"/>
          <w:spacing w:val="-3"/>
          <w:sz w:val="24"/>
        </w:rPr>
        <w:t>have </w:t>
      </w:r>
      <w:r>
        <w:rPr>
          <w:color w:val="231F20"/>
          <w:sz w:val="24"/>
        </w:rPr>
        <w:t>edged down. So components of pay not covered by wage settlements appear to </w:t>
      </w:r>
      <w:r>
        <w:rPr>
          <w:color w:val="231F20"/>
          <w:spacing w:val="-3"/>
          <w:sz w:val="24"/>
        </w:rPr>
        <w:t>have </w:t>
      </w:r>
      <w:r>
        <w:rPr>
          <w:color w:val="231F20"/>
          <w:sz w:val="24"/>
        </w:rPr>
        <w:t>risen further.  Firms may </w:t>
      </w:r>
      <w:r>
        <w:rPr>
          <w:color w:val="231F20"/>
          <w:spacing w:val="-3"/>
          <w:sz w:val="24"/>
        </w:rPr>
        <w:t>have </w:t>
      </w:r>
      <w:r>
        <w:rPr>
          <w:color w:val="231F20"/>
          <w:sz w:val="24"/>
        </w:rPr>
        <w:t>needed to pay higher wages to attract new recruits, or to make larger payments to retain staff. In addition, employers may </w:t>
      </w:r>
      <w:r>
        <w:rPr>
          <w:color w:val="231F20"/>
          <w:spacing w:val="-3"/>
          <w:sz w:val="24"/>
        </w:rPr>
        <w:t>have </w:t>
      </w:r>
      <w:r>
        <w:rPr>
          <w:color w:val="231F20"/>
          <w:sz w:val="24"/>
        </w:rPr>
        <w:t>chosen to increase the proportion of the total pay bill that reflects individual productivity and</w:t>
      </w:r>
      <w:r>
        <w:rPr>
          <w:color w:val="231F20"/>
          <w:spacing w:val="-1"/>
          <w:sz w:val="24"/>
        </w:rPr>
        <w:t> </w:t>
      </w:r>
      <w:r>
        <w:rPr>
          <w:color w:val="231F20"/>
          <w:sz w:val="24"/>
        </w:rPr>
        <w:t>performance.</w:t>
      </w:r>
    </w:p>
    <w:p>
      <w:pPr>
        <w:pStyle w:val="BodyText"/>
        <w:spacing w:before="11"/>
        <w:rPr>
          <w:sz w:val="29"/>
        </w:rPr>
      </w:pPr>
    </w:p>
    <w:p>
      <w:pPr>
        <w:pStyle w:val="ListParagraph"/>
        <w:numPr>
          <w:ilvl w:val="1"/>
          <w:numId w:val="19"/>
        </w:numPr>
        <w:tabs>
          <w:tab w:pos="6037" w:val="left" w:leader="none"/>
          <w:tab w:pos="6038" w:val="left" w:leader="none"/>
        </w:tabs>
        <w:spacing w:line="301" w:lineRule="exact" w:before="0" w:after="0"/>
        <w:ind w:left="6037" w:right="0" w:hanging="1058"/>
        <w:jc w:val="left"/>
        <w:rPr>
          <w:b/>
          <w:color w:val="009483"/>
          <w:sz w:val="28"/>
        </w:rPr>
      </w:pPr>
      <w:r>
        <w:rPr>
          <w:b/>
          <w:color w:val="009483"/>
          <w:sz w:val="28"/>
        </w:rPr>
        <w:t>Employment, non-employment and</w:t>
      </w:r>
    </w:p>
    <w:p>
      <w:pPr>
        <w:tabs>
          <w:tab w:pos="7401" w:val="left" w:leader="none"/>
          <w:tab w:pos="10479" w:val="left" w:leader="none"/>
        </w:tabs>
        <w:spacing w:line="301" w:lineRule="exact" w:before="0"/>
        <w:ind w:left="4980" w:right="0" w:firstLine="0"/>
        <w:jc w:val="left"/>
        <w:rPr>
          <w:b/>
          <w:sz w:val="28"/>
        </w:rPr>
      </w:pPr>
      <w:r>
        <w:rPr>
          <w:b/>
          <w:color w:val="009483"/>
          <w:sz w:val="28"/>
          <w:u w:val="thick" w:color="0093C1"/>
        </w:rPr>
        <w:t> </w:t>
        <w:tab/>
        <w:t>labour market</w:t>
      </w:r>
      <w:r>
        <w:rPr>
          <w:b/>
          <w:color w:val="009483"/>
          <w:spacing w:val="-3"/>
          <w:sz w:val="28"/>
          <w:u w:val="thick" w:color="0093C1"/>
        </w:rPr>
        <w:t> </w:t>
      </w:r>
      <w:r>
        <w:rPr>
          <w:b/>
          <w:color w:val="009483"/>
          <w:sz w:val="28"/>
          <w:u w:val="thick" w:color="0093C1"/>
        </w:rPr>
        <w:t>tightness</w:t>
        <w:tab/>
      </w:r>
    </w:p>
    <w:p>
      <w:pPr>
        <w:pStyle w:val="BodyText"/>
        <w:spacing w:before="2"/>
        <w:rPr>
          <w:b/>
          <w:sz w:val="16"/>
        </w:rPr>
      </w:pPr>
    </w:p>
    <w:p>
      <w:pPr>
        <w:spacing w:after="0"/>
        <w:rPr>
          <w:sz w:val="16"/>
        </w:rPr>
        <w:sectPr>
          <w:headerReference w:type="default" r:id="rId96"/>
          <w:footerReference w:type="default" r:id="rId97"/>
          <w:footerReference w:type="even" r:id="rId98"/>
          <w:pgSz w:w="11900" w:h="16840"/>
          <w:pgMar w:header="0" w:footer="617" w:top="780" w:bottom="800" w:left="620" w:right="640"/>
          <w:pgNumType w:start="25"/>
        </w:sectPr>
      </w:pPr>
    </w:p>
    <w:p>
      <w:pPr>
        <w:pStyle w:val="BodyText"/>
        <w:rPr>
          <w:b/>
          <w:sz w:val="22"/>
        </w:rPr>
      </w:pPr>
    </w:p>
    <w:p>
      <w:pPr>
        <w:pStyle w:val="BodyText"/>
        <w:rPr>
          <w:b/>
          <w:sz w:val="22"/>
        </w:rPr>
      </w:pPr>
    </w:p>
    <w:p>
      <w:pPr>
        <w:pStyle w:val="BodyText"/>
        <w:spacing w:before="8"/>
        <w:rPr>
          <w:b/>
          <w:sz w:val="23"/>
        </w:rPr>
      </w:pPr>
    </w:p>
    <w:p>
      <w:pPr>
        <w:pStyle w:val="Heading9"/>
        <w:spacing w:before="0"/>
      </w:pPr>
      <w:r>
        <w:rPr>
          <w:color w:val="0093C1"/>
        </w:rPr>
        <w:t>Table 3.A</w:t>
      </w:r>
    </w:p>
    <w:p>
      <w:pPr>
        <w:spacing w:before="10"/>
        <w:ind w:left="190" w:right="0" w:firstLine="0"/>
        <w:jc w:val="left"/>
        <w:rPr>
          <w:b/>
          <w:sz w:val="20"/>
        </w:rPr>
      </w:pPr>
      <w:r>
        <w:rPr>
          <w:b/>
          <w:color w:val="0093C1"/>
          <w:sz w:val="20"/>
        </w:rPr>
        <w:t>The quantity of labour</w:t>
      </w:r>
    </w:p>
    <w:p>
      <w:pPr>
        <w:spacing w:before="106"/>
        <w:ind w:left="190" w:right="0" w:firstLine="0"/>
        <w:jc w:val="left"/>
        <w:rPr>
          <w:sz w:val="14"/>
        </w:rPr>
      </w:pPr>
      <w:r>
        <w:rPr>
          <w:sz w:val="14"/>
        </w:rPr>
        <w:t>Per cent, unless otherwise stated</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2"/>
        <w:rPr>
          <w:sz w:val="14"/>
        </w:rPr>
      </w:pPr>
    </w:p>
    <w:p>
      <w:pPr>
        <w:tabs>
          <w:tab w:pos="1471" w:val="left" w:leader="none"/>
        </w:tabs>
        <w:spacing w:line="150" w:lineRule="exact" w:before="0"/>
        <w:ind w:left="0" w:right="38" w:firstLine="0"/>
        <w:jc w:val="right"/>
        <w:rPr>
          <w:sz w:val="14"/>
        </w:rPr>
      </w:pPr>
      <w:r>
        <w:rPr>
          <w:sz w:val="14"/>
          <w:u w:val="single"/>
        </w:rPr>
        <w:t>1999</w:t>
        <w:tab/>
      </w:r>
    </w:p>
    <w:p>
      <w:pPr>
        <w:tabs>
          <w:tab w:pos="739" w:val="left" w:leader="none"/>
          <w:tab w:pos="1315" w:val="left" w:leader="none"/>
          <w:tab w:pos="1880" w:val="left" w:leader="none"/>
        </w:tabs>
        <w:spacing w:line="150" w:lineRule="exact" w:before="0"/>
        <w:ind w:left="-39" w:right="84" w:firstLine="0"/>
        <w:jc w:val="right"/>
        <w:rPr>
          <w:sz w:val="14"/>
        </w:rPr>
      </w:pPr>
      <w:r>
        <w:rPr/>
        <w:pict>
          <v:shape style="position:absolute;margin-left:38pt;margin-top:6.772715pt;width:215.9pt;height:77.8pt;mso-position-horizontal-relative:page;mso-position-vertical-relative:paragraph;z-index:160394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70"/>
                    <w:gridCol w:w="507"/>
                    <w:gridCol w:w="557"/>
                    <w:gridCol w:w="549"/>
                    <w:gridCol w:w="533"/>
                  </w:tblGrid>
                  <w:tr>
                    <w:trPr>
                      <w:trHeight w:val="147" w:hRule="atLeast"/>
                    </w:trPr>
                    <w:tc>
                      <w:tcPr>
                        <w:tcW w:w="2677" w:type="dxa"/>
                        <w:gridSpan w:val="2"/>
                      </w:tcPr>
                      <w:p>
                        <w:pPr>
                          <w:pStyle w:val="TableParagraph"/>
                          <w:spacing w:line="128" w:lineRule="exact"/>
                          <w:ind w:right="575"/>
                          <w:jc w:val="right"/>
                          <w:rPr>
                            <w:sz w:val="14"/>
                          </w:rPr>
                        </w:pPr>
                        <w:r>
                          <w:rPr>
                            <w:sz w:val="14"/>
                          </w:rPr>
                          <w:t>to</w:t>
                        </w:r>
                      </w:p>
                    </w:tc>
                    <w:tc>
                      <w:tcPr>
                        <w:tcW w:w="557" w:type="dxa"/>
                      </w:tcPr>
                      <w:p>
                        <w:pPr>
                          <w:pStyle w:val="TableParagraph"/>
                          <w:spacing w:line="128" w:lineRule="exact"/>
                          <w:ind w:left="91"/>
                          <w:rPr>
                            <w:sz w:val="14"/>
                          </w:rPr>
                        </w:pPr>
                        <w:r>
                          <w:rPr>
                            <w:sz w:val="14"/>
                          </w:rPr>
                          <w:t>to</w:t>
                        </w:r>
                      </w:p>
                    </w:tc>
                    <w:tc>
                      <w:tcPr>
                        <w:tcW w:w="549" w:type="dxa"/>
                      </w:tcPr>
                      <w:p>
                        <w:pPr>
                          <w:pStyle w:val="TableParagraph"/>
                          <w:spacing w:line="128" w:lineRule="exact"/>
                          <w:ind w:left="110"/>
                          <w:rPr>
                            <w:sz w:val="14"/>
                          </w:rPr>
                        </w:pPr>
                        <w:r>
                          <w:rPr>
                            <w:sz w:val="14"/>
                          </w:rPr>
                          <w:t>to</w:t>
                        </w:r>
                      </w:p>
                    </w:tc>
                    <w:tc>
                      <w:tcPr>
                        <w:tcW w:w="533" w:type="dxa"/>
                      </w:tcPr>
                      <w:p>
                        <w:pPr>
                          <w:pStyle w:val="TableParagraph"/>
                          <w:spacing w:line="128" w:lineRule="exact"/>
                          <w:ind w:left="126"/>
                          <w:rPr>
                            <w:sz w:val="14"/>
                          </w:rPr>
                        </w:pPr>
                        <w:r>
                          <w:rPr>
                            <w:sz w:val="14"/>
                          </w:rPr>
                          <w:t>to</w:t>
                        </w:r>
                      </w:p>
                    </w:tc>
                  </w:tr>
                  <w:tr>
                    <w:trPr>
                      <w:trHeight w:val="147" w:hRule="atLeast"/>
                    </w:trPr>
                    <w:tc>
                      <w:tcPr>
                        <w:tcW w:w="2677" w:type="dxa"/>
                        <w:gridSpan w:val="2"/>
                      </w:tcPr>
                      <w:p>
                        <w:pPr>
                          <w:pStyle w:val="TableParagraph"/>
                          <w:spacing w:line="128" w:lineRule="exact"/>
                          <w:ind w:right="87"/>
                          <w:jc w:val="right"/>
                          <w:rPr>
                            <w:sz w:val="14"/>
                          </w:rPr>
                        </w:pPr>
                        <w:r>
                          <w:rPr>
                            <w:sz w:val="14"/>
                            <w:u w:val="single"/>
                          </w:rPr>
                          <w:t>Feb. 1999 </w:t>
                        </w:r>
                      </w:p>
                    </w:tc>
                    <w:tc>
                      <w:tcPr>
                        <w:tcW w:w="557" w:type="dxa"/>
                      </w:tcPr>
                      <w:p>
                        <w:pPr>
                          <w:pStyle w:val="TableParagraph"/>
                          <w:spacing w:line="128" w:lineRule="exact"/>
                          <w:ind w:left="91"/>
                          <w:rPr>
                            <w:sz w:val="14"/>
                          </w:rPr>
                        </w:pPr>
                        <w:r>
                          <w:rPr>
                            <w:sz w:val="14"/>
                            <w:u w:val="single"/>
                          </w:rPr>
                          <w:t>May </w:t>
                        </w:r>
                      </w:p>
                    </w:tc>
                    <w:tc>
                      <w:tcPr>
                        <w:tcW w:w="549" w:type="dxa"/>
                      </w:tcPr>
                      <w:p>
                        <w:pPr>
                          <w:pStyle w:val="TableParagraph"/>
                          <w:spacing w:line="128" w:lineRule="exact"/>
                          <w:ind w:left="110"/>
                          <w:rPr>
                            <w:sz w:val="14"/>
                          </w:rPr>
                        </w:pPr>
                        <w:r>
                          <w:rPr>
                            <w:sz w:val="14"/>
                            <w:u w:val="single"/>
                          </w:rPr>
                          <w:t>Aug. </w:t>
                        </w:r>
                      </w:p>
                    </w:tc>
                    <w:tc>
                      <w:tcPr>
                        <w:tcW w:w="533" w:type="dxa"/>
                      </w:tcPr>
                      <w:p>
                        <w:pPr>
                          <w:pStyle w:val="TableParagraph"/>
                          <w:spacing w:line="128" w:lineRule="exact"/>
                          <w:ind w:right="46"/>
                          <w:jc w:val="right"/>
                          <w:rPr>
                            <w:sz w:val="14"/>
                          </w:rPr>
                        </w:pPr>
                        <w:r>
                          <w:rPr>
                            <w:sz w:val="14"/>
                            <w:u w:val="single"/>
                          </w:rPr>
                          <w:t>Nov. </w:t>
                        </w:r>
                      </w:p>
                    </w:tc>
                  </w:tr>
                  <w:tr>
                    <w:trPr>
                      <w:trHeight w:val="482" w:hRule="atLeast"/>
                    </w:trPr>
                    <w:tc>
                      <w:tcPr>
                        <w:tcW w:w="2170" w:type="dxa"/>
                      </w:tcPr>
                      <w:p>
                        <w:pPr>
                          <w:pStyle w:val="TableParagraph"/>
                          <w:spacing w:line="208" w:lineRule="auto" w:before="136"/>
                          <w:ind w:left="120" w:right="564" w:hanging="70"/>
                          <w:rPr>
                            <w:sz w:val="14"/>
                          </w:rPr>
                        </w:pPr>
                        <w:r>
                          <w:rPr>
                            <w:sz w:val="14"/>
                          </w:rPr>
                          <w:t>Total weekly hours worked (millions)</w:t>
                        </w:r>
                      </w:p>
                    </w:tc>
                    <w:tc>
                      <w:tcPr>
                        <w:tcW w:w="507" w:type="dxa"/>
                      </w:tcPr>
                      <w:p>
                        <w:pPr>
                          <w:pStyle w:val="TableParagraph"/>
                          <w:spacing w:before="6"/>
                          <w:rPr>
                            <w:sz w:val="22"/>
                          </w:rPr>
                        </w:pPr>
                      </w:p>
                      <w:p>
                        <w:pPr>
                          <w:pStyle w:val="TableParagraph"/>
                          <w:ind w:right="165"/>
                          <w:jc w:val="right"/>
                          <w:rPr>
                            <w:sz w:val="14"/>
                          </w:rPr>
                        </w:pPr>
                        <w:r>
                          <w:rPr>
                            <w:sz w:val="14"/>
                          </w:rPr>
                          <w:t>901.1</w:t>
                        </w:r>
                      </w:p>
                    </w:tc>
                    <w:tc>
                      <w:tcPr>
                        <w:tcW w:w="557" w:type="dxa"/>
                      </w:tcPr>
                      <w:p>
                        <w:pPr>
                          <w:pStyle w:val="TableParagraph"/>
                          <w:spacing w:before="6"/>
                          <w:rPr>
                            <w:sz w:val="22"/>
                          </w:rPr>
                        </w:pPr>
                      </w:p>
                      <w:p>
                        <w:pPr>
                          <w:pStyle w:val="TableParagraph"/>
                          <w:ind w:left="105"/>
                          <w:rPr>
                            <w:sz w:val="14"/>
                          </w:rPr>
                        </w:pPr>
                        <w:r>
                          <w:rPr>
                            <w:sz w:val="14"/>
                          </w:rPr>
                          <w:t>900.8</w:t>
                        </w:r>
                      </w:p>
                    </w:tc>
                    <w:tc>
                      <w:tcPr>
                        <w:tcW w:w="549" w:type="dxa"/>
                      </w:tcPr>
                      <w:p>
                        <w:pPr>
                          <w:pStyle w:val="TableParagraph"/>
                          <w:spacing w:before="6"/>
                          <w:rPr>
                            <w:sz w:val="22"/>
                          </w:rPr>
                        </w:pPr>
                      </w:p>
                      <w:p>
                        <w:pPr>
                          <w:pStyle w:val="TableParagraph"/>
                          <w:ind w:left="106"/>
                          <w:rPr>
                            <w:sz w:val="14"/>
                          </w:rPr>
                        </w:pPr>
                        <w:r>
                          <w:rPr>
                            <w:sz w:val="14"/>
                          </w:rPr>
                          <w:t>904.8</w:t>
                        </w:r>
                      </w:p>
                    </w:tc>
                    <w:tc>
                      <w:tcPr>
                        <w:tcW w:w="533" w:type="dxa"/>
                      </w:tcPr>
                      <w:p>
                        <w:pPr>
                          <w:pStyle w:val="TableParagraph"/>
                          <w:spacing w:before="6"/>
                          <w:rPr>
                            <w:sz w:val="22"/>
                          </w:rPr>
                        </w:pPr>
                      </w:p>
                      <w:p>
                        <w:pPr>
                          <w:pStyle w:val="TableParagraph"/>
                          <w:ind w:right="64"/>
                          <w:jc w:val="right"/>
                          <w:rPr>
                            <w:sz w:val="14"/>
                          </w:rPr>
                        </w:pPr>
                        <w:r>
                          <w:rPr>
                            <w:sz w:val="14"/>
                          </w:rPr>
                          <w:t>903.7</w:t>
                        </w:r>
                      </w:p>
                    </w:tc>
                  </w:tr>
                  <w:tr>
                    <w:trPr>
                      <w:trHeight w:val="350" w:hRule="atLeast"/>
                    </w:trPr>
                    <w:tc>
                      <w:tcPr>
                        <w:tcW w:w="2170" w:type="dxa"/>
                      </w:tcPr>
                      <w:p>
                        <w:pPr>
                          <w:pStyle w:val="TableParagraph"/>
                          <w:spacing w:line="140" w:lineRule="exact" w:before="75"/>
                          <w:ind w:left="120" w:right="4" w:hanging="70"/>
                          <w:rPr>
                            <w:sz w:val="14"/>
                          </w:rPr>
                        </w:pPr>
                        <w:r>
                          <w:rPr>
                            <w:sz w:val="14"/>
                          </w:rPr>
                          <w:t>Change in total weekly hours worked since previous three-month period</w:t>
                        </w:r>
                      </w:p>
                    </w:tc>
                    <w:tc>
                      <w:tcPr>
                        <w:tcW w:w="507" w:type="dxa"/>
                      </w:tcPr>
                      <w:p>
                        <w:pPr>
                          <w:pStyle w:val="TableParagraph"/>
                          <w:spacing w:before="1"/>
                          <w:rPr>
                            <w:sz w:val="17"/>
                          </w:rPr>
                        </w:pPr>
                      </w:p>
                      <w:p>
                        <w:pPr>
                          <w:pStyle w:val="TableParagraph"/>
                          <w:spacing w:line="133" w:lineRule="exact"/>
                          <w:ind w:right="164"/>
                          <w:jc w:val="right"/>
                          <w:rPr>
                            <w:sz w:val="14"/>
                          </w:rPr>
                        </w:pPr>
                        <w:r>
                          <w:rPr>
                            <w:sz w:val="14"/>
                          </w:rPr>
                          <w:t>0.0</w:t>
                        </w:r>
                      </w:p>
                    </w:tc>
                    <w:tc>
                      <w:tcPr>
                        <w:tcW w:w="557" w:type="dxa"/>
                      </w:tcPr>
                      <w:p>
                        <w:pPr>
                          <w:pStyle w:val="TableParagraph"/>
                          <w:spacing w:before="1"/>
                          <w:rPr>
                            <w:sz w:val="17"/>
                          </w:rPr>
                        </w:pPr>
                      </w:p>
                      <w:p>
                        <w:pPr>
                          <w:pStyle w:val="TableParagraph"/>
                          <w:spacing w:line="133" w:lineRule="exact"/>
                          <w:ind w:right="134"/>
                          <w:jc w:val="right"/>
                          <w:rPr>
                            <w:sz w:val="14"/>
                          </w:rPr>
                        </w:pPr>
                        <w:r>
                          <w:rPr>
                            <w:sz w:val="14"/>
                          </w:rPr>
                          <w:t>0.0</w:t>
                        </w:r>
                      </w:p>
                    </w:tc>
                    <w:tc>
                      <w:tcPr>
                        <w:tcW w:w="549" w:type="dxa"/>
                      </w:tcPr>
                      <w:p>
                        <w:pPr>
                          <w:pStyle w:val="TableParagraph"/>
                          <w:spacing w:before="1"/>
                          <w:rPr>
                            <w:sz w:val="17"/>
                          </w:rPr>
                        </w:pPr>
                      </w:p>
                      <w:p>
                        <w:pPr>
                          <w:pStyle w:val="TableParagraph"/>
                          <w:spacing w:line="133" w:lineRule="exact"/>
                          <w:ind w:right="124"/>
                          <w:jc w:val="right"/>
                          <w:rPr>
                            <w:sz w:val="14"/>
                          </w:rPr>
                        </w:pPr>
                        <w:r>
                          <w:rPr>
                            <w:sz w:val="14"/>
                          </w:rPr>
                          <w:t>0.4</w:t>
                        </w:r>
                      </w:p>
                    </w:tc>
                    <w:tc>
                      <w:tcPr>
                        <w:tcW w:w="533" w:type="dxa"/>
                      </w:tcPr>
                      <w:p>
                        <w:pPr>
                          <w:pStyle w:val="TableParagraph"/>
                          <w:spacing w:before="1"/>
                          <w:rPr>
                            <w:sz w:val="17"/>
                          </w:rPr>
                        </w:pPr>
                      </w:p>
                      <w:p>
                        <w:pPr>
                          <w:pStyle w:val="TableParagraph"/>
                          <w:spacing w:line="133" w:lineRule="exact"/>
                          <w:ind w:right="63"/>
                          <w:jc w:val="right"/>
                          <w:rPr>
                            <w:sz w:val="14"/>
                          </w:rPr>
                        </w:pPr>
                        <w:r>
                          <w:rPr>
                            <w:sz w:val="14"/>
                          </w:rPr>
                          <w:t>-0.1</w:t>
                        </w:r>
                      </w:p>
                    </w:tc>
                  </w:tr>
                  <w:tr>
                    <w:trPr>
                      <w:trHeight w:val="135" w:hRule="atLeast"/>
                    </w:trPr>
                    <w:tc>
                      <w:tcPr>
                        <w:tcW w:w="2170" w:type="dxa"/>
                      </w:tcPr>
                      <w:p>
                        <w:pPr>
                          <w:pStyle w:val="TableParagraph"/>
                          <w:spacing w:line="115" w:lineRule="exact"/>
                          <w:ind w:left="120"/>
                          <w:rPr>
                            <w:sz w:val="14"/>
                          </w:rPr>
                        </w:pPr>
                        <w:r>
                          <w:rPr>
                            <w:i/>
                            <w:sz w:val="14"/>
                          </w:rPr>
                          <w:t>of which</w:t>
                        </w:r>
                        <w:r>
                          <w:rPr>
                            <w:sz w:val="14"/>
                          </w:rPr>
                          <w:t>: change in employment</w:t>
                        </w:r>
                      </w:p>
                    </w:tc>
                    <w:tc>
                      <w:tcPr>
                        <w:tcW w:w="507" w:type="dxa"/>
                      </w:tcPr>
                      <w:p>
                        <w:pPr>
                          <w:pStyle w:val="TableParagraph"/>
                          <w:spacing w:line="115" w:lineRule="exact"/>
                          <w:ind w:right="164"/>
                          <w:jc w:val="right"/>
                          <w:rPr>
                            <w:sz w:val="14"/>
                          </w:rPr>
                        </w:pPr>
                        <w:r>
                          <w:rPr>
                            <w:sz w:val="14"/>
                          </w:rPr>
                          <w:t>0.3</w:t>
                        </w:r>
                      </w:p>
                    </w:tc>
                    <w:tc>
                      <w:tcPr>
                        <w:tcW w:w="557" w:type="dxa"/>
                      </w:tcPr>
                      <w:p>
                        <w:pPr>
                          <w:pStyle w:val="TableParagraph"/>
                          <w:spacing w:line="115" w:lineRule="exact"/>
                          <w:ind w:right="134"/>
                          <w:jc w:val="right"/>
                          <w:rPr>
                            <w:sz w:val="14"/>
                          </w:rPr>
                        </w:pPr>
                        <w:r>
                          <w:rPr>
                            <w:sz w:val="14"/>
                          </w:rPr>
                          <w:t>0.1</w:t>
                        </w:r>
                      </w:p>
                    </w:tc>
                    <w:tc>
                      <w:tcPr>
                        <w:tcW w:w="549" w:type="dxa"/>
                      </w:tcPr>
                      <w:p>
                        <w:pPr>
                          <w:pStyle w:val="TableParagraph"/>
                          <w:spacing w:line="115" w:lineRule="exact"/>
                          <w:ind w:right="125"/>
                          <w:jc w:val="right"/>
                          <w:rPr>
                            <w:sz w:val="14"/>
                          </w:rPr>
                        </w:pPr>
                        <w:r>
                          <w:rPr>
                            <w:sz w:val="14"/>
                          </w:rPr>
                          <w:t>0.4</w:t>
                        </w:r>
                      </w:p>
                    </w:tc>
                    <w:tc>
                      <w:tcPr>
                        <w:tcW w:w="533" w:type="dxa"/>
                      </w:tcPr>
                      <w:p>
                        <w:pPr>
                          <w:pStyle w:val="TableParagraph"/>
                          <w:spacing w:line="115" w:lineRule="exact"/>
                          <w:ind w:right="63"/>
                          <w:jc w:val="right"/>
                          <w:rPr>
                            <w:sz w:val="14"/>
                          </w:rPr>
                        </w:pPr>
                        <w:r>
                          <w:rPr>
                            <w:sz w:val="14"/>
                          </w:rPr>
                          <w:t>0.2</w:t>
                        </w:r>
                      </w:p>
                    </w:tc>
                  </w:tr>
                  <w:tr>
                    <w:trPr>
                      <w:trHeight w:val="287" w:hRule="atLeast"/>
                    </w:trPr>
                    <w:tc>
                      <w:tcPr>
                        <w:tcW w:w="2170" w:type="dxa"/>
                      </w:tcPr>
                      <w:p>
                        <w:pPr>
                          <w:pStyle w:val="TableParagraph"/>
                          <w:spacing w:line="140" w:lineRule="exact" w:before="5"/>
                          <w:ind w:left="674" w:right="119"/>
                          <w:rPr>
                            <w:sz w:val="14"/>
                          </w:rPr>
                        </w:pPr>
                        <w:r>
                          <w:rPr>
                            <w:sz w:val="14"/>
                          </w:rPr>
                          <w:t>change in average hours worked</w:t>
                        </w:r>
                      </w:p>
                    </w:tc>
                    <w:tc>
                      <w:tcPr>
                        <w:tcW w:w="507" w:type="dxa"/>
                      </w:tcPr>
                      <w:p>
                        <w:pPr>
                          <w:pStyle w:val="TableParagraph"/>
                          <w:spacing w:line="141" w:lineRule="exact" w:before="126"/>
                          <w:ind w:right="164"/>
                          <w:jc w:val="right"/>
                          <w:rPr>
                            <w:sz w:val="14"/>
                          </w:rPr>
                        </w:pPr>
                        <w:r>
                          <w:rPr>
                            <w:sz w:val="14"/>
                          </w:rPr>
                          <w:t>-0.2</w:t>
                        </w:r>
                      </w:p>
                    </w:tc>
                    <w:tc>
                      <w:tcPr>
                        <w:tcW w:w="557" w:type="dxa"/>
                      </w:tcPr>
                      <w:p>
                        <w:pPr>
                          <w:pStyle w:val="TableParagraph"/>
                          <w:spacing w:line="141" w:lineRule="exact" w:before="126"/>
                          <w:ind w:right="134"/>
                          <w:jc w:val="right"/>
                          <w:rPr>
                            <w:sz w:val="14"/>
                          </w:rPr>
                        </w:pPr>
                        <w:r>
                          <w:rPr>
                            <w:sz w:val="14"/>
                          </w:rPr>
                          <w:t>0.0</w:t>
                        </w:r>
                      </w:p>
                    </w:tc>
                    <w:tc>
                      <w:tcPr>
                        <w:tcW w:w="549" w:type="dxa"/>
                      </w:tcPr>
                      <w:p>
                        <w:pPr>
                          <w:pStyle w:val="TableParagraph"/>
                          <w:spacing w:line="141" w:lineRule="exact" w:before="126"/>
                          <w:ind w:right="125"/>
                          <w:jc w:val="right"/>
                          <w:rPr>
                            <w:sz w:val="14"/>
                          </w:rPr>
                        </w:pPr>
                        <w:r>
                          <w:rPr>
                            <w:sz w:val="14"/>
                          </w:rPr>
                          <w:t>0.1</w:t>
                        </w:r>
                      </w:p>
                    </w:tc>
                    <w:tc>
                      <w:tcPr>
                        <w:tcW w:w="533" w:type="dxa"/>
                      </w:tcPr>
                      <w:p>
                        <w:pPr>
                          <w:pStyle w:val="TableParagraph"/>
                          <w:spacing w:line="141" w:lineRule="exact" w:before="126"/>
                          <w:ind w:right="64"/>
                          <w:jc w:val="right"/>
                          <w:rPr>
                            <w:sz w:val="14"/>
                          </w:rPr>
                        </w:pPr>
                        <w:r>
                          <w:rPr>
                            <w:sz w:val="14"/>
                          </w:rPr>
                          <w:t>-0.4</w:t>
                        </w:r>
                      </w:p>
                    </w:tc>
                  </w:tr>
                </w:tbl>
                <w:p>
                  <w:pPr>
                    <w:pStyle w:val="BodyText"/>
                  </w:pPr>
                </w:p>
              </w:txbxContent>
            </v:textbox>
            <w10:wrap type="none"/>
          </v:shape>
        </w:pict>
      </w:r>
      <w:r>
        <w:rPr>
          <w:sz w:val="14"/>
        </w:rPr>
        <w:t>Dec. 1998</w:t>
        <w:tab/>
        <w:t>Mar.</w:t>
        <w:tab/>
        <w:t>June</w:t>
        <w:tab/>
      </w:r>
      <w:r>
        <w:rPr>
          <w:spacing w:val="-4"/>
          <w:sz w:val="14"/>
        </w:rPr>
        <w:t>Sept.</w:t>
      </w:r>
    </w:p>
    <w:p>
      <w:pPr>
        <w:pStyle w:val="Heading6"/>
        <w:spacing w:line="242" w:lineRule="auto" w:before="90"/>
        <w:ind w:right="219"/>
      </w:pPr>
      <w:r>
        <w:rPr/>
        <w:br w:type="column"/>
      </w:r>
      <w:r>
        <w:rPr>
          <w:spacing w:val="-4"/>
        </w:rPr>
        <w:t>Total </w:t>
      </w:r>
      <w:r>
        <w:rPr/>
        <w:t>hours worked, often regarded as the broadest measure of labour supplied, fell by 0.1% in the three months to November, but remained above levels seen during the first half of last </w:t>
      </w:r>
      <w:r>
        <w:rPr>
          <w:spacing w:val="-3"/>
        </w:rPr>
        <w:t>year. </w:t>
      </w:r>
      <w:r>
        <w:rPr/>
        <w:t>The change in total hours worked depends on the change in the number of employed people, and the change in the average number of hours that each employed person works. </w:t>
      </w:r>
      <w:r>
        <w:rPr>
          <w:spacing w:val="-4"/>
        </w:rPr>
        <w:t>Table </w:t>
      </w:r>
      <w:r>
        <w:rPr/>
        <w:t>3.A shows that the number of employed people rose steadily between autumn 1998 and autumn 1999, but the average number of hours that each employed person worked tended to fall. This fall was not caused by a switch </w:t>
      </w:r>
      <w:r>
        <w:rPr>
          <w:spacing w:val="-4"/>
        </w:rPr>
        <w:t>from </w:t>
      </w:r>
      <w:r>
        <w:rPr/>
        <w:t>full-time to part-time work, as the number of full-time workers grew more rapidly than the number of part-time workers during the period. Compliance with the </w:t>
      </w:r>
      <w:r>
        <w:rPr>
          <w:spacing w:val="-3"/>
        </w:rPr>
        <w:t>Working Time </w:t>
      </w:r>
      <w:r>
        <w:rPr/>
        <w:t>Directive (WTD) may </w:t>
      </w:r>
      <w:r>
        <w:rPr>
          <w:spacing w:val="-3"/>
        </w:rPr>
        <w:t>have </w:t>
      </w:r>
      <w:r>
        <w:rPr/>
        <w:t>been a</w:t>
      </w:r>
      <w:r>
        <w:rPr>
          <w:spacing w:val="8"/>
        </w:rPr>
        <w:t> </w:t>
      </w:r>
      <w:r>
        <w:rPr>
          <w:spacing w:val="-3"/>
        </w:rPr>
        <w:t>factor.</w:t>
      </w:r>
    </w:p>
    <w:p>
      <w:pPr>
        <w:pStyle w:val="BodyText"/>
        <w:spacing w:before="11"/>
        <w:rPr>
          <w:sz w:val="25"/>
        </w:rPr>
      </w:pPr>
    </w:p>
    <w:p>
      <w:pPr>
        <w:spacing w:line="242" w:lineRule="auto" w:before="0"/>
        <w:ind w:left="190" w:right="142" w:firstLine="0"/>
        <w:jc w:val="left"/>
        <w:rPr>
          <w:sz w:val="24"/>
        </w:rPr>
      </w:pPr>
      <w:r>
        <w:rPr>
          <w:sz w:val="24"/>
        </w:rPr>
        <w:t>The WTD came into force in October 1998. It places restrictions on working more than 48 hours a week, as well as limiting shift work patterns and broadening statutory holiday entitlements. Limited information on the distribution of hours worked is available from the Labour Force Survey (LFS). This shows that, since the beginning of 1998, there has been a fall in the percentage of full-time employees in the highest hours-worked</w:t>
      </w:r>
    </w:p>
    <w:p>
      <w:pPr>
        <w:spacing w:after="0" w:line="242" w:lineRule="auto"/>
        <w:jc w:val="left"/>
        <w:rPr>
          <w:sz w:val="24"/>
        </w:rPr>
        <w:sectPr>
          <w:type w:val="continuous"/>
          <w:pgSz w:w="11900" w:h="16840"/>
          <w:pgMar w:top="1220" w:bottom="280" w:left="620" w:right="640"/>
          <w:cols w:num="3" w:equalWidth="0">
            <w:col w:w="2130" w:space="40"/>
            <w:col w:w="2251" w:space="369"/>
            <w:col w:w="5850"/>
          </w:cols>
        </w:sectPr>
      </w:pPr>
    </w:p>
    <w:p>
      <w:pPr>
        <w:pStyle w:val="BodyText"/>
        <w:rPr>
          <w:sz w:val="20"/>
        </w:rPr>
      </w:pPr>
    </w:p>
    <w:p>
      <w:pPr>
        <w:spacing w:after="0"/>
        <w:rPr>
          <w:sz w:val="20"/>
        </w:rPr>
        <w:sectPr>
          <w:headerReference w:type="default" r:id="rId99"/>
          <w:headerReference w:type="even" r:id="rId100"/>
          <w:pgSz w:w="11900" w:h="16840"/>
          <w:pgMar w:header="586" w:footer="617" w:top="780" w:bottom="780" w:left="620" w:right="640"/>
        </w:sectPr>
      </w:pPr>
    </w:p>
    <w:p>
      <w:pPr>
        <w:pStyle w:val="BodyText"/>
        <w:rPr>
          <w:sz w:val="21"/>
        </w:rPr>
      </w:pPr>
    </w:p>
    <w:p>
      <w:pPr>
        <w:pStyle w:val="Heading9"/>
        <w:spacing w:before="0"/>
        <w:ind w:left="210"/>
      </w:pPr>
      <w:r>
        <w:rPr>
          <w:color w:val="0093C1"/>
        </w:rPr>
        <w:t>Chart 3.1</w:t>
      </w:r>
    </w:p>
    <w:p>
      <w:pPr>
        <w:spacing w:line="249" w:lineRule="auto" w:before="10"/>
        <w:ind w:left="210" w:right="20" w:firstLine="0"/>
        <w:jc w:val="left"/>
        <w:rPr>
          <w:sz w:val="12"/>
        </w:rPr>
      </w:pPr>
      <w:r>
        <w:rPr>
          <w:b/>
          <w:color w:val="0093C1"/>
          <w:sz w:val="20"/>
        </w:rPr>
        <w:t>Distribution of full-time employees’ usual weekly working hours</w:t>
      </w:r>
      <w:r>
        <w:rPr>
          <w:position w:val="4"/>
          <w:sz w:val="12"/>
        </w:rPr>
        <w:t>(a)</w:t>
      </w:r>
    </w:p>
    <w:p>
      <w:pPr>
        <w:spacing w:line="242" w:lineRule="auto" w:before="217"/>
        <w:ind w:left="210" w:right="0" w:firstLine="0"/>
        <w:jc w:val="left"/>
        <w:rPr>
          <w:sz w:val="24"/>
        </w:rPr>
      </w:pPr>
      <w:r>
        <w:rPr/>
        <w:br w:type="column"/>
      </w:r>
      <w:r>
        <w:rPr>
          <w:sz w:val="24"/>
        </w:rPr>
        <w:t>category (those working more than 45 hours per week), and a corresponding rise in the percentage of full-time employees in the next highest hours-worked category</w:t>
      </w:r>
    </w:p>
    <w:p>
      <w:pPr>
        <w:spacing w:after="0" w:line="242" w:lineRule="auto"/>
        <w:jc w:val="left"/>
        <w:rPr>
          <w:sz w:val="24"/>
        </w:rPr>
        <w:sectPr>
          <w:type w:val="continuous"/>
          <w:pgSz w:w="11900" w:h="16840"/>
          <w:pgMar w:top="1220" w:bottom="280" w:left="620" w:right="640"/>
          <w:cols w:num="2" w:equalWidth="0">
            <w:col w:w="3795" w:space="1015"/>
            <w:col w:w="5830"/>
          </w:cols>
        </w:sectPr>
      </w:pPr>
    </w:p>
    <w:p>
      <w:pPr>
        <w:spacing w:line="208" w:lineRule="auto" w:before="0"/>
        <w:ind w:left="209" w:right="0" w:firstLine="0"/>
        <w:jc w:val="left"/>
        <w:rPr>
          <w:sz w:val="12"/>
        </w:rPr>
      </w:pPr>
      <w:r>
        <w:rPr/>
        <w:pict>
          <v:group style="position:absolute;margin-left:48.896pt;margin-top:7.730453pt;width:164.5pt;height:151.950pt;mso-position-horizontal-relative:page;mso-position-vertical-relative:paragraph;z-index:16050176" coordorigin="978,155" coordsize="3290,3039">
            <v:rect style="position:absolute;left:3905;top:160;width:175;height:3025" filled="true" fillcolor="#b5e1e1" stroked="false">
              <v:fill type="solid"/>
            </v:rect>
            <v:shape style="position:absolute;left:1160;top:910;width:1745;height:1445" coordorigin="1160,910" coordsize="1745,1445" path="m1160,910l1348,1195m1348,1195l1533,1538m1533,1538l1730,1790m1730,1790l1915,2193m1915,2193l2100,2253m2100,2253l2285,2178m2285,2178l2485,1775m2485,1775l2670,2028m2670,2028l2855,2223m2855,2223l2905,2355e" filled="false" stroked="true" strokeweight="1pt" strokecolor="#0066a5">
              <v:path arrowok="t"/>
              <v:stroke dashstyle="solid"/>
            </v:shape>
            <v:shape style="position:absolute;left:2895;top:2356;width:105;height:2" coordorigin="2895,2357" coordsize="105,0" path="m2895,2357l2962,2357m2942,2357l3000,2357e" filled="false" stroked="true" strokeweight="1.125pt" strokecolor="#0066a5">
              <v:path arrowok="t"/>
              <v:stroke dashstyle="solid"/>
            </v:shape>
            <v:shape style="position:absolute;left:2990;top:2355;width:620;height:658" coordorigin="2990,2355" coordsize="620,658" path="m2990,2355l3040,2445m3040,2445l3090,2520m3090,2520l3140,2625m3140,2625l3187,2610m3187,2610l3225,2595m3225,2595l3275,2655m3275,2655l3325,2685m3325,2685l3375,2743m3375,2743l3422,2878m3422,2878l3472,2803m3472,2803l3510,2863m3510,2863l3560,3013m3560,3013l3610,2923e" filled="false" stroked="true" strokeweight="1pt" strokecolor="#0066a5">
              <v:path arrowok="t"/>
              <v:stroke dashstyle="solid"/>
            </v:shape>
            <v:line style="position:absolute" from="3600,2924" to="3668,2924" stroked="true" strokeweight="1.125pt" strokecolor="#0066a5">
              <v:stroke dashstyle="solid"/>
            </v:line>
            <v:shape style="position:absolute;left:3657;top:2535;width:285;height:433" coordorigin="3658,2535" coordsize="285,433" path="m3658,2923l3708,2968m3708,2968l3745,2893m3745,2893l3795,2878m3795,2878l3843,2863m3843,2863l3893,2728m3893,2728l3943,2535e" filled="false" stroked="true" strokeweight="1pt" strokecolor="#0066a5">
              <v:path arrowok="t"/>
              <v:stroke dashstyle="solid"/>
            </v:shape>
            <v:line style="position:absolute" from="3933,2537" to="3990,2537" stroked="true" strokeweight="1.125pt" strokecolor="#0066a5">
              <v:stroke dashstyle="solid"/>
            </v:line>
            <v:shape style="position:absolute;left:3980;top:2535;width:98;height:75" coordorigin="3980,2535" coordsize="98,75" path="m3980,2535l4030,2595m4030,2595l4078,2610e" filled="false" stroked="true" strokeweight="1pt" strokecolor="#0066a5">
              <v:path arrowok="t"/>
              <v:stroke dashstyle="solid"/>
            </v:shape>
            <v:shape style="position:absolute;left:1160;top:970;width:940;height:1685" coordorigin="1160,970" coordsize="940,1685" path="m1160,2655l1348,2103m1348,2103l1533,1820m1533,1820l1730,1508m1730,1508l1915,970m1915,970l2100,1045e" filled="false" stroked="true" strokeweight="1pt" strokecolor="#ed1b2d">
              <v:path arrowok="t"/>
              <v:stroke dashstyle="solid"/>
            </v:shape>
            <v:line style="position:absolute" from="2090,1053" to="2295,1053" stroked="true" strokeweight="1.75pt" strokecolor="#ed1b2d">
              <v:stroke dashstyle="solid"/>
            </v:line>
            <v:line style="position:absolute" from="2285,1060" to="2485,1463" stroked="true" strokeweight="1pt" strokecolor="#ed1b2d">
              <v:stroke dashstyle="solid"/>
            </v:line>
            <v:line style="position:absolute" from="2475,1455" to="2680,1455" stroked="true" strokeweight="1.75pt" strokecolor="#ed1b2d">
              <v:stroke dashstyle="solid"/>
            </v:line>
            <v:shape style="position:absolute;left:2670;top:360;width:1408;height:1088" coordorigin="2670,360" coordsize="1408,1088" path="m2670,1448l2855,1195m2855,1195l2905,1030m2905,1030l2952,1015m2952,1015l2990,1000m2990,1000l3040,925m3040,925l3090,865m3090,865l3140,763m3140,763l3187,748m3187,748l3225,718m3225,718l3275,673m3275,673l3325,643m3325,643l3375,538m3375,538l3422,493m3422,493l3472,568m3472,568l3510,523m3510,523l3560,360m3560,360l3610,463m3610,463l3657,478m3657,478l3707,463m3707,463l3745,493m3745,493l3795,538m3795,538l3842,598m3842,598l3892,748m3892,748l3942,895m3942,895l3980,970m3980,970l4030,925m4030,925l4077,985e" filled="false" stroked="true" strokeweight="1pt" strokecolor="#ed1b2d">
              <v:path arrowok="t"/>
              <v:stroke dashstyle="solid"/>
            </v:shape>
            <v:shape style="position:absolute;left:1156;top:159;width:3091;height:3025" coordorigin="1156,160" coordsize="3091,3025" path="m1159,3184l4240,3184m1156,3130l1156,3184m1533,3130l1533,3184m2097,3130l2097,3184m3792,3130l3792,3184m2474,3130l2474,3184m3227,3130l3227,3184m1344,3130l1344,3184m1721,3130l1721,3184m2662,3130l2662,3184m3415,3130l3415,3184m3980,3130l3980,3184m2850,3130l2850,3184m3603,3130l3603,3184m1909,3130l1909,3184m3039,3130l3039,3184m2286,3130l2286,3184m4247,160l4160,160m4247,642l4160,642m4247,1607l4160,1607m4247,3054l4160,3054m4247,1124l4160,1124m4247,2089l4160,2089m4247,2571l4160,2571e" filled="false" stroked="true" strokeweight=".5pt" strokecolor="#000000">
              <v:path arrowok="t"/>
              <v:stroke dashstyle="solid"/>
            </v:shape>
            <v:shape style="position:absolute;left:4222;top:3051;width:40;height:127" coordorigin="4223,3051" coordsize="40,127" path="m4243,3051l4243,3078,4223,3094,4263,3108,4223,3128,4263,3145,4239,3155,4239,3178e" filled="false" stroked="true" strokeweight=".5pt" strokecolor="#000000">
              <v:path arrowok="t"/>
              <v:stroke dashstyle="solid"/>
            </v:shape>
            <v:line style="position:absolute" from="1070,3055" to="983,3055" stroked="true" strokeweight=".5pt" strokecolor="#000000">
              <v:stroke dashstyle="solid"/>
            </v:line>
            <v:shape style="position:absolute;left:977;top:3061;width:185;height:127" coordorigin="978,3061" coordsize="185,127" path="m1072,3061l1072,3088,1052,3104,1092,3118,1052,3138,1092,3155,1068,3165,1068,3188m978,3184l1163,3184e" filled="false" stroked="true" strokeweight=".5pt" strokecolor="#000000">
              <v:path arrowok="t"/>
              <v:stroke dashstyle="solid"/>
            </v:shape>
            <v:shape style="position:absolute;left:1755;top:554;width:1010;height:374" type="#_x0000_t202" filled="false" stroked="false">
              <v:textbox inset="0,0,0,0">
                <w:txbxContent>
                  <w:p>
                    <w:pPr>
                      <w:spacing w:line="208" w:lineRule="auto" w:before="9"/>
                      <w:ind w:left="60" w:right="18" w:hanging="60"/>
                      <w:jc w:val="left"/>
                      <w:rPr>
                        <w:sz w:val="12"/>
                      </w:rPr>
                    </w:pPr>
                    <w:r>
                      <w:rPr>
                        <w:sz w:val="12"/>
                      </w:rPr>
                      <w:t>Proportion working more than 45 hours (left-hand scale)</w:t>
                    </w:r>
                  </w:p>
                </w:txbxContent>
              </v:textbox>
              <w10:wrap type="none"/>
            </v:shape>
            <v:shape style="position:absolute;left:1622;top:2241;width:1280;height:374" type="#_x0000_t202" filled="false" stroked="false">
              <v:textbox inset="0,0,0,0">
                <w:txbxContent>
                  <w:p>
                    <w:pPr>
                      <w:spacing w:line="208" w:lineRule="auto" w:before="9"/>
                      <w:ind w:left="60" w:right="18" w:hanging="60"/>
                      <w:jc w:val="left"/>
                      <w:rPr>
                        <w:sz w:val="12"/>
                      </w:rPr>
                    </w:pPr>
                    <w:r>
                      <w:rPr>
                        <w:sz w:val="12"/>
                      </w:rPr>
                      <w:t>Proportion working between 31 and 45 hours (right-hand scale)</w:t>
                    </w:r>
                  </w:p>
                </w:txbxContent>
              </v:textbox>
              <w10:wrap type="none"/>
            </v:shape>
            <w10:wrap type="none"/>
          </v:group>
        </w:pict>
      </w:r>
      <w:r>
        <w:rPr/>
        <w:pict>
          <v:line style="position:absolute;mso-position-horizontal-relative:page;mso-position-vertical-relative:paragraph;z-index:16050688" from="53.501999pt,8.022453pt" to="49.168999pt,8.022453pt" stroked="true" strokeweight=".5pt" strokecolor="#000000">
            <v:stroke dashstyle="solid"/>
            <w10:wrap type="none"/>
          </v:line>
        </w:pict>
      </w:r>
      <w:r>
        <w:rPr>
          <w:position w:val="-6"/>
          <w:sz w:val="12"/>
        </w:rPr>
        <w:t>33 </w:t>
      </w:r>
      <w:r>
        <w:rPr>
          <w:sz w:val="12"/>
        </w:rPr>
        <w:t>Per cent</w:t>
      </w:r>
    </w:p>
    <w:p>
      <w:pPr>
        <w:pStyle w:val="BodyText"/>
        <w:rPr>
          <w:sz w:val="20"/>
        </w:rPr>
      </w:pPr>
    </w:p>
    <w:p>
      <w:pPr>
        <w:spacing w:before="120"/>
        <w:ind w:left="209" w:right="0" w:firstLine="0"/>
        <w:jc w:val="left"/>
        <w:rPr>
          <w:sz w:val="12"/>
        </w:rPr>
      </w:pPr>
      <w:r>
        <w:rPr/>
        <w:pict>
          <v:line style="position:absolute;mso-position-horizontal-relative:page;mso-position-vertical-relative:paragraph;z-index:16051200" from="53.501999pt,10.621584pt" to="49.168999pt,10.621584pt" stroked="true" strokeweight=".5pt" strokecolor="#000000">
            <v:stroke dashstyle="solid"/>
            <w10:wrap type="none"/>
          </v:line>
        </w:pict>
      </w:r>
      <w:r>
        <w:rPr>
          <w:sz w:val="12"/>
        </w:rPr>
        <w:t>31</w:t>
      </w:r>
    </w:p>
    <w:p>
      <w:pPr>
        <w:pStyle w:val="BodyText"/>
        <w:rPr>
          <w:sz w:val="12"/>
        </w:rPr>
      </w:pPr>
    </w:p>
    <w:p>
      <w:pPr>
        <w:pStyle w:val="BodyText"/>
        <w:spacing w:before="10"/>
        <w:rPr>
          <w:sz w:val="17"/>
        </w:rPr>
      </w:pPr>
    </w:p>
    <w:p>
      <w:pPr>
        <w:spacing w:before="0"/>
        <w:ind w:left="209" w:right="0" w:firstLine="0"/>
        <w:jc w:val="left"/>
        <w:rPr>
          <w:sz w:val="12"/>
        </w:rPr>
      </w:pPr>
      <w:r>
        <w:rPr/>
        <w:pict>
          <v:line style="position:absolute;mso-position-horizontal-relative:page;mso-position-vertical-relative:paragraph;z-index:16052224" from="53.501999pt,4.656149pt" to="49.168999pt,4.656149pt" stroked="true" strokeweight=".5pt" strokecolor="#000000">
            <v:stroke dashstyle="solid"/>
            <w10:wrap type="none"/>
          </v:line>
        </w:pict>
      </w:r>
      <w:r>
        <w:rPr>
          <w:sz w:val="12"/>
        </w:rPr>
        <w:t>29</w:t>
      </w:r>
    </w:p>
    <w:p>
      <w:pPr>
        <w:pStyle w:val="BodyText"/>
        <w:rPr>
          <w:sz w:val="12"/>
        </w:rPr>
      </w:pPr>
    </w:p>
    <w:p>
      <w:pPr>
        <w:pStyle w:val="BodyText"/>
        <w:spacing w:before="10"/>
        <w:rPr>
          <w:sz w:val="17"/>
        </w:rPr>
      </w:pPr>
    </w:p>
    <w:p>
      <w:pPr>
        <w:spacing w:before="1"/>
        <w:ind w:left="209" w:right="0" w:firstLine="0"/>
        <w:jc w:val="left"/>
        <w:rPr>
          <w:sz w:val="12"/>
        </w:rPr>
      </w:pPr>
      <w:r>
        <w:rPr/>
        <w:pict>
          <v:line style="position:absolute;mso-position-horizontal-relative:page;mso-position-vertical-relative:paragraph;z-index:16051712" from="53.501999pt,4.740775pt" to="49.168999pt,4.740775pt" stroked="true" strokeweight=".5pt" strokecolor="#000000">
            <v:stroke dashstyle="solid"/>
            <w10:wrap type="none"/>
          </v:line>
        </w:pict>
      </w:r>
      <w:r>
        <w:rPr>
          <w:sz w:val="12"/>
        </w:rPr>
        <w:t>27</w:t>
      </w:r>
    </w:p>
    <w:p>
      <w:pPr>
        <w:pStyle w:val="BodyText"/>
        <w:rPr>
          <w:sz w:val="12"/>
        </w:rPr>
      </w:pPr>
    </w:p>
    <w:p>
      <w:pPr>
        <w:pStyle w:val="BodyText"/>
        <w:spacing w:before="10"/>
        <w:rPr>
          <w:sz w:val="17"/>
        </w:rPr>
      </w:pPr>
    </w:p>
    <w:p>
      <w:pPr>
        <w:spacing w:before="0"/>
        <w:ind w:left="209" w:right="0" w:firstLine="0"/>
        <w:jc w:val="left"/>
        <w:rPr>
          <w:sz w:val="12"/>
        </w:rPr>
      </w:pPr>
      <w:r>
        <w:rPr/>
        <w:pict>
          <v:line style="position:absolute;mso-position-horizontal-relative:page;mso-position-vertical-relative:paragraph;z-index:16052736" from="53.501999pt,4.72534pt" to="49.168999pt,4.72534pt" stroked="true" strokeweight=".5pt" strokecolor="#000000">
            <v:stroke dashstyle="solid"/>
            <w10:wrap type="none"/>
          </v:line>
        </w:pict>
      </w:r>
      <w:r>
        <w:rPr>
          <w:sz w:val="12"/>
        </w:rPr>
        <w:t>25</w:t>
      </w:r>
    </w:p>
    <w:p>
      <w:pPr>
        <w:pStyle w:val="BodyText"/>
        <w:rPr>
          <w:sz w:val="12"/>
        </w:rPr>
      </w:pPr>
    </w:p>
    <w:p>
      <w:pPr>
        <w:pStyle w:val="BodyText"/>
        <w:spacing w:before="10"/>
        <w:rPr>
          <w:sz w:val="17"/>
        </w:rPr>
      </w:pPr>
    </w:p>
    <w:p>
      <w:pPr>
        <w:spacing w:before="0"/>
        <w:ind w:left="209" w:right="0" w:firstLine="0"/>
        <w:jc w:val="left"/>
        <w:rPr>
          <w:sz w:val="12"/>
        </w:rPr>
      </w:pPr>
      <w:r>
        <w:rPr/>
        <w:pict>
          <v:line style="position:absolute;mso-position-horizontal-relative:page;mso-position-vertical-relative:paragraph;z-index:16053248" from="53.501999pt,4.759966pt" to="49.168999pt,4.759966pt" stroked="true" strokeweight=".5pt" strokecolor="#000000">
            <v:stroke dashstyle="solid"/>
            <w10:wrap type="none"/>
          </v:line>
        </w:pict>
      </w:r>
      <w:r>
        <w:rPr>
          <w:sz w:val="12"/>
        </w:rPr>
        <w:t>23</w:t>
      </w:r>
    </w:p>
    <w:p>
      <w:pPr>
        <w:pStyle w:val="BodyText"/>
        <w:rPr>
          <w:sz w:val="12"/>
        </w:rPr>
      </w:pPr>
    </w:p>
    <w:p>
      <w:pPr>
        <w:pStyle w:val="BodyText"/>
        <w:spacing w:before="10"/>
        <w:rPr>
          <w:sz w:val="17"/>
        </w:rPr>
      </w:pPr>
    </w:p>
    <w:p>
      <w:pPr>
        <w:spacing w:before="0"/>
        <w:ind w:left="209" w:right="0" w:firstLine="0"/>
        <w:jc w:val="left"/>
        <w:rPr>
          <w:sz w:val="12"/>
        </w:rPr>
      </w:pPr>
      <w:r>
        <w:rPr>
          <w:sz w:val="12"/>
        </w:rPr>
        <w:t>21</w:t>
      </w:r>
    </w:p>
    <w:p>
      <w:pPr>
        <w:spacing w:line="115" w:lineRule="exact" w:before="12"/>
        <w:ind w:left="269" w:right="0" w:firstLine="0"/>
        <w:jc w:val="left"/>
        <w:rPr>
          <w:sz w:val="12"/>
        </w:rPr>
      </w:pPr>
      <w:r>
        <w:rPr>
          <w:color w:val="231F20"/>
          <w:sz w:val="12"/>
        </w:rPr>
        <w:t>0</w:t>
      </w:r>
    </w:p>
    <w:p>
      <w:pPr>
        <w:tabs>
          <w:tab w:pos="867" w:val="left" w:leader="none"/>
          <w:tab w:pos="1241" w:val="left" w:leader="none"/>
          <w:tab w:pos="1615" w:val="left" w:leader="none"/>
          <w:tab w:pos="1988" w:val="left" w:leader="none"/>
          <w:tab w:pos="2362" w:val="left" w:leader="none"/>
          <w:tab w:pos="2736" w:val="left" w:leader="none"/>
          <w:tab w:pos="3110" w:val="left" w:leader="none"/>
        </w:tabs>
        <w:spacing w:line="115" w:lineRule="exact" w:before="0"/>
        <w:ind w:left="411" w:right="0" w:firstLine="0"/>
        <w:jc w:val="left"/>
        <w:rPr>
          <w:sz w:val="12"/>
        </w:rPr>
      </w:pPr>
      <w:r>
        <w:rPr>
          <w:sz w:val="12"/>
        </w:rPr>
        <w:t>1984</w:t>
        <w:tab/>
        <w:t>86</w:t>
        <w:tab/>
        <w:t>88</w:t>
        <w:tab/>
        <w:t>90</w:t>
        <w:tab/>
        <w:t>92</w:t>
        <w:tab/>
        <w:t>94</w:t>
        <w:tab/>
        <w:t>96</w:t>
        <w:tab/>
      </w:r>
      <w:r>
        <w:rPr>
          <w:spacing w:val="-10"/>
          <w:sz w:val="12"/>
        </w:rPr>
        <w:t>98</w:t>
      </w:r>
    </w:p>
    <w:p>
      <w:pPr>
        <w:spacing w:line="211" w:lineRule="auto" w:before="0"/>
        <w:ind w:left="-34" w:right="0" w:firstLine="0"/>
        <w:jc w:val="left"/>
        <w:rPr>
          <w:sz w:val="12"/>
        </w:rPr>
      </w:pPr>
      <w:r>
        <w:rPr/>
        <w:br w:type="column"/>
      </w:r>
      <w:r>
        <w:rPr>
          <w:sz w:val="12"/>
        </w:rPr>
        <w:t>Per cent</w:t>
      </w:r>
      <w:r>
        <w:rPr>
          <w:spacing w:val="8"/>
          <w:sz w:val="12"/>
        </w:rPr>
        <w:t> </w:t>
      </w:r>
      <w:r>
        <w:rPr>
          <w:position w:val="-6"/>
          <w:sz w:val="12"/>
        </w:rPr>
        <w:t>79</w:t>
      </w:r>
    </w:p>
    <w:p>
      <w:pPr>
        <w:pStyle w:val="BodyText"/>
        <w:rPr>
          <w:sz w:val="20"/>
        </w:rPr>
      </w:pPr>
    </w:p>
    <w:p>
      <w:pPr>
        <w:spacing w:before="121"/>
        <w:ind w:left="394" w:right="0" w:firstLine="0"/>
        <w:jc w:val="left"/>
        <w:rPr>
          <w:sz w:val="12"/>
        </w:rPr>
      </w:pPr>
      <w:r>
        <w:rPr>
          <w:sz w:val="12"/>
        </w:rPr>
        <w:t>77</w:t>
      </w:r>
    </w:p>
    <w:p>
      <w:pPr>
        <w:pStyle w:val="BodyText"/>
        <w:rPr>
          <w:sz w:val="12"/>
        </w:rPr>
      </w:pPr>
    </w:p>
    <w:p>
      <w:pPr>
        <w:pStyle w:val="BodyText"/>
        <w:spacing w:before="10"/>
        <w:rPr>
          <w:sz w:val="17"/>
        </w:rPr>
      </w:pPr>
    </w:p>
    <w:p>
      <w:pPr>
        <w:spacing w:before="0"/>
        <w:ind w:left="394" w:right="0" w:firstLine="0"/>
        <w:jc w:val="left"/>
        <w:rPr>
          <w:sz w:val="12"/>
        </w:rPr>
      </w:pPr>
      <w:r>
        <w:rPr>
          <w:sz w:val="12"/>
        </w:rPr>
        <w:t>75</w:t>
      </w:r>
    </w:p>
    <w:p>
      <w:pPr>
        <w:pStyle w:val="BodyText"/>
        <w:rPr>
          <w:sz w:val="12"/>
        </w:rPr>
      </w:pPr>
    </w:p>
    <w:p>
      <w:pPr>
        <w:pStyle w:val="BodyText"/>
        <w:spacing w:before="10"/>
        <w:rPr>
          <w:sz w:val="17"/>
        </w:rPr>
      </w:pPr>
    </w:p>
    <w:p>
      <w:pPr>
        <w:spacing w:before="1"/>
        <w:ind w:left="394" w:right="0" w:firstLine="0"/>
        <w:jc w:val="left"/>
        <w:rPr>
          <w:sz w:val="12"/>
        </w:rPr>
      </w:pPr>
      <w:r>
        <w:rPr>
          <w:sz w:val="12"/>
        </w:rPr>
        <w:t>73</w:t>
      </w:r>
    </w:p>
    <w:p>
      <w:pPr>
        <w:pStyle w:val="BodyText"/>
        <w:rPr>
          <w:sz w:val="12"/>
        </w:rPr>
      </w:pPr>
    </w:p>
    <w:p>
      <w:pPr>
        <w:pStyle w:val="BodyText"/>
        <w:spacing w:before="10"/>
        <w:rPr>
          <w:sz w:val="17"/>
        </w:rPr>
      </w:pPr>
    </w:p>
    <w:p>
      <w:pPr>
        <w:spacing w:before="0"/>
        <w:ind w:left="394" w:right="0" w:firstLine="0"/>
        <w:jc w:val="left"/>
        <w:rPr>
          <w:sz w:val="12"/>
        </w:rPr>
      </w:pPr>
      <w:r>
        <w:rPr>
          <w:sz w:val="12"/>
        </w:rPr>
        <w:t>71</w:t>
      </w:r>
    </w:p>
    <w:p>
      <w:pPr>
        <w:pStyle w:val="BodyText"/>
        <w:rPr>
          <w:sz w:val="12"/>
        </w:rPr>
      </w:pPr>
    </w:p>
    <w:p>
      <w:pPr>
        <w:pStyle w:val="BodyText"/>
        <w:spacing w:before="10"/>
        <w:rPr>
          <w:sz w:val="17"/>
        </w:rPr>
      </w:pPr>
    </w:p>
    <w:p>
      <w:pPr>
        <w:spacing w:before="0"/>
        <w:ind w:left="394" w:right="0" w:firstLine="0"/>
        <w:jc w:val="left"/>
        <w:rPr>
          <w:sz w:val="12"/>
        </w:rPr>
      </w:pPr>
      <w:r>
        <w:rPr>
          <w:sz w:val="12"/>
        </w:rPr>
        <w:t>69</w:t>
      </w:r>
    </w:p>
    <w:p>
      <w:pPr>
        <w:pStyle w:val="BodyText"/>
        <w:rPr>
          <w:sz w:val="12"/>
        </w:rPr>
      </w:pPr>
    </w:p>
    <w:p>
      <w:pPr>
        <w:pStyle w:val="BodyText"/>
        <w:spacing w:before="10"/>
        <w:rPr>
          <w:sz w:val="17"/>
        </w:rPr>
      </w:pPr>
    </w:p>
    <w:p>
      <w:pPr>
        <w:spacing w:before="0"/>
        <w:ind w:left="394" w:right="0" w:firstLine="0"/>
        <w:jc w:val="left"/>
        <w:rPr>
          <w:sz w:val="12"/>
        </w:rPr>
      </w:pPr>
      <w:r>
        <w:rPr>
          <w:sz w:val="12"/>
        </w:rPr>
        <w:t>67</w:t>
      </w:r>
    </w:p>
    <w:p>
      <w:pPr>
        <w:spacing w:before="6"/>
        <w:ind w:left="454" w:right="0" w:firstLine="0"/>
        <w:jc w:val="left"/>
        <w:rPr>
          <w:sz w:val="12"/>
        </w:rPr>
      </w:pPr>
      <w:r>
        <w:rPr>
          <w:color w:val="231F20"/>
          <w:sz w:val="12"/>
        </w:rPr>
        <w:t>0</w:t>
      </w:r>
    </w:p>
    <w:p>
      <w:pPr>
        <w:pStyle w:val="Heading6"/>
        <w:spacing w:line="242" w:lineRule="auto" w:before="4"/>
        <w:ind w:left="209" w:right="221"/>
      </w:pPr>
      <w:r>
        <w:rPr/>
        <w:br w:type="column"/>
      </w:r>
      <w:r>
        <w:rPr/>
        <w:t>(those working between 31 and 45 hours per week). These movements represent a reversal of the trend seen during much of the early 1990s (see Chart 3.1).</w:t>
      </w:r>
    </w:p>
    <w:p>
      <w:pPr>
        <w:pStyle w:val="BodyText"/>
        <w:spacing w:before="7"/>
        <w:rPr>
          <w:sz w:val="24"/>
        </w:rPr>
      </w:pPr>
    </w:p>
    <w:p>
      <w:pPr>
        <w:spacing w:line="242" w:lineRule="auto" w:before="1"/>
        <w:ind w:left="209" w:right="0" w:firstLine="0"/>
        <w:jc w:val="left"/>
        <w:rPr>
          <w:sz w:val="24"/>
        </w:rPr>
      </w:pPr>
      <w:r>
        <w:rPr>
          <w:sz w:val="24"/>
        </w:rPr>
        <w:t>The measures of employment outlined above count employed people. Like most data from the LFS, they are based on responses to a rolling three-month survey.</w:t>
      </w:r>
    </w:p>
    <w:p>
      <w:pPr>
        <w:spacing w:line="242" w:lineRule="auto" w:before="4"/>
        <w:ind w:left="209" w:right="35" w:firstLine="0"/>
        <w:jc w:val="left"/>
        <w:rPr>
          <w:sz w:val="24"/>
        </w:rPr>
      </w:pPr>
      <w:r>
        <w:rPr>
          <w:sz w:val="24"/>
        </w:rPr>
        <w:t>Another source of employment data, the Workforce Jobs survey, provides estimates of the number of jobs in different industries on a single day towards the end of each quarter. In 1999 Q3, the number of jobs in the production industries fell for the sixth consecutive</w:t>
      </w:r>
    </w:p>
    <w:p>
      <w:pPr>
        <w:spacing w:after="0" w:line="242" w:lineRule="auto"/>
        <w:jc w:val="left"/>
        <w:rPr>
          <w:sz w:val="24"/>
        </w:rPr>
        <w:sectPr>
          <w:type w:val="continuous"/>
          <w:pgSz w:w="11900" w:h="16840"/>
          <w:pgMar w:top="1220" w:bottom="280" w:left="620" w:right="640"/>
          <w:cols w:num="3" w:equalWidth="0">
            <w:col w:w="3231" w:space="40"/>
            <w:col w:w="555" w:space="985"/>
            <w:col w:w="5829"/>
          </w:cols>
        </w:sectPr>
      </w:pPr>
    </w:p>
    <w:p>
      <w:pPr>
        <w:spacing w:line="208" w:lineRule="auto" w:before="100"/>
        <w:ind w:left="552" w:right="0" w:hanging="343"/>
        <w:jc w:val="left"/>
        <w:rPr>
          <w:sz w:val="12"/>
        </w:rPr>
      </w:pPr>
      <w:r>
        <w:rPr>
          <w:sz w:val="12"/>
        </w:rPr>
        <w:t>Note: Shaded area indicates period during which Working Time Directive in operation.</w:t>
      </w:r>
    </w:p>
    <w:p>
      <w:pPr>
        <w:spacing w:before="105"/>
        <w:ind w:left="210" w:right="0" w:firstLine="0"/>
        <w:jc w:val="left"/>
        <w:rPr>
          <w:sz w:val="12"/>
        </w:rPr>
      </w:pPr>
      <w:r>
        <w:rPr>
          <w:sz w:val="12"/>
        </w:rPr>
        <w:t>(a) Pre-1992 figures based on yearly observations.</w:t>
      </w:r>
    </w:p>
    <w:p>
      <w:pPr>
        <w:pStyle w:val="BodyText"/>
        <w:spacing w:before="4"/>
        <w:rPr>
          <w:sz w:val="12"/>
        </w:rPr>
      </w:pPr>
    </w:p>
    <w:p>
      <w:pPr>
        <w:pStyle w:val="Heading9"/>
        <w:spacing w:before="1"/>
        <w:ind w:left="210"/>
      </w:pPr>
      <w:r>
        <w:rPr>
          <w:color w:val="0093C1"/>
        </w:rPr>
        <w:t>Chart 3.2</w:t>
      </w:r>
    </w:p>
    <w:p>
      <w:pPr>
        <w:spacing w:line="170" w:lineRule="exact" w:before="10"/>
        <w:ind w:left="210" w:right="0" w:firstLine="0"/>
        <w:jc w:val="left"/>
        <w:rPr>
          <w:b/>
          <w:sz w:val="20"/>
        </w:rPr>
      </w:pPr>
      <w:r>
        <w:rPr/>
        <w:pict>
          <v:group style="position:absolute;margin-left:90.348999pt;margin-top:15.606918pt;width:7.85pt;height:15.35pt;mso-position-horizontal-relative:page;mso-position-vertical-relative:paragraph;z-index:16054784" coordorigin="1807,312" coordsize="157,307">
            <v:rect style="position:absolute;left:1811;top:317;width:147;height:147" filled="true" fillcolor="#0066a5" stroked="false">
              <v:fill type="solid"/>
            </v:rect>
            <v:rect style="position:absolute;left:1811;top:317;width:147;height:147" filled="false" stroked="true" strokeweight=".5pt" strokecolor="#231f20">
              <v:stroke dashstyle="solid"/>
            </v:rect>
            <v:rect style="position:absolute;left:1811;top:466;width:147;height:147" filled="true" fillcolor="#9bd3ae" stroked="false">
              <v:fill type="solid"/>
            </v:rect>
            <v:rect style="position:absolute;left:1811;top:466;width:147;height:147" filled="false" stroked="true" strokeweight=".5pt" strokecolor="#231f20">
              <v:stroke dashstyle="solid"/>
            </v:rect>
            <w10:wrap type="none"/>
          </v:group>
        </w:pict>
      </w:r>
      <w:r>
        <w:rPr>
          <w:b/>
          <w:color w:val="0093C1"/>
          <w:sz w:val="20"/>
        </w:rPr>
        <w:t>Quarterly changes in Workforce Jobs</w:t>
      </w:r>
    </w:p>
    <w:p>
      <w:pPr>
        <w:spacing w:line="242" w:lineRule="auto" w:before="6"/>
        <w:ind w:left="210" w:right="166" w:firstLine="0"/>
        <w:jc w:val="left"/>
        <w:rPr>
          <w:sz w:val="24"/>
        </w:rPr>
      </w:pPr>
      <w:r>
        <w:rPr/>
        <w:br w:type="column"/>
      </w:r>
      <w:r>
        <w:rPr>
          <w:sz w:val="24"/>
        </w:rPr>
        <w:t>quarter. There was a large fall in the number of agricultural jobs, and the number of construction and service sector jobs rose only moderately, so the total number of Workforce Jobs fell for the first time in more</w:t>
      </w:r>
    </w:p>
    <w:p>
      <w:pPr>
        <w:spacing w:after="0" w:line="242" w:lineRule="auto"/>
        <w:jc w:val="left"/>
        <w:rPr>
          <w:sz w:val="24"/>
        </w:rPr>
        <w:sectPr>
          <w:type w:val="continuous"/>
          <w:pgSz w:w="11900" w:h="16840"/>
          <w:pgMar w:top="1220" w:bottom="280" w:left="620" w:right="640"/>
          <w:cols w:num="2" w:equalWidth="0">
            <w:col w:w="3836" w:space="974"/>
            <w:col w:w="5830"/>
          </w:cols>
        </w:sectPr>
      </w:pPr>
    </w:p>
    <w:p>
      <w:pPr>
        <w:pStyle w:val="BodyText"/>
        <w:spacing w:before="9"/>
        <w:rPr>
          <w:sz w:val="10"/>
        </w:rPr>
      </w:pPr>
    </w:p>
    <w:p>
      <w:pPr>
        <w:spacing w:line="283" w:lineRule="auto" w:before="0"/>
        <w:ind w:left="386" w:right="-19" w:firstLine="0"/>
        <w:jc w:val="left"/>
        <w:rPr>
          <w:sz w:val="12"/>
        </w:rPr>
      </w:pPr>
      <w:r>
        <w:rPr/>
        <w:pict>
          <v:group style="position:absolute;margin-left:40.598999pt;margin-top:.353073pt;width:7.85pt;height:15.35pt;mso-position-horizontal-relative:page;mso-position-vertical-relative:paragraph;z-index:16054272" coordorigin="812,7" coordsize="157,307">
            <v:rect style="position:absolute;left:816;top:12;width:147;height:147" filled="true" fillcolor="#faab54" stroked="false">
              <v:fill type="solid"/>
            </v:rect>
            <v:rect style="position:absolute;left:816;top:12;width:147;height:147" filled="false" stroked="true" strokeweight=".5pt" strokecolor="#231f20">
              <v:stroke dashstyle="solid"/>
            </v:rect>
            <v:rect style="position:absolute;left:816;top:161;width:147;height:147" filled="true" fillcolor="#75442b" stroked="false">
              <v:fill type="solid"/>
            </v:rect>
            <v:rect style="position:absolute;left:816;top:161;width:147;height:147" filled="false" stroked="true" strokeweight=".5pt" strokecolor="#231f20">
              <v:stroke dashstyle="solid"/>
            </v:rect>
            <w10:wrap type="none"/>
          </v:group>
        </w:pict>
      </w:r>
      <w:r>
        <w:rPr>
          <w:color w:val="231F20"/>
          <w:sz w:val="12"/>
        </w:rPr>
        <w:t>Services Construction</w:t>
      </w:r>
    </w:p>
    <w:p>
      <w:pPr>
        <w:pStyle w:val="BodyText"/>
        <w:spacing w:before="4"/>
        <w:rPr>
          <w:sz w:val="6"/>
        </w:rPr>
      </w:pPr>
    </w:p>
    <w:p>
      <w:pPr>
        <w:pStyle w:val="BodyText"/>
        <w:spacing w:line="20" w:lineRule="exact"/>
        <w:ind w:left="186"/>
        <w:rPr>
          <w:sz w:val="2"/>
        </w:rPr>
      </w:pPr>
      <w:r>
        <w:rPr>
          <w:sz w:val="2"/>
        </w:rPr>
        <w:pict>
          <v:group style="width:4.350pt;height:.5pt;mso-position-horizontal-relative:char;mso-position-vertical-relative:line" coordorigin="0,0" coordsize="87,10">
            <v:line style="position:absolute" from="87,5" to="0,5" stroked="true" strokeweight=".5pt" strokecolor="#231f20">
              <v:stroke dashstyle="solid"/>
            </v:line>
          </v:group>
        </w:pict>
      </w:r>
      <w:r>
        <w:rPr>
          <w:sz w:val="2"/>
        </w:rPr>
      </w:r>
    </w:p>
    <w:p>
      <w:pPr>
        <w:pStyle w:val="BodyText"/>
        <w:rPr>
          <w:sz w:val="20"/>
        </w:rPr>
      </w:pPr>
    </w:p>
    <w:p>
      <w:pPr>
        <w:pStyle w:val="BodyText"/>
        <w:spacing w:before="9"/>
        <w:rPr>
          <w:sz w:val="10"/>
        </w:rPr>
      </w:pPr>
      <w:r>
        <w:rPr/>
        <w:pict>
          <v:shape style="position:absolute;margin-left:40.598999pt;margin-top:8.4016pt;width:4.350pt;height:.1pt;mso-position-horizontal-relative:page;mso-position-vertical-relative:paragraph;z-index:-15416832;mso-wrap-distance-left:0;mso-wrap-distance-right:0" coordorigin="812,168" coordsize="87,0" path="m899,168l812,168e" filled="false" stroked="true" strokeweight=".5pt" strokecolor="#231f20">
            <v:path arrowok="t"/>
            <v:stroke dashstyle="solid"/>
            <w10:wrap type="topAndBottom"/>
          </v:shape>
        </w:pict>
      </w:r>
      <w:r>
        <w:rPr/>
        <w:pict>
          <v:shape style="position:absolute;margin-left:40.598999pt;margin-top:29.017599pt;width:4.350pt;height:.1pt;mso-position-horizontal-relative:page;mso-position-vertical-relative:paragraph;z-index:-15416320;mso-wrap-distance-left:0;mso-wrap-distance-right:0" coordorigin="812,580" coordsize="87,0" path="m899,580l812,580e" filled="false" stroked="true" strokeweight=".5pt" strokecolor="#231f20">
            <v:path arrowok="t"/>
            <v:stroke dashstyle="solid"/>
            <w10:wrap type="topAndBottom"/>
          </v:shape>
        </w:pict>
      </w:r>
      <w:r>
        <w:rPr/>
        <w:pict>
          <v:shape style="position:absolute;margin-left:40.598999pt;margin-top:49.633598pt;width:4.350pt;height:.1pt;mso-position-horizontal-relative:page;mso-position-vertical-relative:paragraph;z-index:-15415808;mso-wrap-distance-left:0;mso-wrap-distance-right:0" coordorigin="812,993" coordsize="87,0" path="m899,993l812,993e" filled="false" stroked="true" strokeweight=".5pt" strokecolor="#231f20">
            <v:path arrowok="t"/>
            <v:stroke dashstyle="solid"/>
            <w10:wrap type="topAndBottom"/>
          </v:shape>
        </w:pict>
      </w:r>
      <w:r>
        <w:rPr/>
        <w:pict>
          <v:shape style="position:absolute;margin-left:40.598999pt;margin-top:70.249603pt;width:4.350pt;height:.1pt;mso-position-horizontal-relative:page;mso-position-vertical-relative:paragraph;z-index:-15415296;mso-wrap-distance-left:0;mso-wrap-distance-right:0" coordorigin="812,1405" coordsize="87,0" path="m899,1405l812,1405e" filled="false" stroked="true" strokeweight=".5pt" strokecolor="#231f20">
            <v:path arrowok="t"/>
            <v:stroke dashstyle="solid"/>
            <w10:wrap type="topAndBottom"/>
          </v:shape>
        </w:pict>
      </w:r>
      <w:r>
        <w:rPr/>
        <w:pict>
          <v:shape style="position:absolute;margin-left:40.598999pt;margin-top:90.865601pt;width:4.350pt;height:.1pt;mso-position-horizontal-relative:page;mso-position-vertical-relative:paragraph;z-index:-15414784;mso-wrap-distance-left:0;mso-wrap-distance-right:0" coordorigin="812,1817" coordsize="87,0" path="m899,1817l812,1817e" filled="false" stroked="true" strokeweight=".5pt" strokecolor="#231f20">
            <v:path arrowok="t"/>
            <v:stroke dashstyle="solid"/>
            <w10:wrap type="topAndBottom"/>
          </v:shape>
        </w:pict>
      </w:r>
      <w:r>
        <w:rPr/>
        <w:pict>
          <v:shape style="position:absolute;margin-left:40.598999pt;margin-top:111.481598pt;width:4.350pt;height:.1pt;mso-position-horizontal-relative:page;mso-position-vertical-relative:paragraph;z-index:-15414272;mso-wrap-distance-left:0;mso-wrap-distance-right:0" coordorigin="812,2230" coordsize="87,0" path="m899,2230l812,2230e" filled="false" stroked="true" strokeweight=".5pt" strokecolor="#231f20">
            <v:path arrowok="t"/>
            <v:stroke dashstyle="solid"/>
            <w10:wrap type="topAndBottom"/>
          </v:shape>
        </w:pict>
      </w:r>
      <w:r>
        <w:rPr/>
        <w:pict>
          <v:shape style="position:absolute;margin-left:40.598999pt;margin-top:132.097595pt;width:4.350pt;height:.1pt;mso-position-horizontal-relative:page;mso-position-vertical-relative:paragraph;z-index:-15413760;mso-wrap-distance-left:0;mso-wrap-distance-right:0" coordorigin="812,2642" coordsize="87,0" path="m899,2642l812,2642e" filled="false" stroked="true" strokeweight=".5pt" strokecolor="#231f20">
            <v:path arrowok="t"/>
            <v:stroke dashstyle="solid"/>
            <w10:wrap type="topAndBottom"/>
          </v:shape>
        </w:pict>
      </w:r>
    </w:p>
    <w:p>
      <w:pPr>
        <w:pStyle w:val="BodyText"/>
        <w:rPr>
          <w:sz w:val="29"/>
        </w:rPr>
      </w:pPr>
    </w:p>
    <w:p>
      <w:pPr>
        <w:pStyle w:val="BodyText"/>
        <w:rPr>
          <w:sz w:val="29"/>
        </w:rPr>
      </w:pPr>
    </w:p>
    <w:p>
      <w:pPr>
        <w:pStyle w:val="BodyText"/>
        <w:rPr>
          <w:sz w:val="29"/>
        </w:rPr>
      </w:pPr>
    </w:p>
    <w:p>
      <w:pPr>
        <w:pStyle w:val="BodyText"/>
        <w:rPr>
          <w:sz w:val="29"/>
        </w:rPr>
      </w:pPr>
    </w:p>
    <w:p>
      <w:pPr>
        <w:pStyle w:val="BodyText"/>
        <w:rPr>
          <w:sz w:val="29"/>
        </w:rPr>
      </w:pPr>
    </w:p>
    <w:p>
      <w:pPr>
        <w:pStyle w:val="BodyText"/>
        <w:rPr>
          <w:sz w:val="29"/>
        </w:rPr>
      </w:pPr>
    </w:p>
    <w:p>
      <w:pPr>
        <w:pStyle w:val="BodyText"/>
        <w:spacing w:before="9"/>
        <w:rPr>
          <w:sz w:val="10"/>
        </w:rPr>
      </w:pPr>
      <w:r>
        <w:rPr/>
        <w:br w:type="column"/>
      </w:r>
      <w:r>
        <w:rPr>
          <w:sz w:val="10"/>
        </w:rPr>
      </w:r>
    </w:p>
    <w:p>
      <w:pPr>
        <w:spacing w:line="283" w:lineRule="auto" w:before="0"/>
        <w:ind w:left="344" w:right="-20" w:firstLine="0"/>
        <w:jc w:val="left"/>
        <w:rPr>
          <w:sz w:val="12"/>
        </w:rPr>
      </w:pPr>
      <w:r>
        <w:rPr>
          <w:color w:val="231F20"/>
          <w:sz w:val="12"/>
        </w:rPr>
        <w:t>Production Agriculture</w:t>
      </w:r>
    </w:p>
    <w:p>
      <w:pPr>
        <w:pStyle w:val="BodyText"/>
        <w:spacing w:before="9"/>
        <w:rPr>
          <w:sz w:val="10"/>
        </w:rPr>
      </w:pPr>
      <w:r>
        <w:rPr/>
        <w:br w:type="column"/>
      </w:r>
      <w:r>
        <w:rPr>
          <w:sz w:val="10"/>
        </w:rPr>
      </w:r>
    </w:p>
    <w:p>
      <w:pPr>
        <w:spacing w:before="0"/>
        <w:ind w:left="313" w:right="0" w:firstLine="0"/>
        <w:jc w:val="left"/>
        <w:rPr>
          <w:sz w:val="12"/>
        </w:rPr>
      </w:pPr>
      <w:r>
        <w:rPr/>
        <w:pict>
          <v:line style="position:absolute;mso-position-horizontal-relative:page;mso-position-vertical-relative:paragraph;z-index:16055296" from="133.348999pt,3.390777pt" to="143.979999pt,3.390777pt" stroked="true" strokeweight="1pt" strokecolor="#ed1b2d">
            <v:stroke dashstyle="solid"/>
            <w10:wrap type="none"/>
          </v:line>
        </w:pict>
      </w:r>
      <w:r>
        <w:rPr>
          <w:color w:val="231F20"/>
          <w:sz w:val="12"/>
        </w:rPr>
        <w:t>Whole economy</w:t>
      </w:r>
    </w:p>
    <w:p>
      <w:pPr>
        <w:spacing w:before="101"/>
        <w:ind w:left="883" w:right="0" w:firstLine="0"/>
        <w:jc w:val="left"/>
        <w:rPr>
          <w:sz w:val="12"/>
        </w:rPr>
      </w:pPr>
      <w:r>
        <w:rPr/>
        <w:pict>
          <v:group style="position:absolute;margin-left:48.583pt;margin-top:28.527338pt;width:151.75pt;height:120.25pt;mso-position-horizontal-relative:page;mso-position-vertical-relative:paragraph;z-index:16053760" coordorigin="972,571" coordsize="3035,2405">
            <v:rect style="position:absolute;left:976;top:2333;width:98;height:93" filled="true" fillcolor="#0066a5" stroked="false">
              <v:fill type="solid"/>
            </v:rect>
            <v:rect style="position:absolute;left:976;top:2330;width:98;height:98" filled="false" stroked="true" strokeweight=".5pt" strokecolor="#231f20">
              <v:stroke dashstyle="solid"/>
            </v:rect>
            <v:rect style="position:absolute;left:976;top:2220;width:98;height:113" filled="true" fillcolor="#75442b" stroked="false">
              <v:fill type="solid"/>
            </v:rect>
            <v:rect style="position:absolute;left:976;top:2218;width:98;height:115" filled="false" stroked="true" strokeweight=".5pt" strokecolor="#231f20">
              <v:stroke dashstyle="solid"/>
            </v:rect>
            <v:rect style="position:absolute;left:976;top:1245;width:98;height:975" filled="true" fillcolor="#faab54" stroked="false">
              <v:fill type="solid"/>
            </v:rect>
            <v:rect style="position:absolute;left:976;top:1245;width:98;height:975" filled="false" stroked="true" strokeweight=".5pt" strokecolor="#231f20">
              <v:stroke dashstyle="solid"/>
            </v:rect>
            <v:rect style="position:absolute;left:976;top:2425;width:98;height:225" filled="true" fillcolor="#9bd3ae" stroked="false">
              <v:fill type="solid"/>
            </v:rect>
            <v:rect style="position:absolute;left:976;top:2425;width:98;height:225" filled="false" stroked="true" strokeweight=".5pt" strokecolor="#231f20">
              <v:stroke dashstyle="solid"/>
            </v:rect>
            <v:rect style="position:absolute;left:1259;top:2075;width:98;height:258" filled="true" fillcolor="#0066a5" stroked="false">
              <v:fill type="solid"/>
            </v:rect>
            <v:rect style="position:absolute;left:1259;top:2075;width:98;height:258" filled="false" stroked="true" strokeweight=".5pt" strokecolor="#231f20">
              <v:stroke dashstyle="solid"/>
            </v:rect>
            <v:rect style="position:absolute;left:1259;top:2330;width:98;height:48" filled="true" fillcolor="#75442b" stroked="false">
              <v:fill type="solid"/>
            </v:rect>
            <v:rect style="position:absolute;left:1259;top:2330;width:98;height:50" filled="false" stroked="true" strokeweight=".5pt" strokecolor="#231f20">
              <v:stroke dashstyle="solid"/>
            </v:rect>
            <v:rect style="position:absolute;left:1259;top:575;width:98;height:1503" filled="true" fillcolor="#faab54" stroked="false">
              <v:fill type="solid"/>
            </v:rect>
            <v:rect style="position:absolute;left:1259;top:575;width:98;height:1503" filled="false" stroked="true" strokeweight=".5pt" strokecolor="#231f20">
              <v:stroke dashstyle="solid"/>
            </v:rect>
            <v:rect style="position:absolute;left:1259;top:2378;width:98;height:98" filled="true" fillcolor="#9bd3ae" stroked="false">
              <v:fill type="solid"/>
            </v:rect>
            <v:rect style="position:absolute;left:1259;top:2378;width:98;height:98" filled="false" stroked="true" strokeweight=".5pt" strokecolor="#231f20">
              <v:stroke dashstyle="solid"/>
            </v:rect>
            <v:rect style="position:absolute;left:1529;top:2333;width:98;height:208" filled="true" fillcolor="#0066a5" stroked="false">
              <v:fill type="solid"/>
            </v:rect>
            <v:rect style="position:absolute;left:1529;top:2330;width:98;height:210" filled="false" stroked="true" strokeweight=".5pt" strokecolor="#231f20">
              <v:stroke dashstyle="solid"/>
            </v:rect>
            <v:rect style="position:absolute;left:1529;top:2205;width:98;height:128" filled="true" fillcolor="#75442b" stroked="false">
              <v:fill type="solid"/>
            </v:rect>
            <v:rect style="position:absolute;left:1529;top:2203;width:98;height:130" filled="false" stroked="true" strokeweight=".5pt" strokecolor="#231f20">
              <v:stroke dashstyle="solid"/>
            </v:rect>
            <v:rect style="position:absolute;left:1529;top:1915;width:98;height:290" filled="true" fillcolor="#faab54" stroked="false">
              <v:fill type="solid"/>
            </v:rect>
            <v:rect style="position:absolute;left:1529;top:1915;width:98;height:290" filled="false" stroked="true" strokeweight=".5pt" strokecolor="#231f20">
              <v:stroke dashstyle="solid"/>
            </v:rect>
            <v:rect style="position:absolute;left:1529;top:1690;width:98;height:228" filled="true" fillcolor="#9bd3ae" stroked="false">
              <v:fill type="solid"/>
            </v:rect>
            <v:rect style="position:absolute;left:1529;top:1690;width:98;height:228" filled="false" stroked="true" strokeweight=".5pt" strokecolor="#231f20">
              <v:stroke dashstyle="solid"/>
            </v:rect>
            <v:rect style="position:absolute;left:1811;top:2188;width:95;height:145" filled="true" fillcolor="#0066a5" stroked="false">
              <v:fill type="solid"/>
            </v:rect>
            <v:rect style="position:absolute;left:1811;top:2185;width:95;height:148" filled="false" stroked="true" strokeweight=".5pt" strokecolor="#231f20">
              <v:stroke dashstyle="solid"/>
            </v:rect>
            <v:rect style="position:absolute;left:1811;top:1950;width:95;height:238" filled="true" fillcolor="#75442b" stroked="false">
              <v:fill type="solid"/>
            </v:rect>
            <v:rect style="position:absolute;left:1811;top:1948;width:95;height:240" filled="false" stroked="true" strokeweight=".5pt" strokecolor="#231f20">
              <v:stroke dashstyle="solid"/>
            </v:rect>
            <v:rect style="position:absolute;left:1811;top:1020;width:95;height:930" filled="true" fillcolor="#faab54" stroked="false">
              <v:fill type="solid"/>
            </v:rect>
            <v:rect style="position:absolute;left:1811;top:1020;width:95;height:930" filled="false" stroked="true" strokeweight=".5pt" strokecolor="#231f20">
              <v:stroke dashstyle="solid"/>
            </v:rect>
            <v:rect style="position:absolute;left:1811;top:2330;width:95;height:18" filled="true" fillcolor="#9bd3ae" stroked="false">
              <v:fill type="solid"/>
            </v:rect>
            <v:rect style="position:absolute;left:1811;top:2330;width:95;height:18" filled="false" stroked="true" strokeweight=".5pt" strokecolor="#231f20">
              <v:stroke dashstyle="solid"/>
            </v:rect>
            <v:rect style="position:absolute;left:2091;top:1930;width:98;height:403" filled="true" fillcolor="#0066a5" stroked="false">
              <v:fill type="solid"/>
            </v:rect>
            <v:rect style="position:absolute;left:2091;top:1930;width:98;height:403" filled="false" stroked="true" strokeweight=".5pt" strokecolor="#231f20">
              <v:stroke dashstyle="solid"/>
            </v:rect>
            <v:rect style="position:absolute;left:2091;top:1870;width:98;height:63" filled="true" fillcolor="#75442b" stroked="false">
              <v:fill type="solid"/>
            </v:rect>
            <v:rect style="position:absolute;left:2091;top:1868;width:98;height:65" filled="false" stroked="true" strokeweight=".5pt" strokecolor="#231f20">
              <v:stroke dashstyle="solid"/>
            </v:rect>
            <v:rect style="position:absolute;left:2091;top:733;width:98;height:1138" filled="true" fillcolor="#faab54" stroked="false">
              <v:fill type="solid"/>
            </v:rect>
            <v:rect style="position:absolute;left:2091;top:733;width:98;height:1138" filled="false" stroked="true" strokeweight=".5pt" strokecolor="#231f20">
              <v:stroke dashstyle="solid"/>
            </v:rect>
            <v:rect style="position:absolute;left:2091;top:2330;width:98;height:258" filled="true" fillcolor="#9bd3ae" stroked="false">
              <v:fill type="solid"/>
            </v:rect>
            <v:rect style="position:absolute;left:2091;top:2330;width:98;height:258" filled="false" stroked="true" strokeweight=".5pt" strokecolor="#231f20">
              <v:stroke dashstyle="solid"/>
            </v:rect>
            <v:rect style="position:absolute;left:2367;top:2330;width:98;height:128" filled="true" fillcolor="#0066a5" stroked="false">
              <v:fill type="solid"/>
            </v:rect>
            <v:rect style="position:absolute;left:2367;top:2330;width:98;height:130" filled="false" stroked="true" strokeweight=".5pt" strokecolor="#231f20">
              <v:stroke dashstyle="solid"/>
            </v:rect>
            <v:rect style="position:absolute;left:2367;top:2313;width:98;height:20" filled="true" fillcolor="#75442b" stroked="false">
              <v:fill type="solid"/>
            </v:rect>
            <v:rect style="position:absolute;left:2367;top:2313;width:98;height:20" filled="false" stroked="true" strokeweight=".5pt" strokecolor="#231f20">
              <v:stroke dashstyle="solid"/>
            </v:rect>
            <v:rect style="position:absolute;left:2367;top:2458;width:98;height:243" filled="true" fillcolor="#faab54" stroked="false">
              <v:fill type="solid"/>
            </v:rect>
            <v:rect style="position:absolute;left:2367;top:2458;width:98;height:243" filled="false" stroked="true" strokeweight=".5pt" strokecolor="#231f20">
              <v:stroke dashstyle="solid"/>
            </v:rect>
            <v:rect style="position:absolute;left:2367;top:2698;width:98;height:50" filled="true" fillcolor="#9bd3ae" stroked="false">
              <v:fill type="solid"/>
            </v:rect>
            <v:rect style="position:absolute;left:2367;top:2698;width:98;height:50" filled="false" stroked="true" strokeweight=".5pt" strokecolor="#231f20">
              <v:stroke dashstyle="solid"/>
            </v:rect>
            <v:rect style="position:absolute;left:2644;top:2333;width:98;height:173" filled="true" fillcolor="#0066a5" stroked="false">
              <v:fill type="solid"/>
            </v:rect>
            <v:rect style="position:absolute;left:2644;top:2330;width:98;height:178" filled="false" stroked="true" strokeweight=".5pt" strokecolor="#231f20">
              <v:stroke dashstyle="solid"/>
            </v:rect>
            <v:rect style="position:absolute;left:2644;top:2505;width:98;height:193" filled="true" fillcolor="#75442b" stroked="false">
              <v:fill type="solid"/>
            </v:rect>
            <v:rect style="position:absolute;left:2644;top:2505;width:98;height:195" filled="false" stroked="true" strokeweight=".5pt" strokecolor="#231f20">
              <v:stroke dashstyle="solid"/>
            </v:rect>
            <v:rect style="position:absolute;left:2644;top:958;width:98;height:1375" filled="true" fillcolor="#faab54" stroked="false">
              <v:fill type="solid"/>
            </v:rect>
            <v:rect style="position:absolute;left:2644;top:958;width:98;height:1375" filled="false" stroked="true" strokeweight=".5pt" strokecolor="#231f20">
              <v:stroke dashstyle="solid"/>
            </v:rect>
            <v:rect style="position:absolute;left:2644;top:2698;width:98;height:130" filled="true" fillcolor="#9bd3ae" stroked="false">
              <v:fill type="solid"/>
            </v:rect>
            <v:rect style="position:absolute;left:2644;top:2698;width:98;height:130" filled="false" stroked="true" strokeweight=".5pt" strokecolor="#231f20">
              <v:stroke dashstyle="solid"/>
            </v:rect>
            <v:rect style="position:absolute;left:2926;top:2330;width:98;height:513" filled="true" fillcolor="#0066a5" stroked="false">
              <v:fill type="solid"/>
            </v:rect>
            <v:rect style="position:absolute;left:2926;top:2330;width:98;height:513" filled="false" stroked="true" strokeweight=".5pt" strokecolor="#231f20">
              <v:stroke dashstyle="solid"/>
            </v:rect>
            <v:rect style="position:absolute;left:2926;top:2205;width:98;height:128" filled="true" fillcolor="#75442b" stroked="false">
              <v:fill type="solid"/>
            </v:rect>
            <v:rect style="position:absolute;left:2926;top:2203;width:98;height:130" filled="false" stroked="true" strokeweight=".5pt" strokecolor="#231f20">
              <v:stroke dashstyle="solid"/>
            </v:rect>
            <v:rect style="position:absolute;left:2926;top:1228;width:98;height:978" filled="true" fillcolor="#faab54" stroked="false">
              <v:fill type="solid"/>
            </v:rect>
            <v:rect style="position:absolute;left:2926;top:1228;width:98;height:978" filled="false" stroked="true" strokeweight=".5pt" strokecolor="#231f20">
              <v:stroke dashstyle="solid"/>
            </v:rect>
            <v:rect style="position:absolute;left:2926;top:2840;width:98;height:130" filled="true" fillcolor="#9bd3ae" stroked="false">
              <v:fill type="solid"/>
            </v:rect>
            <v:rect style="position:absolute;left:2926;top:2840;width:98;height:130" filled="false" stroked="true" strokeweight=".5pt" strokecolor="#231f20">
              <v:stroke dashstyle="solid"/>
            </v:rect>
            <v:rect style="position:absolute;left:3209;top:2330;width:95;height:433" filled="true" fillcolor="#0066a5" stroked="false">
              <v:fill type="solid"/>
            </v:rect>
            <v:rect style="position:absolute;left:3209;top:2330;width:95;height:433" filled="false" stroked="true" strokeweight=".5pt" strokecolor="#231f20">
              <v:stroke dashstyle="solid"/>
            </v:rect>
            <v:rect style="position:absolute;left:3209;top:2253;width:95;height:80" filled="true" fillcolor="#75442b" stroked="false">
              <v:fill type="solid"/>
            </v:rect>
            <v:rect style="position:absolute;left:3209;top:2250;width:95;height:83" filled="false" stroked="true" strokeweight=".5pt" strokecolor="#231f20">
              <v:stroke dashstyle="solid"/>
            </v:rect>
            <v:rect style="position:absolute;left:3209;top:1788;width:95;height:465" filled="true" fillcolor="#faab54" stroked="false">
              <v:fill type="solid"/>
            </v:rect>
            <v:rect style="position:absolute;left:3209;top:1788;width:95;height:465" filled="false" stroked="true" strokeweight=".5pt" strokecolor="#231f20">
              <v:stroke dashstyle="solid"/>
            </v:rect>
            <v:rect style="position:absolute;left:3209;top:1723;width:95;height:68" filled="true" fillcolor="#9bd3ae" stroked="false">
              <v:fill type="solid"/>
            </v:rect>
            <v:rect style="position:absolute;left:3209;top:1723;width:95;height:68" filled="false" stroked="true" strokeweight=".5pt" strokecolor="#231f20">
              <v:stroke dashstyle="solid"/>
            </v:rect>
            <v:rect style="position:absolute;left:3479;top:2330;width:95;height:258" filled="true" fillcolor="#0066a5" stroked="false">
              <v:fill type="solid"/>
            </v:rect>
            <v:rect style="position:absolute;left:3479;top:2330;width:95;height:258" filled="false" stroked="true" strokeweight=".5pt" strokecolor="#231f20">
              <v:stroke dashstyle="solid"/>
            </v:rect>
            <v:rect style="position:absolute;left:3479;top:2585;width:95;height:18" filled="true" fillcolor="#75442b" stroked="false">
              <v:fill type="solid"/>
            </v:rect>
            <v:rect style="position:absolute;left:3479;top:2585;width:95;height:18" filled="false" stroked="true" strokeweight=".5pt" strokecolor="#231f20">
              <v:stroke dashstyle="solid"/>
            </v:rect>
            <v:rect style="position:absolute;left:3479;top:1198;width:95;height:1135" filled="true" fillcolor="#faab54" stroked="false">
              <v:fill type="solid"/>
            </v:rect>
            <v:rect style="position:absolute;left:3479;top:1198;width:95;height:1135" filled="false" stroked="true" strokeweight=".5pt" strokecolor="#231f20">
              <v:stroke dashstyle="solid"/>
            </v:rect>
            <v:rect style="position:absolute;left:3479;top:1180;width:95;height:20" filled="true" fillcolor="#9bd3ae" stroked="false">
              <v:fill type="solid"/>
            </v:rect>
            <v:rect style="position:absolute;left:3479;top:1180;width:95;height:20" filled="false" stroked="true" strokeweight=".5pt" strokecolor="#231f20">
              <v:stroke dashstyle="solid"/>
            </v:rect>
            <v:rect style="position:absolute;left:3759;top:2330;width:98;height:385" filled="true" fillcolor="#0066a5" stroked="false">
              <v:fill type="solid"/>
            </v:rect>
            <v:rect style="position:absolute;left:3759;top:2330;width:98;height:385" filled="false" stroked="true" strokeweight=".5pt" strokecolor="#231f20">
              <v:stroke dashstyle="solid"/>
            </v:rect>
            <v:rect style="position:absolute;left:3759;top:2268;width:98;height:65" filled="true" fillcolor="#75442b" stroked="false">
              <v:fill type="solid"/>
            </v:rect>
            <v:rect style="position:absolute;left:3759;top:2265;width:98;height:68" filled="false" stroked="true" strokeweight=".5pt" strokecolor="#231f20">
              <v:stroke dashstyle="solid"/>
            </v:rect>
            <v:rect style="position:absolute;left:3759;top:2138;width:98;height:130" filled="true" fillcolor="#faab54" stroked="false">
              <v:fill type="solid"/>
            </v:rect>
            <v:rect style="position:absolute;left:3759;top:2138;width:98;height:130" filled="false" stroked="true" strokeweight=".5pt" strokecolor="#231f20">
              <v:stroke dashstyle="solid"/>
            </v:rect>
            <v:rect style="position:absolute;left:3759;top:2713;width:98;height:225" filled="true" fillcolor="#9bd3ae" stroked="false">
              <v:fill type="solid"/>
            </v:rect>
            <v:shape style="position:absolute;left:976;top:2330;width:2880;height:608" coordorigin="977,2331" coordsize="2880,608" path="m3759,2713l3857,2713,3857,2938,3759,2938,3759,2713xm977,2331l3854,2333e" filled="false" stroked="true" strokeweight=".5pt" strokecolor="#231f20">
              <v:path arrowok="t"/>
              <v:stroke dashstyle="solid"/>
            </v:shape>
            <v:shape style="position:absolute;left:1024;top:718;width:2783;height:2028" coordorigin="1024,718" coordsize="2783,2028" path="m1024,1581l1307,718m1307,718l1577,1916m2139,973l2422,2746m1577,1916l1859,1053m1859,1053l2139,973m2422,2746l2692,1453m2692,1453l2974,1868m2974,1868l3254,2156m3254,2156l3524,1453m3524,1453l3807,2746e" filled="false" stroked="true" strokeweight="1pt" strokecolor="#ed1b2d">
              <v:path arrowok="t"/>
              <v:stroke dashstyle="solid"/>
            </v:shape>
            <v:shape style="position:absolute;left:3920;top:679;width:87;height:2062" coordorigin="3920,679" coordsize="87,2062" path="m4007,679l3920,679m4007,1092l3920,1092m4007,1504l3920,1504m4007,2329l3920,2329m4007,1916l3920,1916m4007,2741l3920,2741e" filled="false" stroked="true" strokeweight=".5pt" strokecolor="#231f20">
              <v:path arrowok="t"/>
              <v:stroke dashstyle="solid"/>
            </v:shape>
            <w10:wrap type="none"/>
          </v:group>
        </w:pict>
      </w:r>
      <w:r>
        <w:rPr>
          <w:color w:val="231F20"/>
          <w:sz w:val="12"/>
        </w:rPr>
        <w:t>Thousands</w:t>
      </w:r>
    </w:p>
    <w:p>
      <w:pPr>
        <w:pStyle w:val="BodyText"/>
        <w:spacing w:line="20" w:lineRule="exact"/>
        <w:ind w:left="1311" w:right="-72"/>
        <w:rPr>
          <w:sz w:val="2"/>
        </w:rPr>
      </w:pPr>
      <w:r>
        <w:rPr>
          <w:sz w:val="2"/>
        </w:rPr>
        <w:pict>
          <v:group style="width:4.350pt;height:.5pt;mso-position-horizontal-relative:char;mso-position-vertical-relative:line" coordorigin="0,0" coordsize="87,10">
            <v:line style="position:absolute" from="87,5" to="0,5" stroked="true" strokeweight=".5pt" strokecolor="#231f20">
              <v:stroke dashstyle="solid"/>
            </v:line>
          </v:group>
        </w:pict>
      </w:r>
      <w:r>
        <w:rPr>
          <w:sz w:val="2"/>
        </w:rPr>
      </w:r>
    </w:p>
    <w:p>
      <w:pPr>
        <w:pStyle w:val="BodyText"/>
        <w:rPr>
          <w:sz w:val="12"/>
        </w:rPr>
      </w:pPr>
      <w:r>
        <w:rPr/>
        <w:br w:type="column"/>
      </w:r>
      <w:r>
        <w:rPr>
          <w:sz w:val="12"/>
        </w:rPr>
      </w:r>
    </w:p>
    <w:p>
      <w:pPr>
        <w:pStyle w:val="BodyText"/>
        <w:rPr>
          <w:sz w:val="12"/>
        </w:rPr>
      </w:pPr>
    </w:p>
    <w:p>
      <w:pPr>
        <w:pStyle w:val="BodyText"/>
        <w:spacing w:before="3"/>
        <w:rPr>
          <w:sz w:val="15"/>
        </w:rPr>
      </w:pPr>
    </w:p>
    <w:p>
      <w:pPr>
        <w:spacing w:before="0"/>
        <w:ind w:left="-6" w:right="0" w:firstLine="0"/>
        <w:jc w:val="left"/>
        <w:rPr>
          <w:sz w:val="12"/>
        </w:rPr>
      </w:pPr>
      <w:r>
        <w:rPr>
          <w:color w:val="231F20"/>
          <w:sz w:val="12"/>
        </w:rPr>
        <w:t>250</w:t>
      </w:r>
    </w:p>
    <w:p>
      <w:pPr>
        <w:pStyle w:val="BodyText"/>
        <w:rPr>
          <w:sz w:val="12"/>
        </w:rPr>
      </w:pPr>
    </w:p>
    <w:p>
      <w:pPr>
        <w:pStyle w:val="BodyText"/>
        <w:spacing w:before="1"/>
        <w:rPr>
          <w:sz w:val="12"/>
        </w:rPr>
      </w:pPr>
    </w:p>
    <w:p>
      <w:pPr>
        <w:spacing w:before="0"/>
        <w:ind w:left="-6" w:right="0" w:firstLine="0"/>
        <w:jc w:val="left"/>
        <w:rPr>
          <w:sz w:val="12"/>
        </w:rPr>
      </w:pPr>
      <w:r>
        <w:rPr>
          <w:color w:val="231F20"/>
          <w:sz w:val="12"/>
        </w:rPr>
        <w:t>200</w:t>
      </w:r>
    </w:p>
    <w:p>
      <w:pPr>
        <w:pStyle w:val="BodyText"/>
        <w:rPr>
          <w:sz w:val="12"/>
        </w:rPr>
      </w:pPr>
    </w:p>
    <w:p>
      <w:pPr>
        <w:pStyle w:val="BodyText"/>
        <w:spacing w:before="6"/>
        <w:rPr>
          <w:sz w:val="10"/>
        </w:rPr>
      </w:pPr>
    </w:p>
    <w:p>
      <w:pPr>
        <w:spacing w:before="1"/>
        <w:ind w:left="-6" w:right="0" w:firstLine="0"/>
        <w:jc w:val="left"/>
        <w:rPr>
          <w:sz w:val="12"/>
        </w:rPr>
      </w:pPr>
      <w:r>
        <w:rPr>
          <w:color w:val="231F20"/>
          <w:sz w:val="12"/>
        </w:rPr>
        <w:t>150</w:t>
      </w:r>
    </w:p>
    <w:p>
      <w:pPr>
        <w:pStyle w:val="BodyText"/>
        <w:rPr>
          <w:sz w:val="12"/>
        </w:rPr>
      </w:pPr>
    </w:p>
    <w:p>
      <w:pPr>
        <w:pStyle w:val="BodyText"/>
        <w:rPr>
          <w:sz w:val="12"/>
        </w:rPr>
      </w:pPr>
    </w:p>
    <w:p>
      <w:pPr>
        <w:spacing w:before="1"/>
        <w:ind w:left="-6" w:right="0" w:firstLine="0"/>
        <w:jc w:val="left"/>
        <w:rPr>
          <w:sz w:val="12"/>
        </w:rPr>
      </w:pPr>
      <w:r>
        <w:rPr>
          <w:color w:val="231F20"/>
          <w:sz w:val="12"/>
        </w:rPr>
        <w:t>100</w:t>
      </w:r>
    </w:p>
    <w:p>
      <w:pPr>
        <w:pStyle w:val="BodyText"/>
        <w:rPr>
          <w:sz w:val="12"/>
        </w:rPr>
      </w:pPr>
    </w:p>
    <w:p>
      <w:pPr>
        <w:pStyle w:val="BodyText"/>
        <w:rPr>
          <w:sz w:val="12"/>
        </w:rPr>
      </w:pPr>
    </w:p>
    <w:p>
      <w:pPr>
        <w:spacing w:before="1"/>
        <w:ind w:left="54" w:right="0" w:firstLine="0"/>
        <w:jc w:val="left"/>
        <w:rPr>
          <w:sz w:val="12"/>
        </w:rPr>
      </w:pPr>
      <w:r>
        <w:rPr>
          <w:color w:val="231F20"/>
          <w:sz w:val="12"/>
        </w:rPr>
        <w:t>50</w:t>
      </w:r>
    </w:p>
    <w:p>
      <w:pPr>
        <w:spacing w:before="50"/>
        <w:ind w:left="14" w:right="0" w:firstLine="0"/>
        <w:jc w:val="left"/>
        <w:rPr>
          <w:sz w:val="16"/>
        </w:rPr>
      </w:pPr>
      <w:r>
        <w:rPr>
          <w:color w:val="231F20"/>
          <w:sz w:val="16"/>
        </w:rPr>
        <w:t>+</w:t>
      </w:r>
    </w:p>
    <w:p>
      <w:pPr>
        <w:spacing w:line="107" w:lineRule="exact" w:before="43"/>
        <w:ind w:left="114" w:right="0" w:firstLine="0"/>
        <w:jc w:val="left"/>
        <w:rPr>
          <w:sz w:val="12"/>
        </w:rPr>
      </w:pPr>
      <w:r>
        <w:rPr>
          <w:color w:val="231F20"/>
          <w:sz w:val="12"/>
        </w:rPr>
        <w:t>0</w:t>
      </w:r>
    </w:p>
    <w:p>
      <w:pPr>
        <w:spacing w:line="153" w:lineRule="exact" w:before="0"/>
        <w:ind w:left="19" w:right="0" w:firstLine="0"/>
        <w:jc w:val="left"/>
        <w:rPr>
          <w:sz w:val="16"/>
        </w:rPr>
      </w:pPr>
      <w:r>
        <w:rPr>
          <w:color w:val="231F20"/>
          <w:sz w:val="16"/>
        </w:rPr>
        <w:t>_</w:t>
      </w:r>
    </w:p>
    <w:p>
      <w:pPr>
        <w:spacing w:before="140"/>
        <w:ind w:left="54" w:right="0" w:firstLine="0"/>
        <w:jc w:val="left"/>
        <w:rPr>
          <w:sz w:val="12"/>
        </w:rPr>
      </w:pPr>
      <w:r>
        <w:rPr>
          <w:color w:val="231F20"/>
          <w:sz w:val="12"/>
        </w:rPr>
        <w:t>50</w:t>
      </w:r>
    </w:p>
    <w:p>
      <w:pPr>
        <w:pStyle w:val="BodyText"/>
        <w:rPr>
          <w:sz w:val="12"/>
        </w:rPr>
      </w:pPr>
    </w:p>
    <w:p>
      <w:pPr>
        <w:pStyle w:val="BodyText"/>
        <w:spacing w:before="1"/>
        <w:rPr>
          <w:sz w:val="12"/>
        </w:rPr>
      </w:pPr>
    </w:p>
    <w:p>
      <w:pPr>
        <w:spacing w:before="0"/>
        <w:ind w:left="-6" w:right="0" w:firstLine="0"/>
        <w:jc w:val="left"/>
        <w:rPr>
          <w:sz w:val="12"/>
        </w:rPr>
      </w:pPr>
      <w:r>
        <w:rPr>
          <w:color w:val="231F20"/>
          <w:sz w:val="12"/>
        </w:rPr>
        <w:t>100</w:t>
      </w:r>
    </w:p>
    <w:p>
      <w:pPr>
        <w:pStyle w:val="Heading6"/>
        <w:spacing w:line="242" w:lineRule="auto"/>
        <w:ind w:left="386" w:right="213"/>
        <w:jc w:val="both"/>
      </w:pPr>
      <w:r>
        <w:rPr/>
        <w:br w:type="column"/>
      </w:r>
      <w:r>
        <w:rPr/>
        <w:t>than a year (see Chart 3.2). Because of the way they </w:t>
      </w:r>
      <w:r>
        <w:rPr>
          <w:spacing w:val="-6"/>
        </w:rPr>
        <w:t>are </w:t>
      </w:r>
      <w:r>
        <w:rPr/>
        <w:t>measured, </w:t>
      </w:r>
      <w:r>
        <w:rPr>
          <w:spacing w:val="-3"/>
        </w:rPr>
        <w:t>Workforce </w:t>
      </w:r>
      <w:r>
        <w:rPr/>
        <w:t>Jobs data tend to be more variable than data from the LFS.</w:t>
      </w:r>
    </w:p>
    <w:p>
      <w:pPr>
        <w:pStyle w:val="BodyText"/>
        <w:spacing w:before="5"/>
        <w:rPr>
          <w:sz w:val="23"/>
        </w:rPr>
      </w:pPr>
    </w:p>
    <w:p>
      <w:pPr>
        <w:spacing w:line="280" w:lineRule="atLeast" w:before="0"/>
        <w:ind w:left="386" w:right="188" w:firstLine="0"/>
        <w:jc w:val="left"/>
        <w:rPr>
          <w:sz w:val="24"/>
        </w:rPr>
      </w:pPr>
      <w:r>
        <w:rPr>
          <w:sz w:val="24"/>
        </w:rPr>
        <w:t>The two different sources of data on employment provide two different measures of labour productivity: output per person employed (based on the LFS); and output per job (based on Workforce Jobs). Chart 3.3 shows that measured productivity growth has in the past varied substantially over the economic cycle. Since the mid-1990s it has been more stable, partly because the cycle has been less marked, and partly because labour market reforms over the past two decades have made it</w:t>
      </w:r>
    </w:p>
    <w:p>
      <w:pPr>
        <w:spacing w:after="0" w:line="280" w:lineRule="atLeast"/>
        <w:jc w:val="left"/>
        <w:rPr>
          <w:sz w:val="24"/>
        </w:rPr>
        <w:sectPr>
          <w:type w:val="continuous"/>
          <w:pgSz w:w="11900" w:h="16840"/>
          <w:pgMar w:top="1220" w:bottom="280" w:left="620" w:right="640"/>
          <w:cols w:num="5" w:equalWidth="0">
            <w:col w:w="1007" w:space="40"/>
            <w:col w:w="898" w:space="39"/>
            <w:col w:w="1404" w:space="39"/>
            <w:col w:w="215" w:space="991"/>
            <w:col w:w="6007"/>
          </w:cols>
        </w:sectPr>
      </w:pPr>
    </w:p>
    <w:p>
      <w:pPr>
        <w:tabs>
          <w:tab w:pos="2021" w:val="left" w:leader="none"/>
          <w:tab w:pos="2927" w:val="left" w:leader="none"/>
        </w:tabs>
        <w:spacing w:line="17" w:lineRule="exact" w:before="0"/>
        <w:ind w:left="854" w:right="0" w:firstLine="0"/>
        <w:jc w:val="left"/>
        <w:rPr>
          <w:sz w:val="12"/>
        </w:rPr>
      </w:pPr>
      <w:r>
        <w:rPr/>
        <w:pict>
          <v:shape style="position:absolute;margin-left:48.637001pt;margin-top:-14.094838pt;width:151.7pt;height:4.45pt;mso-position-horizontal-relative:page;mso-position-vertical-relative:paragraph;z-index:16055808" coordorigin="973,-282" coordsize="3034,89" path="m973,-194l3869,-194m1031,-282l1031,-194m1586,-248l1586,-194m2420,-248l2420,-194m2975,-248l2975,-194m1308,-248l1308,-194m1864,-248l1864,-194m3253,-282l3253,-194m3531,-248l3531,-194m2142,-282l2142,-194m3809,-248l3809,-194m2698,-248l2698,-194m4007,-193l3920,-193e" filled="false" stroked="true" strokeweight=".5pt" strokecolor="#231f20">
            <v:path arrowok="t"/>
            <v:stroke dashstyle="solid"/>
            <w10:wrap type="none"/>
          </v:shape>
        </w:pict>
      </w:r>
      <w:r>
        <w:rPr>
          <w:color w:val="231F20"/>
          <w:sz w:val="12"/>
        </w:rPr>
        <w:t>1997</w:t>
        <w:tab/>
        <w:t>98</w:t>
        <w:tab/>
        <w:t>99</w:t>
      </w:r>
    </w:p>
    <w:p>
      <w:pPr>
        <w:pStyle w:val="BodyText"/>
        <w:rPr>
          <w:sz w:val="12"/>
        </w:rPr>
      </w:pPr>
    </w:p>
    <w:p>
      <w:pPr>
        <w:pStyle w:val="Heading9"/>
        <w:spacing w:before="74"/>
        <w:ind w:left="210"/>
      </w:pPr>
      <w:r>
        <w:rPr>
          <w:color w:val="0093C1"/>
        </w:rPr>
        <w:t>Chart 3.3</w:t>
      </w:r>
    </w:p>
    <w:p>
      <w:pPr>
        <w:spacing w:before="10"/>
        <w:ind w:left="210" w:right="0" w:firstLine="0"/>
        <w:jc w:val="left"/>
        <w:rPr>
          <w:b/>
          <w:sz w:val="20"/>
        </w:rPr>
      </w:pPr>
      <w:r>
        <w:rPr>
          <w:b/>
          <w:color w:val="0093C1"/>
          <w:sz w:val="20"/>
        </w:rPr>
        <w:t>Annual growth in labour productivity</w:t>
      </w:r>
    </w:p>
    <w:p>
      <w:pPr>
        <w:spacing w:line="38" w:lineRule="exact" w:before="117"/>
        <w:ind w:left="0" w:right="99" w:firstLine="0"/>
        <w:jc w:val="right"/>
        <w:rPr>
          <w:sz w:val="12"/>
        </w:rPr>
      </w:pPr>
      <w:r>
        <w:rPr>
          <w:color w:val="231F20"/>
          <w:sz w:val="12"/>
        </w:rPr>
        <w:t>Per cent</w:t>
      </w:r>
    </w:p>
    <w:p>
      <w:pPr>
        <w:pStyle w:val="Heading6"/>
        <w:spacing w:line="242" w:lineRule="auto" w:before="4"/>
        <w:ind w:left="210"/>
      </w:pPr>
      <w:r>
        <w:rPr/>
        <w:br w:type="column"/>
      </w:r>
      <w:r>
        <w:rPr/>
        <w:t>possible for firms to adjust labour input more rapidly in response to changes in demand. Productivity growth has been below its long-run average rate, which is close to</w:t>
      </w:r>
    </w:p>
    <w:p>
      <w:pPr>
        <w:spacing w:after="0" w:line="242" w:lineRule="auto"/>
        <w:sectPr>
          <w:type w:val="continuous"/>
          <w:pgSz w:w="11900" w:h="16840"/>
          <w:pgMar w:top="1220" w:bottom="280" w:left="620" w:right="640"/>
          <w:cols w:num="2" w:equalWidth="0">
            <w:col w:w="3484" w:space="1326"/>
            <w:col w:w="5830"/>
          </w:cols>
        </w:sectPr>
      </w:pPr>
    </w:p>
    <w:p>
      <w:pPr>
        <w:pStyle w:val="BodyText"/>
        <w:spacing w:before="7"/>
        <w:rPr>
          <w:sz w:val="11"/>
        </w:rPr>
      </w:pPr>
    </w:p>
    <w:p>
      <w:pPr>
        <w:pStyle w:val="BodyText"/>
        <w:spacing w:line="20" w:lineRule="exact"/>
        <w:ind w:left="194"/>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1"/>
        <w:rPr>
          <w:sz w:val="17"/>
        </w:rPr>
      </w:pPr>
      <w:r>
        <w:rPr/>
        <w:pict>
          <v:shape style="position:absolute;margin-left:40.970001pt;margin-top:12.067977pt;width:4.350pt;height:.1pt;mso-position-horizontal-relative:page;mso-position-vertical-relative:paragraph;z-index:-15412224;mso-wrap-distance-left:0;mso-wrap-distance-right:0" coordorigin="819,241" coordsize="87,0" path="m906,241l819,241e" filled="false" stroked="true" strokeweight=".5pt" strokecolor="#000000">
            <v:path arrowok="t"/>
            <v:stroke dashstyle="solid"/>
            <w10:wrap type="topAndBottom"/>
          </v:shape>
        </w:pict>
      </w:r>
    </w:p>
    <w:p>
      <w:pPr>
        <w:spacing w:before="0"/>
        <w:ind w:left="838" w:right="0" w:firstLine="0"/>
        <w:jc w:val="left"/>
        <w:rPr>
          <w:sz w:val="12"/>
        </w:rPr>
      </w:pPr>
      <w:r>
        <w:rPr>
          <w:color w:val="231F20"/>
          <w:sz w:val="12"/>
        </w:rPr>
        <w:t>Workforce Jobs (a)</w:t>
      </w:r>
    </w:p>
    <w:p>
      <w:pPr>
        <w:pStyle w:val="BodyText"/>
        <w:spacing w:before="8" w:after="39"/>
        <w:rPr>
          <w:sz w:val="23"/>
        </w:rPr>
      </w:pPr>
    </w:p>
    <w:p>
      <w:pPr>
        <w:pStyle w:val="BodyText"/>
        <w:spacing w:line="20" w:lineRule="exact"/>
        <w:ind w:left="194"/>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1"/>
        <w:rPr>
          <w:sz w:val="17"/>
        </w:rPr>
      </w:pPr>
      <w:r>
        <w:rPr/>
        <w:pict>
          <v:shape style="position:absolute;margin-left:40.970001pt;margin-top:12.068976pt;width:4.350pt;height:.1pt;mso-position-horizontal-relative:page;mso-position-vertical-relative:paragraph;z-index:-15411200;mso-wrap-distance-left:0;mso-wrap-distance-right:0" coordorigin="819,241" coordsize="87,0" path="m906,241l819,241e" filled="false" stroked="true" strokeweight=".5pt" strokecolor="#000000">
            <v:path arrowok="t"/>
            <v:stroke dashstyle="solid"/>
            <w10:wrap type="topAndBottom"/>
          </v:shape>
        </w:pict>
      </w:r>
    </w:p>
    <w:p>
      <w:pPr>
        <w:pStyle w:val="BodyText"/>
        <w:rPr>
          <w:sz w:val="20"/>
        </w:rPr>
      </w:pPr>
    </w:p>
    <w:p>
      <w:pPr>
        <w:pStyle w:val="BodyText"/>
        <w:spacing w:before="7"/>
        <w:rPr>
          <w:sz w:val="15"/>
        </w:rPr>
      </w:pPr>
      <w:r>
        <w:rPr/>
        <w:pict>
          <v:shape style="position:absolute;margin-left:40.970001pt;margin-top:11.211977pt;width:4.350pt;height:.1pt;mso-position-horizontal-relative:page;mso-position-vertical-relative:paragraph;z-index:-15410688;mso-wrap-distance-left:0;mso-wrap-distance-right:0" coordorigin="819,224" coordsize="87,0" path="m906,224l819,224e" filled="false" stroked="true" strokeweight=".5pt" strokecolor="#000000">
            <v:path arrowok="t"/>
            <v:stroke dashstyle="solid"/>
            <w10:wrap type="topAndBottom"/>
          </v:shape>
        </w:pict>
      </w:r>
    </w:p>
    <w:p>
      <w:pPr>
        <w:pStyle w:val="BodyText"/>
        <w:rPr>
          <w:sz w:val="20"/>
        </w:rPr>
      </w:pPr>
    </w:p>
    <w:p>
      <w:pPr>
        <w:pStyle w:val="BodyText"/>
        <w:spacing w:before="4"/>
        <w:rPr>
          <w:sz w:val="15"/>
        </w:rPr>
      </w:pPr>
      <w:r>
        <w:rPr/>
        <w:pict>
          <v:shape style="position:absolute;margin-left:40.970001pt;margin-top:11.024977pt;width:4.350pt;height:.1pt;mso-position-horizontal-relative:page;mso-position-vertical-relative:paragraph;z-index:-15410176;mso-wrap-distance-left:0;mso-wrap-distance-right:0" coordorigin="819,220" coordsize="87,0" path="m906,220l819,220e" filled="false" stroked="true" strokeweight=".5pt" strokecolor="#000000">
            <v:path arrowok="t"/>
            <v:stroke dashstyle="solid"/>
            <w10:wrap type="topAndBottom"/>
          </v:shape>
        </w:pict>
      </w:r>
    </w:p>
    <w:p>
      <w:pPr>
        <w:pStyle w:val="BodyText"/>
        <w:rPr>
          <w:sz w:val="20"/>
        </w:rPr>
      </w:pPr>
    </w:p>
    <w:p>
      <w:pPr>
        <w:pStyle w:val="BodyText"/>
        <w:spacing w:before="5"/>
        <w:rPr>
          <w:sz w:val="15"/>
        </w:rPr>
      </w:pPr>
      <w:r>
        <w:rPr/>
        <w:pict>
          <v:shape style="position:absolute;margin-left:40.970001pt;margin-top:11.118977pt;width:4.350pt;height:.1pt;mso-position-horizontal-relative:page;mso-position-vertical-relative:paragraph;z-index:-15409664;mso-wrap-distance-left:0;mso-wrap-distance-right:0" coordorigin="819,222" coordsize="87,0" path="m906,222l819,222e" filled="false" stroked="true" strokeweight=".5pt" strokecolor="#000000">
            <v:path arrowok="t"/>
            <v:stroke dashstyle="solid"/>
            <w10:wrap type="topAndBottom"/>
          </v:shape>
        </w:pict>
      </w:r>
    </w:p>
    <w:p>
      <w:pPr>
        <w:spacing w:before="65"/>
        <w:ind w:left="0" w:right="38" w:firstLine="0"/>
        <w:jc w:val="right"/>
        <w:rPr>
          <w:sz w:val="12"/>
        </w:rPr>
      </w:pPr>
      <w:r>
        <w:rPr/>
        <w:br w:type="column"/>
      </w:r>
      <w:r>
        <w:rPr>
          <w:color w:val="231F20"/>
          <w:sz w:val="12"/>
        </w:rPr>
        <w:t>8</w:t>
      </w:r>
    </w:p>
    <w:p>
      <w:pPr>
        <w:pStyle w:val="BodyText"/>
        <w:rPr>
          <w:sz w:val="12"/>
        </w:rPr>
      </w:pPr>
    </w:p>
    <w:p>
      <w:pPr>
        <w:pStyle w:val="BodyText"/>
        <w:rPr>
          <w:sz w:val="12"/>
        </w:rPr>
      </w:pPr>
    </w:p>
    <w:p>
      <w:pPr>
        <w:spacing w:before="74"/>
        <w:ind w:left="0" w:right="38" w:firstLine="0"/>
        <w:jc w:val="right"/>
        <w:rPr>
          <w:sz w:val="12"/>
        </w:rPr>
      </w:pPr>
      <w:r>
        <w:rPr/>
        <w:pict>
          <v:group style="position:absolute;margin-left:49.25pt;margin-top:4.718554pt;width:150.9pt;height:124.45pt;mso-position-horizontal-relative:page;mso-position-vertical-relative:paragraph;z-index:-22096896" coordorigin="985,94" coordsize="3018,2489">
            <v:line style="position:absolute" from="985,1607" to="3860,1607" stroked="true" strokeweight=".5pt" strokecolor="#231f20">
              <v:stroke dashstyle="solid"/>
            </v:line>
            <v:shape style="position:absolute;left:1760;top:779;width:1023;height:910" coordorigin="1760,779" coordsize="1023,910" path="m1760,779l1905,1027m1905,1027l2060,1112m2060,1112l2203,1227m2203,1227l2348,1689m2348,1689l2493,1409m2493,1409l2638,1672m2638,1672l2783,1127e" filled="false" stroked="true" strokeweight="1pt" strokecolor="#0099d8">
              <v:path arrowok="t"/>
              <v:stroke dashstyle="solid"/>
            </v:shape>
            <v:shape style="position:absolute;left:2772;top:656;width:433;height:480" type="#_x0000_t75" stroked="false">
              <v:imagedata r:id="rId101" o:title=""/>
            </v:shape>
            <v:line style="position:absolute" from="3211,769" to="3211,1204" stroked="true" strokeweight="2.625pt" strokecolor="#0099d8">
              <v:stroke dashstyle="solid"/>
            </v:line>
            <v:shape style="position:absolute;left:3217;top:1101;width:640;height:400" type="#_x0000_t75" stroked="false">
              <v:imagedata r:id="rId102" o:title=""/>
            </v:shape>
            <v:line style="position:absolute" from="995,1509" to="1025,2449" stroked="true" strokeweight="1pt" strokecolor="#95459a">
              <v:stroke dashstyle="solid"/>
            </v:line>
            <v:line style="position:absolute" from="1046,1862" to="1046,2459" stroked="true" strokeweight="3.125pt" strokecolor="#95459a">
              <v:stroke dashstyle="solid"/>
            </v:line>
            <v:shape style="position:absolute;left:1067;top:419;width:258;height:1583" coordorigin="1068,419" coordsize="258,1583" path="m1068,1872l1098,2002m1098,2002l1140,1639m1140,1639l1170,1127m1170,1127l1213,732m1213,732l1243,467m1243,467l1285,499m1285,499l1325,419e" filled="false" stroked="true" strokeweight="1pt" strokecolor="#95459a">
              <v:path arrowok="t"/>
              <v:stroke dashstyle="solid"/>
            </v:shape>
            <v:line style="position:absolute" from="1341,409" to="1341,742" stroked="true" strokeweight="2.625pt" strokecolor="#95459a">
              <v:stroke dashstyle="solid"/>
            </v:line>
            <v:shape style="position:absolute;left:1357;top:104;width:70;height:628" coordorigin="1358,104" coordsize="70,628" path="m1358,732l1398,667m1398,667l1428,104e" filled="false" stroked="true" strokeweight="1pt" strokecolor="#95459a">
              <v:path arrowok="t"/>
              <v:stroke dashstyle="solid"/>
            </v:shape>
            <v:rect style="position:absolute;left:1417;top:94;width:63;height:583" filled="true" fillcolor="#95459a" stroked="false">
              <v:fill type="solid"/>
            </v:rect>
            <v:shape style="position:absolute;left:1470;top:666;width:290;height:1370" coordorigin="1470,667" coordsize="290,1370" path="m1470,667l1500,764m1500,764l1543,897m1543,897l1573,1459m1573,1459l1615,1789m1615,1789l1645,2037m1645,2037l1688,1872m1688,1872l1728,1639m1728,1639l1760,682e" filled="false" stroked="true" strokeweight="1pt" strokecolor="#95459a">
              <v:path arrowok="t"/>
              <v:stroke dashstyle="solid"/>
            </v:shape>
            <v:line style="position:absolute" from="1750,683" to="1810,683" stroked="true" strokeweight="1.125pt" strokecolor="#95459a">
              <v:stroke dashstyle="solid"/>
            </v:line>
            <v:shape style="position:absolute;left:1800;top:566;width:475;height:808" coordorigin="1800,567" coordsize="475,808" path="m1800,682l1833,814m1833,814l1873,864m1873,864l1905,997m1905,997l1945,682m1945,682l1978,567m1978,567l2018,879m2018,879l2060,1094m2060,1094l2090,1062m2090,1062l2133,1324m2133,1324l2163,1162m2163,1162l2203,1359m2203,1359l2235,1374m2235,1374l2275,1359e" filled="false" stroked="true" strokeweight="1pt" strokecolor="#95459a">
              <v:path arrowok="t"/>
              <v:stroke dashstyle="solid"/>
            </v:shape>
            <v:line style="position:absolute" from="2291,1349" to="2291,1732" stroked="true" strokeweight="2.625pt" strokecolor="#95459a">
              <v:stroke dashstyle="solid"/>
            </v:line>
            <v:line style="position:absolute" from="2298,1723" to="2358,1723" stroked="true" strokeweight="1.125pt" strokecolor="#95459a">
              <v:stroke dashstyle="solid"/>
            </v:line>
            <v:shape style="position:absolute;left:2347;top:1441;width:218;height:463" coordorigin="2348,1442" coordsize="218,463" path="m2348,1722l2380,1904m2380,1904l2420,1889m2420,1889l2463,1557m2463,1557l2493,1442m2493,1442l2535,1574m2535,1574l2565,1557e" filled="false" stroked="true" strokeweight="1pt" strokecolor="#95459a">
              <v:path arrowok="t"/>
              <v:stroke dashstyle="solid"/>
            </v:shape>
            <v:line style="position:absolute" from="2555,1558" to="2618,1558" stroked="true" strokeweight="1.125pt" strokecolor="#95459a">
              <v:stroke dashstyle="solid"/>
            </v:line>
            <v:shape style="position:absolute;left:2607;top:634;width:505;height:923" coordorigin="2608,634" coordsize="505,923" path="m2608,1557l2638,1359m2638,1359l2680,964m2680,964l2710,797m2710,797l2753,879m2753,879l2783,997m2783,997l2825,779m2825,779l2865,717m2865,717l2895,634m2895,634l2938,667m2938,667l2968,864m2968,864l3010,1027m3010,1027l3040,914m3040,914l3083,649m3083,649l3113,667e" filled="false" stroked="true" strokeweight="1pt" strokecolor="#95459a">
              <v:path arrowok="t"/>
              <v:stroke dashstyle="solid"/>
            </v:shape>
            <v:line style="position:absolute" from="3103,668" to="3165,668" stroked="true" strokeweight="1.125pt" strokecolor="#95459a">
              <v:stroke dashstyle="solid"/>
            </v:line>
            <v:line style="position:absolute" from="3155,667" to="3195,847" stroked="true" strokeweight="1pt" strokecolor="#95459a">
              <v:stroke dashstyle="solid"/>
            </v:line>
            <v:line style="position:absolute" from="3211,837" to="3211,1172" stroked="true" strokeweight="2.625pt" strokecolor="#95459a">
              <v:stroke dashstyle="solid"/>
            </v:line>
            <v:shape style="position:absolute;left:3227;top:1161;width:113;height:180" coordorigin="3228,1162" coordsize="113,180" path="m3228,1162l3268,1262m3268,1262l3300,1342m3300,1342l3340,1212e" filled="false" stroked="true" strokeweight="1pt" strokecolor="#95459a">
              <v:path arrowok="t"/>
              <v:stroke dashstyle="solid"/>
            </v:shape>
            <v:line style="position:absolute" from="3330,1213" to="3383,1213" stroked="true" strokeweight="1.125pt" strokecolor="#95459a">
              <v:stroke dashstyle="solid"/>
            </v:line>
            <v:shape style="position:absolute;left:3372;top:1144;width:475;height:298" coordorigin="3373,1144" coordsize="475,298" path="m3373,1212l3413,1294m3413,1294l3445,1244m3445,1244l3485,1294m3485,1294l3515,1277m3515,1277l3558,1144m3558,1144l3600,1227m3600,1227l3630,1392m3630,1392l3670,1294m3670,1294l3703,1374m3703,1374l3743,1442m3743,1442l3775,1374m3775,1374l3815,1424m3815,1424l3848,1312e" filled="false" stroked="true" strokeweight="1pt" strokecolor="#95459a">
              <v:path arrowok="t"/>
              <v:stroke dashstyle="solid"/>
            </v:shape>
            <v:line style="position:absolute" from="985,1094" to="3860,1094" stroked="true" strokeweight=".5pt" strokecolor="#231f20">
              <v:stroke dashstyle="dash"/>
            </v:line>
            <v:shape style="position:absolute;left:994;top:145;width:3008;height:2433" coordorigin="995,145" coordsize="3008,2433" path="m997,2578l3860,2578m995,2524l995,2577m1288,2524l1288,2577m1728,2524l1728,2577m2608,2524l2608,2577m3489,2524l3489,2577m3782,2524l3782,2577m2022,2524l2022,2577m2902,2524l2902,2577m3635,2524l3635,2577m1141,2524l1141,2577m1435,2524l1435,2577m2168,2524l2168,2577m3049,2524l3049,2577m2315,2524l2315,2577m3195,2524l3195,2577m1582,2524l1582,2577m2462,2524l2462,2577m3342,2524l3342,2577m1875,2524l1875,2577m2755,2524l2755,2577m4002,631l3916,631m4002,1607l3916,1607m4002,2577l3916,2577m4002,145l3916,145m4002,1118l3916,1118m4002,2091l3916,2091e" filled="false" stroked="true" strokeweight=".5pt" strokecolor="#000000">
              <v:path arrowok="t"/>
              <v:stroke dashstyle="solid"/>
            </v:shape>
            <w10:wrap type="none"/>
          </v:group>
        </w:pict>
      </w:r>
      <w:r>
        <w:rPr/>
        <w:pict>
          <v:line style="position:absolute;mso-position-horizontal-relative:page;mso-position-vertical-relative:paragraph;z-index:16048640" from="200.125007pt,-17.062445pt" to="195.792007pt,-17.062445pt" stroked="true" strokeweight=".5pt" strokecolor="#000000">
            <v:stroke dashstyle="solid"/>
            <w10:wrap type="none"/>
          </v:line>
        </w:pict>
      </w:r>
      <w:r>
        <w:rPr>
          <w:color w:val="231F20"/>
          <w:sz w:val="12"/>
        </w:rPr>
        <w:t>6</w:t>
      </w:r>
    </w:p>
    <w:p>
      <w:pPr>
        <w:pStyle w:val="BodyText"/>
        <w:rPr>
          <w:sz w:val="12"/>
        </w:rPr>
      </w:pPr>
    </w:p>
    <w:p>
      <w:pPr>
        <w:pStyle w:val="BodyText"/>
        <w:rPr>
          <w:sz w:val="12"/>
        </w:rPr>
      </w:pPr>
    </w:p>
    <w:p>
      <w:pPr>
        <w:spacing w:before="74"/>
        <w:ind w:left="0" w:right="38" w:firstLine="0"/>
        <w:jc w:val="right"/>
        <w:rPr>
          <w:sz w:val="12"/>
        </w:rPr>
      </w:pPr>
      <w:r>
        <w:rPr>
          <w:color w:val="231F20"/>
          <w:sz w:val="12"/>
        </w:rPr>
        <w:t>4</w:t>
      </w:r>
    </w:p>
    <w:p>
      <w:pPr>
        <w:pStyle w:val="BodyText"/>
        <w:rPr>
          <w:sz w:val="12"/>
        </w:rPr>
      </w:pPr>
    </w:p>
    <w:p>
      <w:pPr>
        <w:pStyle w:val="BodyText"/>
        <w:rPr>
          <w:sz w:val="12"/>
        </w:rPr>
      </w:pPr>
    </w:p>
    <w:p>
      <w:pPr>
        <w:spacing w:before="73"/>
        <w:ind w:left="0" w:right="38" w:firstLine="0"/>
        <w:jc w:val="right"/>
        <w:rPr>
          <w:sz w:val="12"/>
        </w:rPr>
      </w:pPr>
      <w:r>
        <w:rPr>
          <w:color w:val="231F20"/>
          <w:sz w:val="12"/>
        </w:rPr>
        <w:t>2</w:t>
      </w:r>
    </w:p>
    <w:p>
      <w:pPr>
        <w:pStyle w:val="BodyText"/>
        <w:spacing w:before="1"/>
        <w:rPr>
          <w:sz w:val="10"/>
        </w:rPr>
      </w:pPr>
    </w:p>
    <w:p>
      <w:pPr>
        <w:tabs>
          <w:tab w:pos="1554" w:val="left" w:leader="none"/>
        </w:tabs>
        <w:spacing w:line="239" w:lineRule="exact" w:before="0"/>
        <w:ind w:left="311" w:right="0" w:firstLine="0"/>
        <w:jc w:val="left"/>
        <w:rPr>
          <w:sz w:val="16"/>
        </w:rPr>
      </w:pPr>
      <w:r>
        <w:rPr>
          <w:color w:val="231F20"/>
          <w:sz w:val="12"/>
        </w:rPr>
        <w:t>LFS (b)</w:t>
        <w:tab/>
      </w:r>
      <w:r>
        <w:rPr>
          <w:color w:val="231F20"/>
          <w:position w:val="7"/>
          <w:sz w:val="16"/>
        </w:rPr>
        <w:t>+</w:t>
      </w:r>
    </w:p>
    <w:p>
      <w:pPr>
        <w:spacing w:line="130" w:lineRule="exact" w:before="0"/>
        <w:ind w:left="1631" w:right="0" w:firstLine="0"/>
        <w:jc w:val="left"/>
        <w:rPr>
          <w:sz w:val="12"/>
        </w:rPr>
      </w:pPr>
      <w:r>
        <w:rPr>
          <w:color w:val="231F20"/>
          <w:sz w:val="12"/>
        </w:rPr>
        <w:t>0</w:t>
      </w:r>
    </w:p>
    <w:p>
      <w:pPr>
        <w:spacing w:line="182" w:lineRule="exact" w:before="0"/>
        <w:ind w:left="1562" w:right="0" w:firstLine="0"/>
        <w:jc w:val="left"/>
        <w:rPr>
          <w:sz w:val="16"/>
        </w:rPr>
      </w:pPr>
      <w:r>
        <w:rPr>
          <w:color w:val="231F20"/>
          <w:sz w:val="16"/>
        </w:rPr>
        <w:t>–</w:t>
      </w:r>
    </w:p>
    <w:p>
      <w:pPr>
        <w:pStyle w:val="BodyText"/>
        <w:spacing w:before="9"/>
        <w:rPr>
          <w:sz w:val="14"/>
        </w:rPr>
      </w:pPr>
    </w:p>
    <w:p>
      <w:pPr>
        <w:spacing w:before="1"/>
        <w:ind w:left="0" w:right="38" w:firstLine="0"/>
        <w:jc w:val="right"/>
        <w:rPr>
          <w:sz w:val="12"/>
        </w:rPr>
      </w:pPr>
      <w:r>
        <w:rPr>
          <w:color w:val="231F20"/>
          <w:sz w:val="12"/>
        </w:rPr>
        <w:t>2</w:t>
      </w:r>
    </w:p>
    <w:p>
      <w:pPr>
        <w:pStyle w:val="BodyText"/>
        <w:rPr>
          <w:sz w:val="12"/>
        </w:rPr>
      </w:pPr>
    </w:p>
    <w:p>
      <w:pPr>
        <w:pStyle w:val="BodyText"/>
        <w:rPr>
          <w:sz w:val="12"/>
        </w:rPr>
      </w:pPr>
    </w:p>
    <w:p>
      <w:pPr>
        <w:spacing w:line="90" w:lineRule="exact" w:before="73"/>
        <w:ind w:left="1631" w:right="0" w:firstLine="0"/>
        <w:jc w:val="left"/>
        <w:rPr>
          <w:sz w:val="12"/>
        </w:rPr>
      </w:pPr>
      <w:r>
        <w:rPr>
          <w:color w:val="231F20"/>
          <w:sz w:val="12"/>
        </w:rPr>
        <w:t>4</w:t>
      </w:r>
    </w:p>
    <w:p>
      <w:pPr>
        <w:pStyle w:val="Heading6"/>
        <w:spacing w:line="242" w:lineRule="auto"/>
        <w:ind w:left="838" w:right="107"/>
      </w:pPr>
      <w:r>
        <w:rPr/>
        <w:br w:type="column"/>
      </w:r>
      <w:r>
        <w:rPr/>
        <w:t>2%, for the past four or five years. With no good reason to believe that a shift in the trend rate had occurred, the MPC has for some time assumed that labour productivity growth will return to more normal rates. There is some evidence of a rise in labour productivity growth towards the end of last year.</w:t>
      </w:r>
    </w:p>
    <w:p>
      <w:pPr>
        <w:pStyle w:val="BodyText"/>
        <w:spacing w:before="1"/>
        <w:rPr>
          <w:sz w:val="24"/>
        </w:rPr>
      </w:pPr>
    </w:p>
    <w:p>
      <w:pPr>
        <w:spacing w:line="242" w:lineRule="auto" w:before="0"/>
        <w:ind w:left="838" w:right="101" w:firstLine="0"/>
        <w:jc w:val="left"/>
        <w:rPr>
          <w:sz w:val="24"/>
        </w:rPr>
      </w:pPr>
      <w:r>
        <w:rPr>
          <w:sz w:val="24"/>
        </w:rPr>
        <w:t>Employment growth has probably continued into the New Year. The CIPS employment index, a weighted average of responses to their services, manufacturing and construction sector surveys, was 50.9 in January. This</w:t>
      </w:r>
    </w:p>
    <w:p>
      <w:pPr>
        <w:spacing w:after="0" w:line="242" w:lineRule="auto"/>
        <w:jc w:val="left"/>
        <w:rPr>
          <w:sz w:val="24"/>
        </w:rPr>
        <w:sectPr>
          <w:type w:val="continuous"/>
          <w:pgSz w:w="11900" w:h="16840"/>
          <w:pgMar w:top="1220" w:bottom="280" w:left="620" w:right="640"/>
          <w:cols w:num="3" w:equalWidth="0">
            <w:col w:w="1765" w:space="40"/>
            <w:col w:w="1732" w:space="645"/>
            <w:col w:w="6458"/>
          </w:cols>
        </w:sectPr>
      </w:pPr>
    </w:p>
    <w:p>
      <w:pPr>
        <w:spacing w:line="134" w:lineRule="exact" w:before="0"/>
        <w:ind w:left="317" w:right="0" w:firstLine="0"/>
        <w:jc w:val="left"/>
        <w:rPr>
          <w:sz w:val="12"/>
        </w:rPr>
      </w:pPr>
      <w:r>
        <w:rPr>
          <w:color w:val="231F20"/>
          <w:sz w:val="12"/>
        </w:rPr>
        <w:t>1980 82 84 86 88 90 92 94 96 98</w:t>
      </w:r>
    </w:p>
    <w:p>
      <w:pPr>
        <w:spacing w:line="417" w:lineRule="auto" w:before="105"/>
        <w:ind w:left="210" w:right="0" w:firstLine="0"/>
        <w:jc w:val="left"/>
        <w:rPr>
          <w:sz w:val="12"/>
        </w:rPr>
      </w:pPr>
      <w:r>
        <w:rPr>
          <w:sz w:val="12"/>
        </w:rPr>
        <w:t>Note: Dashed line is average of Workforce Jobs measure for 1960–99. Sources: ONS and Bank of England.</w:t>
      </w:r>
    </w:p>
    <w:p>
      <w:pPr>
        <w:pStyle w:val="ListParagraph"/>
        <w:numPr>
          <w:ilvl w:val="0"/>
          <w:numId w:val="20"/>
        </w:numPr>
        <w:tabs>
          <w:tab w:pos="450" w:val="left" w:leader="none"/>
        </w:tabs>
        <w:spacing w:line="208" w:lineRule="auto" w:before="15" w:after="0"/>
        <w:ind w:left="450" w:right="147" w:hanging="240"/>
        <w:jc w:val="left"/>
        <w:rPr>
          <w:sz w:val="12"/>
        </w:rPr>
      </w:pPr>
      <w:r>
        <w:rPr>
          <w:sz w:val="12"/>
        </w:rPr>
        <w:t>Productivity defined as GDP at constant basic prices divided </w:t>
      </w:r>
      <w:r>
        <w:rPr>
          <w:spacing w:val="-9"/>
          <w:sz w:val="12"/>
        </w:rPr>
        <w:t>by </w:t>
      </w:r>
      <w:r>
        <w:rPr>
          <w:sz w:val="12"/>
        </w:rPr>
        <w:t>Workforce Jobs.</w:t>
      </w:r>
    </w:p>
    <w:p>
      <w:pPr>
        <w:pStyle w:val="ListParagraph"/>
        <w:numPr>
          <w:ilvl w:val="0"/>
          <w:numId w:val="20"/>
        </w:numPr>
        <w:tabs>
          <w:tab w:pos="451" w:val="left" w:leader="none"/>
        </w:tabs>
        <w:spacing w:line="208" w:lineRule="auto" w:before="0" w:after="0"/>
        <w:ind w:left="450" w:right="147" w:hanging="240"/>
        <w:jc w:val="left"/>
        <w:rPr>
          <w:sz w:val="12"/>
        </w:rPr>
      </w:pPr>
      <w:r>
        <w:rPr>
          <w:sz w:val="12"/>
        </w:rPr>
        <w:t>Productivity defined as GDP at constant basic prices divided </w:t>
      </w:r>
      <w:r>
        <w:rPr>
          <w:spacing w:val="-9"/>
          <w:sz w:val="12"/>
        </w:rPr>
        <w:t>by </w:t>
      </w:r>
      <w:r>
        <w:rPr>
          <w:sz w:val="12"/>
        </w:rPr>
        <w:t>LFS employment.</w:t>
      </w:r>
    </w:p>
    <w:p>
      <w:pPr>
        <w:pStyle w:val="Heading6"/>
        <w:spacing w:line="255" w:lineRule="exact"/>
        <w:ind w:left="210"/>
      </w:pPr>
      <w:r>
        <w:rPr/>
        <w:br w:type="column"/>
      </w:r>
      <w:r>
        <w:rPr/>
        <w:t>index, which provides a more timely indicator of</w:t>
      </w:r>
    </w:p>
    <w:p>
      <w:pPr>
        <w:spacing w:line="242" w:lineRule="auto" w:before="4"/>
        <w:ind w:left="210" w:right="286" w:firstLine="0"/>
        <w:jc w:val="left"/>
        <w:rPr>
          <w:sz w:val="24"/>
        </w:rPr>
      </w:pPr>
      <w:r>
        <w:rPr>
          <w:sz w:val="24"/>
        </w:rPr>
        <w:t>employment trends than the official data, has remained above the no-change level of 50 since June (see</w:t>
      </w:r>
    </w:p>
    <w:p>
      <w:pPr>
        <w:spacing w:line="242" w:lineRule="auto" w:before="2"/>
        <w:ind w:left="210" w:right="0" w:firstLine="0"/>
        <w:jc w:val="left"/>
        <w:rPr>
          <w:sz w:val="24"/>
        </w:rPr>
      </w:pPr>
      <w:r>
        <w:rPr>
          <w:sz w:val="24"/>
        </w:rPr>
        <w:t>Chart 3.4). And the latest CBI/PricewaterhouseCoopers survey found that employment growth in the financial</w:t>
      </w:r>
    </w:p>
    <w:p>
      <w:pPr>
        <w:spacing w:after="0" w:line="242" w:lineRule="auto"/>
        <w:jc w:val="left"/>
        <w:rPr>
          <w:sz w:val="24"/>
        </w:rPr>
        <w:sectPr>
          <w:type w:val="continuous"/>
          <w:pgSz w:w="11900" w:h="16840"/>
          <w:pgMar w:top="1220" w:bottom="280" w:left="620" w:right="640"/>
          <w:cols w:num="2" w:equalWidth="0">
            <w:col w:w="3663" w:space="1147"/>
            <w:col w:w="5830"/>
          </w:cols>
        </w:sectPr>
      </w:pPr>
    </w:p>
    <w:p>
      <w:pPr>
        <w:pStyle w:val="BodyText"/>
        <w:rPr>
          <w:sz w:val="20"/>
        </w:rPr>
      </w:pPr>
    </w:p>
    <w:p>
      <w:pPr>
        <w:spacing w:after="0"/>
        <w:rPr>
          <w:sz w:val="20"/>
        </w:rPr>
        <w:sectPr>
          <w:footerReference w:type="default" r:id="rId103"/>
          <w:footerReference w:type="even" r:id="rId104"/>
          <w:pgSz w:w="11900" w:h="16840"/>
          <w:pgMar w:footer="617" w:header="586" w:top="780" w:bottom="800" w:left="620" w:right="640"/>
          <w:pgNumType w:start="27"/>
        </w:sectPr>
      </w:pPr>
    </w:p>
    <w:p>
      <w:pPr>
        <w:pStyle w:val="BodyText"/>
        <w:spacing w:before="1"/>
        <w:rPr>
          <w:sz w:val="21"/>
        </w:rPr>
      </w:pPr>
    </w:p>
    <w:p>
      <w:pPr>
        <w:pStyle w:val="Heading9"/>
        <w:spacing w:before="0"/>
        <w:ind w:left="205"/>
      </w:pPr>
      <w:r>
        <w:rPr>
          <w:color w:val="0093C1"/>
        </w:rPr>
        <w:t>Chart 3.4</w:t>
      </w:r>
    </w:p>
    <w:p>
      <w:pPr>
        <w:spacing w:before="10"/>
        <w:ind w:left="205" w:right="0" w:firstLine="0"/>
        <w:jc w:val="left"/>
        <w:rPr>
          <w:sz w:val="12"/>
        </w:rPr>
      </w:pPr>
      <w:r>
        <w:rPr>
          <w:b/>
          <w:color w:val="0093C1"/>
          <w:sz w:val="20"/>
        </w:rPr>
        <w:t>CIPS survey employment index</w:t>
      </w:r>
      <w:r>
        <w:rPr>
          <w:position w:val="4"/>
          <w:sz w:val="12"/>
        </w:rPr>
        <w:t>(a)</w:t>
      </w:r>
    </w:p>
    <w:p>
      <w:pPr>
        <w:pStyle w:val="BodyText"/>
        <w:rPr>
          <w:sz w:val="20"/>
        </w:rPr>
      </w:pPr>
    </w:p>
    <w:p>
      <w:pPr>
        <w:pStyle w:val="BodyText"/>
        <w:rPr>
          <w:sz w:val="25"/>
        </w:rPr>
      </w:pPr>
      <w:r>
        <w:rPr/>
        <w:pict>
          <v:shape style="position:absolute;margin-left:40.946999pt;margin-top:16.592463pt;width:4.350pt;height:.1pt;mso-position-horizontal-relative:page;mso-position-vertical-relative:paragraph;z-index:-15400960;mso-wrap-distance-left:0;mso-wrap-distance-right:0" coordorigin="819,332" coordsize="87,0" path="m906,332l819,332e" filled="false" stroked="true" strokeweight=".5pt" strokecolor="#000000">
            <v:path arrowok="t"/>
            <v:stroke dashstyle="solid"/>
            <w10:wrap type="topAndBottom"/>
          </v:shape>
        </w:pict>
      </w:r>
      <w:r>
        <w:rPr/>
        <w:pict>
          <v:shape style="position:absolute;margin-left:40.946999pt;margin-top:31.126463pt;width:4.350pt;height:.1pt;mso-position-horizontal-relative:page;mso-position-vertical-relative:paragraph;z-index:-15400448;mso-wrap-distance-left:0;mso-wrap-distance-right:0" coordorigin="819,623" coordsize="87,0" path="m906,623l819,623e" filled="false" stroked="true" strokeweight=".5pt" strokecolor="#000000">
            <v:path arrowok="t"/>
            <v:stroke dashstyle="solid"/>
            <w10:wrap type="topAndBottom"/>
          </v:shape>
        </w:pict>
      </w:r>
      <w:r>
        <w:rPr/>
        <w:pict>
          <v:shape style="position:absolute;margin-left:40.946999pt;margin-top:45.659462pt;width:4.350pt;height:.1pt;mso-position-horizontal-relative:page;mso-position-vertical-relative:paragraph;z-index:-15399936;mso-wrap-distance-left:0;mso-wrap-distance-right:0" coordorigin="819,913" coordsize="87,0" path="m906,913l819,913e" filled="false" stroked="true" strokeweight=".5pt" strokecolor="#000000">
            <v:path arrowok="t"/>
            <v:stroke dashstyle="solid"/>
            <w10:wrap type="topAndBottom"/>
          </v:shape>
        </w:pict>
      </w:r>
      <w:r>
        <w:rPr/>
        <w:pict>
          <v:shape style="position:absolute;margin-left:40.946999pt;margin-top:60.193462pt;width:4.350pt;height:.1pt;mso-position-horizontal-relative:page;mso-position-vertical-relative:paragraph;z-index:-15399424;mso-wrap-distance-left:0;mso-wrap-distance-right:0" coordorigin="819,1204" coordsize="87,0" path="m906,1204l819,1204e" filled="false" stroked="true" strokeweight=".5pt" strokecolor="#000000">
            <v:path arrowok="t"/>
            <v:stroke dashstyle="solid"/>
            <w10:wrap type="topAndBottom"/>
          </v:shape>
        </w:pict>
      </w:r>
      <w:r>
        <w:rPr/>
        <w:pict>
          <v:shape style="position:absolute;margin-left:40.946999pt;margin-top:74.726463pt;width:4.350pt;height:.1pt;mso-position-horizontal-relative:page;mso-position-vertical-relative:paragraph;z-index:-15398912;mso-wrap-distance-left:0;mso-wrap-distance-right:0" coordorigin="819,1495" coordsize="87,0" path="m906,1495l819,1495e" filled="false" stroked="true" strokeweight=".5pt" strokecolor="#000000">
            <v:path arrowok="t"/>
            <v:stroke dashstyle="solid"/>
            <w10:wrap type="topAndBottom"/>
          </v:shape>
        </w:pict>
      </w:r>
      <w:r>
        <w:rPr/>
        <w:pict>
          <v:shape style="position:absolute;margin-left:40.946999pt;margin-top:89.25946pt;width:4.350pt;height:.1pt;mso-position-horizontal-relative:page;mso-position-vertical-relative:paragraph;z-index:-15398400;mso-wrap-distance-left:0;mso-wrap-distance-right:0" coordorigin="819,1785" coordsize="87,0" path="m906,1785l819,1785e" filled="false" stroked="true" strokeweight=".5pt" strokecolor="#000000">
            <v:path arrowok="t"/>
            <v:stroke dashstyle="solid"/>
            <w10:wrap type="topAndBottom"/>
          </v:shape>
        </w:pict>
      </w:r>
      <w:r>
        <w:rPr/>
        <w:pict>
          <v:shape style="position:absolute;margin-left:40.946999pt;margin-top:103.792465pt;width:4.350pt;height:.1pt;mso-position-horizontal-relative:page;mso-position-vertical-relative:paragraph;z-index:-15397888;mso-wrap-distance-left:0;mso-wrap-distance-right:0" coordorigin="819,2076" coordsize="87,0" path="m906,2076l819,2076e" filled="false" stroked="true" strokeweight=".5pt" strokecolor="#000000">
            <v:path arrowok="t"/>
            <v:stroke dashstyle="solid"/>
            <w10:wrap type="topAndBottom"/>
          </v:shape>
        </w:pict>
      </w:r>
      <w:r>
        <w:rPr/>
        <w:pict>
          <v:shape style="position:absolute;margin-left:40.946999pt;margin-top:118.326462pt;width:4.350pt;height:.1pt;mso-position-horizontal-relative:page;mso-position-vertical-relative:paragraph;z-index:-15397376;mso-wrap-distance-left:0;mso-wrap-distance-right:0" coordorigin="819,2367" coordsize="87,0" path="m906,2367l819,2367e" filled="false" stroked="true" strokeweight=".5pt" strokecolor="#000000">
            <v:path arrowok="t"/>
            <v:stroke dashstyle="solid"/>
            <w10:wrap type="topAndBottom"/>
          </v:shape>
        </w:pict>
      </w:r>
      <w:r>
        <w:rPr/>
        <w:pict>
          <v:shape style="position:absolute;margin-left:40.946999pt;margin-top:132.859467pt;width:4.350pt;height:.1pt;mso-position-horizontal-relative:page;mso-position-vertical-relative:paragraph;z-index:-15396864;mso-wrap-distance-left:0;mso-wrap-distance-right:0" coordorigin="819,2657" coordsize="87,0" path="m906,2657l819,2657e" filled="false" stroked="true" strokeweight=".5pt" strokecolor="#000000">
            <v:path arrowok="t"/>
            <v:stroke dashstyle="solid"/>
            <w10:wrap type="topAndBottom"/>
          </v:shape>
        </w:pict>
      </w:r>
    </w:p>
    <w:p>
      <w:pPr>
        <w:pStyle w:val="BodyText"/>
        <w:spacing w:before="5"/>
      </w:pPr>
    </w:p>
    <w:p>
      <w:pPr>
        <w:pStyle w:val="BodyText"/>
        <w:spacing w:before="5"/>
      </w:pPr>
    </w:p>
    <w:p>
      <w:pPr>
        <w:pStyle w:val="BodyText"/>
        <w:spacing w:before="5"/>
      </w:pPr>
    </w:p>
    <w:p>
      <w:pPr>
        <w:pStyle w:val="BodyText"/>
        <w:spacing w:before="5"/>
      </w:pPr>
    </w:p>
    <w:p>
      <w:pPr>
        <w:pStyle w:val="BodyText"/>
        <w:spacing w:before="5"/>
      </w:pPr>
    </w:p>
    <w:p>
      <w:pPr>
        <w:pStyle w:val="BodyText"/>
        <w:spacing w:before="5"/>
      </w:pPr>
    </w:p>
    <w:p>
      <w:pPr>
        <w:pStyle w:val="BodyText"/>
        <w:spacing w:before="5"/>
      </w:pPr>
    </w:p>
    <w:p>
      <w:pPr>
        <w:pStyle w:val="BodyText"/>
        <w:spacing w:before="5"/>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1"/>
        </w:rPr>
      </w:pPr>
    </w:p>
    <w:p>
      <w:pPr>
        <w:spacing w:line="120" w:lineRule="exact" w:before="0"/>
        <w:ind w:left="63" w:right="0" w:firstLine="0"/>
        <w:jc w:val="left"/>
        <w:rPr>
          <w:sz w:val="12"/>
        </w:rPr>
      </w:pPr>
      <w:r>
        <w:rPr>
          <w:color w:val="231F20"/>
          <w:sz w:val="12"/>
        </w:rPr>
        <w:t>Ind</w:t>
      </w:r>
      <w:r>
        <w:rPr>
          <w:color w:val="231F20"/>
          <w:sz w:val="12"/>
          <w:u w:val="single" w:color="000000"/>
        </w:rPr>
        <w:t>ex</w:t>
      </w:r>
    </w:p>
    <w:p>
      <w:pPr>
        <w:spacing w:line="120" w:lineRule="exact" w:before="0"/>
        <w:ind w:left="381" w:right="0" w:firstLine="0"/>
        <w:jc w:val="left"/>
        <w:rPr>
          <w:sz w:val="12"/>
        </w:rPr>
      </w:pPr>
      <w:r>
        <w:rPr/>
        <w:pict>
          <v:group style="position:absolute;margin-left:49.612999pt;margin-top:9.524933pt;width:151.85pt;height:116.4pt;mso-position-horizontal-relative:page;mso-position-vertical-relative:paragraph;z-index:16060928" coordorigin="992,190" coordsize="3037,2328">
            <v:line style="position:absolute" from="992,1783" to="3866,1783" stroked="true" strokeweight=".5pt" strokecolor="#231f20">
              <v:stroke dashstyle="dash"/>
            </v:line>
            <v:shape style="position:absolute;left:1003;top:200;width:638;height:468" coordorigin="1003,200" coordsize="638,468" path="m1003,360l1086,298m1086,298l1168,378m1168,378l1241,215m1241,215l1323,200m1323,200l1406,378m1406,378l1486,425m1486,425l1558,523m1558,523l1641,668e" filled="false" stroked="true" strokeweight="1pt" strokecolor="#952e40">
              <v:path arrowok="t"/>
              <v:stroke dashstyle="solid"/>
            </v:shape>
            <v:line style="position:absolute" from="1631,669" to="1733,669" stroked="true" strokeweight="1.125pt" strokecolor="#952e40">
              <v:stroke dashstyle="solid"/>
            </v:line>
            <v:shape style="position:absolute;left:1723;top:425;width:1593;height:2083" coordorigin="1723,425" coordsize="1593,2083" path="m1723,668l1806,538m1806,538l1878,490m1878,490l1958,458m1958,458l2041,425m2041,425l2123,508m2123,508l2196,588m2196,588l2278,570m2278,570l2361,798m2361,798l2443,1105m2443,1105l2513,1345m2513,1345l2596,1700m2596,1700l2678,2040m2678,2040l2761,2170m2761,2170l2833,2330m2833,2330l2913,2508m2913,2508l2996,2380m2996,2380l3078,1975m3078,1975l3151,1475m3151,1475l3233,1863m3233,1863l3316,1475e" filled="false" stroked="true" strokeweight="1pt" strokecolor="#952e40">
              <v:path arrowok="t"/>
              <v:stroke dashstyle="solid"/>
            </v:shape>
            <v:shape style="position:absolute;left:3305;top:1303;width:575;height:328" type="#_x0000_t75" stroked="false">
              <v:imagedata r:id="rId105" o:title=""/>
            </v:shape>
            <v:shape style="position:absolute;left:3942;top:329;width:87;height:2035" coordorigin="3942,330" coordsize="87,2035" path="m4029,330l3942,330m4029,621l3942,621m4029,1493l3942,1493m4029,2365l3942,2365m4029,911l3942,911m4029,2074l3942,2074m4029,1202l3942,1202m4029,1783l3942,1783e" filled="false" stroked="true" strokeweight=".5pt" strokecolor="#000000">
              <v:path arrowok="t"/>
              <v:stroke dashstyle="solid"/>
            </v:shape>
            <w10:wrap type="none"/>
          </v:group>
        </w:pict>
      </w:r>
      <w:r>
        <w:rPr>
          <w:color w:val="231F20"/>
          <w:sz w:val="12"/>
        </w:rPr>
        <w:t>56</w:t>
      </w:r>
    </w:p>
    <w:p>
      <w:pPr>
        <w:pStyle w:val="BodyText"/>
        <w:spacing w:before="1"/>
        <w:rPr>
          <w:sz w:val="13"/>
        </w:rPr>
      </w:pPr>
    </w:p>
    <w:p>
      <w:pPr>
        <w:spacing w:before="1"/>
        <w:ind w:left="0" w:right="38" w:firstLine="0"/>
        <w:jc w:val="right"/>
        <w:rPr>
          <w:sz w:val="12"/>
        </w:rPr>
      </w:pPr>
      <w:r>
        <w:rPr>
          <w:color w:val="231F20"/>
          <w:sz w:val="12"/>
        </w:rPr>
        <w:t>55</w:t>
      </w:r>
    </w:p>
    <w:p>
      <w:pPr>
        <w:pStyle w:val="BodyText"/>
        <w:spacing w:before="1"/>
        <w:rPr>
          <w:sz w:val="13"/>
        </w:rPr>
      </w:pPr>
    </w:p>
    <w:p>
      <w:pPr>
        <w:spacing w:before="0"/>
        <w:ind w:left="0" w:right="38" w:firstLine="0"/>
        <w:jc w:val="right"/>
        <w:rPr>
          <w:sz w:val="12"/>
        </w:rPr>
      </w:pPr>
      <w:r>
        <w:rPr>
          <w:color w:val="231F20"/>
          <w:sz w:val="12"/>
        </w:rPr>
        <w:t>54</w:t>
      </w:r>
    </w:p>
    <w:p>
      <w:pPr>
        <w:pStyle w:val="BodyText"/>
        <w:spacing w:before="1"/>
        <w:rPr>
          <w:sz w:val="13"/>
        </w:rPr>
      </w:pPr>
    </w:p>
    <w:p>
      <w:pPr>
        <w:spacing w:before="1"/>
        <w:ind w:left="0" w:right="38" w:firstLine="0"/>
        <w:jc w:val="right"/>
        <w:rPr>
          <w:sz w:val="12"/>
        </w:rPr>
      </w:pPr>
      <w:r>
        <w:rPr>
          <w:color w:val="231F20"/>
          <w:sz w:val="12"/>
        </w:rPr>
        <w:t>53</w:t>
      </w:r>
    </w:p>
    <w:p>
      <w:pPr>
        <w:pStyle w:val="BodyText"/>
        <w:spacing w:before="1"/>
        <w:rPr>
          <w:sz w:val="13"/>
        </w:rPr>
      </w:pPr>
    </w:p>
    <w:p>
      <w:pPr>
        <w:spacing w:before="0"/>
        <w:ind w:left="0" w:right="38" w:firstLine="0"/>
        <w:jc w:val="right"/>
        <w:rPr>
          <w:sz w:val="12"/>
        </w:rPr>
      </w:pPr>
      <w:r>
        <w:rPr>
          <w:color w:val="231F20"/>
          <w:sz w:val="12"/>
        </w:rPr>
        <w:t>52</w:t>
      </w:r>
    </w:p>
    <w:p>
      <w:pPr>
        <w:pStyle w:val="BodyText"/>
        <w:spacing w:before="1"/>
        <w:rPr>
          <w:sz w:val="13"/>
        </w:rPr>
      </w:pPr>
    </w:p>
    <w:p>
      <w:pPr>
        <w:spacing w:before="1"/>
        <w:ind w:left="0" w:right="38" w:firstLine="0"/>
        <w:jc w:val="right"/>
        <w:rPr>
          <w:sz w:val="12"/>
        </w:rPr>
      </w:pPr>
      <w:r>
        <w:rPr>
          <w:color w:val="231F20"/>
          <w:sz w:val="12"/>
        </w:rPr>
        <w:t>51</w:t>
      </w:r>
    </w:p>
    <w:p>
      <w:pPr>
        <w:pStyle w:val="BodyText"/>
        <w:spacing w:before="1"/>
        <w:rPr>
          <w:sz w:val="13"/>
        </w:rPr>
      </w:pPr>
    </w:p>
    <w:p>
      <w:pPr>
        <w:spacing w:before="0"/>
        <w:ind w:left="0" w:right="38" w:firstLine="0"/>
        <w:jc w:val="right"/>
        <w:rPr>
          <w:sz w:val="12"/>
        </w:rPr>
      </w:pPr>
      <w:r>
        <w:rPr>
          <w:color w:val="231F20"/>
          <w:sz w:val="12"/>
        </w:rPr>
        <w:t>50</w:t>
      </w:r>
    </w:p>
    <w:p>
      <w:pPr>
        <w:pStyle w:val="BodyText"/>
        <w:spacing w:before="1"/>
        <w:rPr>
          <w:sz w:val="13"/>
        </w:rPr>
      </w:pPr>
    </w:p>
    <w:p>
      <w:pPr>
        <w:spacing w:before="1"/>
        <w:ind w:left="0" w:right="38" w:firstLine="0"/>
        <w:jc w:val="right"/>
        <w:rPr>
          <w:sz w:val="12"/>
        </w:rPr>
      </w:pPr>
      <w:r>
        <w:rPr>
          <w:color w:val="231F20"/>
          <w:sz w:val="12"/>
        </w:rPr>
        <w:t>49</w:t>
      </w:r>
    </w:p>
    <w:p>
      <w:pPr>
        <w:pStyle w:val="BodyText"/>
        <w:spacing w:before="1"/>
        <w:rPr>
          <w:sz w:val="13"/>
        </w:rPr>
      </w:pPr>
    </w:p>
    <w:p>
      <w:pPr>
        <w:spacing w:before="0"/>
        <w:ind w:left="0" w:right="38" w:firstLine="0"/>
        <w:jc w:val="right"/>
        <w:rPr>
          <w:sz w:val="12"/>
        </w:rPr>
      </w:pPr>
      <w:r>
        <w:rPr>
          <w:color w:val="231F20"/>
          <w:sz w:val="12"/>
        </w:rPr>
        <w:t>48</w:t>
      </w:r>
    </w:p>
    <w:p>
      <w:pPr>
        <w:pStyle w:val="BodyText"/>
        <w:spacing w:before="2"/>
        <w:rPr>
          <w:sz w:val="13"/>
        </w:rPr>
      </w:pPr>
    </w:p>
    <w:p>
      <w:pPr>
        <w:spacing w:before="0"/>
        <w:ind w:left="0" w:right="38" w:firstLine="0"/>
        <w:jc w:val="right"/>
        <w:rPr>
          <w:sz w:val="12"/>
        </w:rPr>
      </w:pPr>
      <w:r>
        <w:rPr/>
        <w:pict>
          <v:line style="position:absolute;mso-position-horizontal-relative:page;mso-position-vertical-relative:paragraph;z-index:16062464" from="201.447007pt,3.621338pt" to="197.113007pt,3.621338pt" stroked="true" strokeweight=".5pt" strokecolor="#000000">
            <v:stroke dashstyle="solid"/>
            <w10:wrap type="none"/>
          </v:line>
        </w:pict>
      </w:r>
      <w:r>
        <w:rPr>
          <w:color w:val="231F20"/>
          <w:sz w:val="12"/>
        </w:rPr>
        <w:t>47</w:t>
      </w:r>
    </w:p>
    <w:p>
      <w:pPr>
        <w:pStyle w:val="BodyText"/>
        <w:spacing w:before="7"/>
        <w:rPr>
          <w:sz w:val="20"/>
        </w:rPr>
      </w:pPr>
      <w:r>
        <w:rPr/>
        <w:br w:type="column"/>
      </w:r>
      <w:r>
        <w:rPr>
          <w:sz w:val="20"/>
        </w:rPr>
      </w:r>
    </w:p>
    <w:p>
      <w:pPr>
        <w:pStyle w:val="Heading6"/>
        <w:spacing w:line="242" w:lineRule="auto"/>
        <w:ind w:left="205" w:right="170"/>
      </w:pPr>
      <w:r>
        <w:rPr/>
        <w:t>services sector, one part of the economy not covered by the CIPS, remained strong in Q4. Turning to</w:t>
      </w:r>
    </w:p>
    <w:p>
      <w:pPr>
        <w:spacing w:line="242" w:lineRule="auto" w:before="3"/>
        <w:ind w:left="205" w:right="170" w:firstLine="0"/>
        <w:jc w:val="left"/>
        <w:rPr>
          <w:sz w:val="24"/>
        </w:rPr>
      </w:pPr>
      <w:r>
        <w:rPr>
          <w:sz w:val="24"/>
        </w:rPr>
        <w:t>forward-looking indicators, Table 3.B shows that the balances of respondents to both the BCC and CBI surveys of manufacturing firms, and to the BCC survey of service sector firms, who planned to recruit during the next few months were all above their sample averages in 1999 Q4. Recent Bank work has found that, historically, these survey balances have provided incremental information about changes in employment over the subsequent quarter. On that basis, employment might be expected to increase further in 2000 Q1.</w:t>
      </w:r>
    </w:p>
    <w:p>
      <w:pPr>
        <w:spacing w:after="0" w:line="242" w:lineRule="auto"/>
        <w:jc w:val="left"/>
        <w:rPr>
          <w:sz w:val="24"/>
        </w:rPr>
        <w:sectPr>
          <w:type w:val="continuous"/>
          <w:pgSz w:w="11900" w:h="16840"/>
          <w:pgMar w:top="1220" w:bottom="280" w:left="620" w:right="640"/>
          <w:cols w:num="3" w:equalWidth="0">
            <w:col w:w="3033" w:space="40"/>
            <w:col w:w="542" w:space="1150"/>
            <w:col w:w="5875"/>
          </w:cols>
        </w:sectPr>
      </w:pPr>
    </w:p>
    <w:p>
      <w:pPr>
        <w:pStyle w:val="BodyText"/>
        <w:spacing w:before="1"/>
        <w:rPr>
          <w:sz w:val="13"/>
        </w:rPr>
      </w:pPr>
    </w:p>
    <w:p>
      <w:pPr>
        <w:spacing w:line="138" w:lineRule="exact" w:before="0"/>
        <w:ind w:left="3453" w:right="0" w:firstLine="0"/>
        <w:jc w:val="left"/>
        <w:rPr>
          <w:sz w:val="12"/>
        </w:rPr>
      </w:pPr>
      <w:r>
        <w:rPr/>
        <w:pict>
          <v:line style="position:absolute;mso-position-horizontal-relative:page;mso-position-vertical-relative:paragraph;z-index:16061440" from="45.279999pt,3.64257pt" to="40.946999pt,3.64257pt" stroked="true" strokeweight=".5pt" strokecolor="#000000">
            <v:stroke dashstyle="solid"/>
            <w10:wrap type="none"/>
          </v:line>
        </w:pict>
      </w:r>
      <w:r>
        <w:rPr/>
        <w:pict>
          <v:line style="position:absolute;mso-position-horizontal-relative:page;mso-position-vertical-relative:paragraph;z-index:16061952" from="201.447007pt,3.70557pt" to="197.113007pt,3.70557pt" stroked="true" strokeweight=".5pt" strokecolor="#000000">
            <v:stroke dashstyle="solid"/>
            <w10:wrap type="none"/>
          </v:line>
        </w:pict>
      </w:r>
      <w:r>
        <w:rPr/>
        <w:pict>
          <v:shape style="position:absolute;margin-left:49.481998pt;margin-top:-1.00343pt;width:143.7pt;height:4.7pt;mso-position-horizontal-relative:page;mso-position-vertical-relative:paragraph;z-index:16062976" coordorigin="990,-20" coordsize="2874,94" path="m990,-20l990,73m992,74l3863,74m1300,20l1300,73m1766,20l1766,73m2698,20l2698,73m3630,20l3630,73m2077,20l2077,73m3009,20l3009,73m3786,-20l3786,73m1145,20l1145,73m1456,20l1456,73m2232,20l2232,73m3164,20l3164,73m2388,20l2388,73m3320,20l3320,73m1611,20l1611,73m2543,20l2543,73m3475,20l3475,73m1922,-20l1922,73m2854,-20l2854,73m1067,20l1067,73m1378,20l1378,73m1844,20l1844,73m2776,20l2776,73m3708,20l3708,73m2155,20l2155,73m3087,20l3087,73m3863,20l3863,73m1223,20l1223,73m1533,20l1533,73m2310,20l2310,73m3242,20l3242,73m2465,20l2465,73m3397,20l3397,73m1689,20l1689,73m2621,20l2621,73m3553,20l3553,73m1999,20l1999,73m2931,20l2931,73e" filled="false" stroked="true" strokeweight=".5pt" strokecolor="#000000">
            <v:path arrowok="t"/>
            <v:stroke dashstyle="solid"/>
            <w10:wrap type="none"/>
          </v:shape>
        </w:pict>
      </w:r>
      <w:r>
        <w:rPr>
          <w:color w:val="231F20"/>
          <w:sz w:val="12"/>
        </w:rPr>
        <w:t>46</w:t>
      </w:r>
    </w:p>
    <w:p>
      <w:pPr>
        <w:tabs>
          <w:tab w:pos="1691" w:val="left" w:leader="none"/>
          <w:tab w:pos="2653" w:val="left" w:leader="none"/>
          <w:tab w:pos="3133" w:val="left" w:leader="none"/>
        </w:tabs>
        <w:spacing w:line="138" w:lineRule="exact" w:before="0"/>
        <w:ind w:left="703" w:right="0" w:firstLine="0"/>
        <w:jc w:val="left"/>
        <w:rPr>
          <w:sz w:val="12"/>
        </w:rPr>
      </w:pPr>
      <w:r>
        <w:rPr>
          <w:color w:val="231F20"/>
          <w:sz w:val="12"/>
        </w:rPr>
        <w:t>1997</w:t>
        <w:tab/>
        <w:t>98</w:t>
        <w:tab/>
        <w:t>99</w:t>
        <w:tab/>
        <w:t>2000</w:t>
      </w:r>
    </w:p>
    <w:p>
      <w:pPr>
        <w:spacing w:before="66"/>
        <w:ind w:left="205" w:right="0" w:firstLine="0"/>
        <w:jc w:val="left"/>
        <w:rPr>
          <w:sz w:val="12"/>
        </w:rPr>
      </w:pPr>
      <w:r>
        <w:rPr>
          <w:sz w:val="12"/>
        </w:rPr>
        <w:t>Source: Chartered Institute of Purchasing and Supply.</w:t>
      </w:r>
    </w:p>
    <w:p>
      <w:pPr>
        <w:pStyle w:val="BodyText"/>
        <w:spacing w:before="2"/>
        <w:rPr>
          <w:sz w:val="10"/>
        </w:rPr>
      </w:pPr>
    </w:p>
    <w:p>
      <w:pPr>
        <w:spacing w:line="208" w:lineRule="auto" w:before="0"/>
        <w:ind w:left="445" w:right="560" w:hanging="240"/>
        <w:jc w:val="left"/>
        <w:rPr>
          <w:sz w:val="12"/>
        </w:rPr>
      </w:pPr>
      <w:r>
        <w:rPr>
          <w:sz w:val="12"/>
        </w:rPr>
        <w:t>(a) Weighted index of data on manufacturing, services and </w:t>
      </w:r>
      <w:r>
        <w:rPr>
          <w:spacing w:val="-2"/>
          <w:sz w:val="12"/>
        </w:rPr>
        <w:t>construction. </w:t>
      </w:r>
      <w:r>
        <w:rPr>
          <w:sz w:val="12"/>
        </w:rPr>
        <w:t>A result of 50 indicates no change on the previous month.</w:t>
      </w:r>
    </w:p>
    <w:p>
      <w:pPr>
        <w:pStyle w:val="BodyText"/>
        <w:rPr>
          <w:sz w:val="12"/>
        </w:rPr>
      </w:pPr>
    </w:p>
    <w:p>
      <w:pPr>
        <w:pStyle w:val="BodyText"/>
        <w:rPr>
          <w:sz w:val="12"/>
        </w:rPr>
      </w:pPr>
    </w:p>
    <w:p>
      <w:pPr>
        <w:pStyle w:val="BodyText"/>
        <w:rPr>
          <w:sz w:val="12"/>
        </w:rPr>
      </w:pPr>
    </w:p>
    <w:p>
      <w:pPr>
        <w:pStyle w:val="BodyText"/>
        <w:spacing w:before="4"/>
        <w:rPr>
          <w:sz w:val="10"/>
        </w:rPr>
      </w:pPr>
    </w:p>
    <w:p>
      <w:pPr>
        <w:pStyle w:val="Heading9"/>
        <w:spacing w:before="0"/>
        <w:ind w:left="205"/>
      </w:pPr>
      <w:r>
        <w:rPr>
          <w:color w:val="0093C1"/>
        </w:rPr>
        <w:t>Table 3.B</w:t>
      </w:r>
    </w:p>
    <w:p>
      <w:pPr>
        <w:spacing w:before="10"/>
        <w:ind w:left="205" w:right="0" w:firstLine="0"/>
        <w:jc w:val="left"/>
        <w:rPr>
          <w:sz w:val="12"/>
        </w:rPr>
      </w:pPr>
      <w:r>
        <w:rPr>
          <w:b/>
          <w:color w:val="0093C1"/>
          <w:sz w:val="20"/>
        </w:rPr>
        <w:t>Surveys of employment intentions</w:t>
      </w:r>
      <w:r>
        <w:rPr>
          <w:position w:val="4"/>
          <w:sz w:val="12"/>
        </w:rPr>
        <w:t>(a)</w:t>
      </w:r>
    </w:p>
    <w:p>
      <w:pPr>
        <w:spacing w:before="106"/>
        <w:ind w:left="205" w:right="0" w:firstLine="0"/>
        <w:jc w:val="left"/>
        <w:rPr>
          <w:sz w:val="12"/>
        </w:rPr>
      </w:pPr>
      <w:r>
        <w:rPr>
          <w:sz w:val="14"/>
        </w:rPr>
        <w:t>Percentage balance of employers planning to recruit in next period </w:t>
      </w:r>
      <w:r>
        <w:rPr>
          <w:sz w:val="12"/>
        </w:rPr>
        <w:t>(b)</w:t>
      </w:r>
    </w:p>
    <w:p>
      <w:pPr>
        <w:tabs>
          <w:tab w:pos="2111" w:val="left" w:leader="none"/>
          <w:tab w:pos="4254" w:val="left" w:leader="none"/>
        </w:tabs>
        <w:spacing w:line="150" w:lineRule="exact" w:before="119"/>
        <w:ind w:left="1426" w:right="0" w:firstLine="0"/>
        <w:jc w:val="left"/>
        <w:rPr>
          <w:sz w:val="14"/>
        </w:rPr>
      </w:pPr>
      <w:r>
        <w:rPr>
          <w:sz w:val="14"/>
        </w:rPr>
        <w:t>Series</w:t>
        <w:tab/>
      </w:r>
      <w:r>
        <w:rPr>
          <w:sz w:val="14"/>
          <w:u w:val="single"/>
        </w:rPr>
        <w:t>1998</w:t>
      </w:r>
      <w:r>
        <w:rPr>
          <w:sz w:val="14"/>
        </w:rPr>
        <w:t>   </w:t>
      </w:r>
      <w:r>
        <w:rPr>
          <w:spacing w:val="13"/>
          <w:sz w:val="14"/>
        </w:rPr>
        <w:t> </w:t>
      </w:r>
      <w:r>
        <w:rPr>
          <w:sz w:val="14"/>
          <w:u w:val="single"/>
        </w:rPr>
        <w:t>1999</w:t>
        <w:tab/>
      </w:r>
    </w:p>
    <w:p>
      <w:pPr>
        <w:tabs>
          <w:tab w:pos="3067" w:val="left" w:leader="none"/>
        </w:tabs>
        <w:spacing w:line="150" w:lineRule="exact" w:before="0"/>
        <w:ind w:left="1426" w:right="0" w:firstLine="0"/>
        <w:jc w:val="left"/>
        <w:rPr>
          <w:sz w:val="14"/>
        </w:rPr>
      </w:pPr>
      <w:r>
        <w:rPr>
          <w:sz w:val="14"/>
          <w:u w:val="single"/>
        </w:rPr>
        <w:t>average </w:t>
      </w:r>
      <w:r>
        <w:rPr>
          <w:sz w:val="12"/>
          <w:u w:val="single"/>
        </w:rPr>
        <w:t>(c</w:t>
      </w:r>
      <w:r>
        <w:rPr>
          <w:sz w:val="12"/>
        </w:rPr>
        <w:t>) </w:t>
      </w:r>
      <w:r>
        <w:rPr>
          <w:spacing w:val="20"/>
          <w:sz w:val="12"/>
        </w:rPr>
        <w:t> </w:t>
      </w:r>
      <w:r>
        <w:rPr>
          <w:sz w:val="14"/>
          <w:u w:val="single"/>
        </w:rPr>
        <w:t>Q4   </w:t>
      </w:r>
      <w:r>
        <w:rPr>
          <w:sz w:val="14"/>
        </w:rPr>
        <w:t>   </w:t>
      </w:r>
      <w:r>
        <w:rPr>
          <w:spacing w:val="16"/>
          <w:sz w:val="14"/>
        </w:rPr>
        <w:t> </w:t>
      </w:r>
      <w:r>
        <w:rPr>
          <w:sz w:val="14"/>
          <w:u w:val="single"/>
        </w:rPr>
        <w:t>Q1</w:t>
      </w:r>
      <w:r>
        <w:rPr>
          <w:sz w:val="14"/>
        </w:rPr>
        <w:tab/>
      </w:r>
      <w:r>
        <w:rPr>
          <w:sz w:val="14"/>
          <w:u w:val="single"/>
        </w:rPr>
        <w:t> Q2 Q3</w:t>
      </w:r>
      <w:r>
        <w:rPr>
          <w:spacing w:val="17"/>
          <w:sz w:val="14"/>
        </w:rPr>
        <w:t> </w:t>
      </w:r>
      <w:r>
        <w:rPr>
          <w:sz w:val="14"/>
        </w:rPr>
        <w:t>Q4</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8"/>
        <w:gridCol w:w="609"/>
        <w:gridCol w:w="528"/>
        <w:gridCol w:w="481"/>
        <w:gridCol w:w="478"/>
        <w:gridCol w:w="556"/>
        <w:gridCol w:w="270"/>
      </w:tblGrid>
      <w:tr>
        <w:trPr>
          <w:trHeight w:val="250" w:hRule="atLeast"/>
        </w:trPr>
        <w:tc>
          <w:tcPr>
            <w:tcW w:w="1188" w:type="dxa"/>
          </w:tcPr>
          <w:p>
            <w:pPr>
              <w:pStyle w:val="TableParagraph"/>
              <w:spacing w:line="133" w:lineRule="exact" w:before="96"/>
              <w:ind w:left="50"/>
              <w:rPr>
                <w:b/>
                <w:sz w:val="14"/>
              </w:rPr>
            </w:pPr>
            <w:r>
              <w:rPr>
                <w:b/>
                <w:sz w:val="14"/>
              </w:rPr>
              <w:t>Services</w:t>
            </w:r>
          </w:p>
        </w:tc>
        <w:tc>
          <w:tcPr>
            <w:tcW w:w="2922" w:type="dxa"/>
            <w:gridSpan w:val="6"/>
          </w:tcPr>
          <w:p>
            <w:pPr>
              <w:pStyle w:val="TableParagraph"/>
              <w:rPr>
                <w:sz w:val="18"/>
              </w:rPr>
            </w:pPr>
          </w:p>
        </w:tc>
      </w:tr>
      <w:tr>
        <w:trPr>
          <w:trHeight w:val="140" w:hRule="atLeast"/>
        </w:trPr>
        <w:tc>
          <w:tcPr>
            <w:tcW w:w="1188" w:type="dxa"/>
          </w:tcPr>
          <w:p>
            <w:pPr>
              <w:pStyle w:val="TableParagraph"/>
              <w:spacing w:line="120" w:lineRule="exact"/>
              <w:ind w:left="50"/>
              <w:rPr>
                <w:sz w:val="14"/>
              </w:rPr>
            </w:pPr>
            <w:r>
              <w:rPr>
                <w:sz w:val="14"/>
              </w:rPr>
              <w:t>BCC</w:t>
            </w:r>
          </w:p>
        </w:tc>
        <w:tc>
          <w:tcPr>
            <w:tcW w:w="609" w:type="dxa"/>
          </w:tcPr>
          <w:p>
            <w:pPr>
              <w:pStyle w:val="TableParagraph"/>
              <w:spacing w:line="120" w:lineRule="exact"/>
              <w:ind w:left="207" w:right="127"/>
              <w:jc w:val="center"/>
              <w:rPr>
                <w:sz w:val="14"/>
              </w:rPr>
            </w:pPr>
            <w:r>
              <w:rPr>
                <w:sz w:val="14"/>
              </w:rPr>
              <w:t>12</w:t>
            </w:r>
          </w:p>
        </w:tc>
        <w:tc>
          <w:tcPr>
            <w:tcW w:w="528" w:type="dxa"/>
          </w:tcPr>
          <w:p>
            <w:pPr>
              <w:pStyle w:val="TableParagraph"/>
              <w:spacing w:line="120" w:lineRule="exact"/>
              <w:ind w:right="145"/>
              <w:jc w:val="right"/>
              <w:rPr>
                <w:sz w:val="14"/>
              </w:rPr>
            </w:pPr>
            <w:r>
              <w:rPr>
                <w:sz w:val="14"/>
              </w:rPr>
              <w:t>15</w:t>
            </w:r>
          </w:p>
        </w:tc>
        <w:tc>
          <w:tcPr>
            <w:tcW w:w="481" w:type="dxa"/>
          </w:tcPr>
          <w:p>
            <w:pPr>
              <w:pStyle w:val="TableParagraph"/>
              <w:spacing w:line="120" w:lineRule="exact"/>
              <w:ind w:left="93" w:right="48"/>
              <w:jc w:val="center"/>
              <w:rPr>
                <w:sz w:val="14"/>
              </w:rPr>
            </w:pPr>
            <w:r>
              <w:rPr>
                <w:sz w:val="14"/>
              </w:rPr>
              <w:t>12</w:t>
            </w:r>
          </w:p>
        </w:tc>
        <w:tc>
          <w:tcPr>
            <w:tcW w:w="478" w:type="dxa"/>
          </w:tcPr>
          <w:p>
            <w:pPr>
              <w:pStyle w:val="TableParagraph"/>
              <w:spacing w:line="120" w:lineRule="exact"/>
              <w:ind w:left="126" w:right="78"/>
              <w:jc w:val="center"/>
              <w:rPr>
                <w:sz w:val="14"/>
              </w:rPr>
            </w:pPr>
            <w:r>
              <w:rPr>
                <w:sz w:val="14"/>
              </w:rPr>
              <w:t>16</w:t>
            </w:r>
          </w:p>
        </w:tc>
        <w:tc>
          <w:tcPr>
            <w:tcW w:w="556" w:type="dxa"/>
          </w:tcPr>
          <w:p>
            <w:pPr>
              <w:pStyle w:val="TableParagraph"/>
              <w:spacing w:line="120" w:lineRule="exact"/>
              <w:ind w:left="190"/>
              <w:rPr>
                <w:sz w:val="14"/>
              </w:rPr>
            </w:pPr>
            <w:r>
              <w:rPr>
                <w:sz w:val="14"/>
              </w:rPr>
              <w:t>21</w:t>
            </w:r>
          </w:p>
        </w:tc>
        <w:tc>
          <w:tcPr>
            <w:tcW w:w="270" w:type="dxa"/>
          </w:tcPr>
          <w:p>
            <w:pPr>
              <w:pStyle w:val="TableParagraph"/>
              <w:spacing w:line="120" w:lineRule="exact"/>
              <w:ind w:right="62"/>
              <w:jc w:val="right"/>
              <w:rPr>
                <w:sz w:val="14"/>
              </w:rPr>
            </w:pPr>
            <w:r>
              <w:rPr>
                <w:sz w:val="14"/>
              </w:rPr>
              <w:t>21</w:t>
            </w:r>
          </w:p>
        </w:tc>
      </w:tr>
      <w:tr>
        <w:trPr>
          <w:trHeight w:val="140" w:hRule="atLeast"/>
        </w:trPr>
        <w:tc>
          <w:tcPr>
            <w:tcW w:w="1188" w:type="dxa"/>
          </w:tcPr>
          <w:p>
            <w:pPr>
              <w:pStyle w:val="TableParagraph"/>
              <w:spacing w:line="120" w:lineRule="exact"/>
              <w:ind w:left="50"/>
              <w:rPr>
                <w:b/>
                <w:sz w:val="14"/>
              </w:rPr>
            </w:pPr>
            <w:r>
              <w:rPr>
                <w:b/>
                <w:sz w:val="14"/>
              </w:rPr>
              <w:t>Manufacturing</w:t>
            </w:r>
          </w:p>
        </w:tc>
        <w:tc>
          <w:tcPr>
            <w:tcW w:w="609" w:type="dxa"/>
          </w:tcPr>
          <w:p>
            <w:pPr>
              <w:pStyle w:val="TableParagraph"/>
              <w:rPr>
                <w:sz w:val="8"/>
              </w:rPr>
            </w:pPr>
          </w:p>
        </w:tc>
        <w:tc>
          <w:tcPr>
            <w:tcW w:w="528" w:type="dxa"/>
          </w:tcPr>
          <w:p>
            <w:pPr>
              <w:pStyle w:val="TableParagraph"/>
              <w:rPr>
                <w:sz w:val="8"/>
              </w:rPr>
            </w:pPr>
          </w:p>
        </w:tc>
        <w:tc>
          <w:tcPr>
            <w:tcW w:w="481" w:type="dxa"/>
          </w:tcPr>
          <w:p>
            <w:pPr>
              <w:pStyle w:val="TableParagraph"/>
              <w:rPr>
                <w:sz w:val="8"/>
              </w:rPr>
            </w:pPr>
          </w:p>
        </w:tc>
        <w:tc>
          <w:tcPr>
            <w:tcW w:w="478" w:type="dxa"/>
          </w:tcPr>
          <w:p>
            <w:pPr>
              <w:pStyle w:val="TableParagraph"/>
              <w:rPr>
                <w:sz w:val="8"/>
              </w:rPr>
            </w:pPr>
          </w:p>
        </w:tc>
        <w:tc>
          <w:tcPr>
            <w:tcW w:w="556" w:type="dxa"/>
          </w:tcPr>
          <w:p>
            <w:pPr>
              <w:pStyle w:val="TableParagraph"/>
              <w:rPr>
                <w:sz w:val="8"/>
              </w:rPr>
            </w:pPr>
          </w:p>
        </w:tc>
        <w:tc>
          <w:tcPr>
            <w:tcW w:w="270" w:type="dxa"/>
          </w:tcPr>
          <w:p>
            <w:pPr>
              <w:pStyle w:val="TableParagraph"/>
              <w:rPr>
                <w:sz w:val="8"/>
              </w:rPr>
            </w:pPr>
          </w:p>
        </w:tc>
      </w:tr>
      <w:tr>
        <w:trPr>
          <w:trHeight w:val="140" w:hRule="atLeast"/>
        </w:trPr>
        <w:tc>
          <w:tcPr>
            <w:tcW w:w="1188" w:type="dxa"/>
          </w:tcPr>
          <w:p>
            <w:pPr>
              <w:pStyle w:val="TableParagraph"/>
              <w:spacing w:line="120" w:lineRule="exact"/>
              <w:ind w:left="50"/>
              <w:rPr>
                <w:sz w:val="14"/>
              </w:rPr>
            </w:pPr>
            <w:r>
              <w:rPr>
                <w:sz w:val="14"/>
              </w:rPr>
              <w:t>BCC</w:t>
            </w:r>
          </w:p>
        </w:tc>
        <w:tc>
          <w:tcPr>
            <w:tcW w:w="609" w:type="dxa"/>
          </w:tcPr>
          <w:p>
            <w:pPr>
              <w:pStyle w:val="TableParagraph"/>
              <w:spacing w:line="120" w:lineRule="exact"/>
              <w:ind w:left="150"/>
              <w:jc w:val="center"/>
              <w:rPr>
                <w:sz w:val="14"/>
              </w:rPr>
            </w:pPr>
            <w:r>
              <w:rPr>
                <w:sz w:val="14"/>
              </w:rPr>
              <w:t>3</w:t>
            </w:r>
          </w:p>
        </w:tc>
        <w:tc>
          <w:tcPr>
            <w:tcW w:w="528" w:type="dxa"/>
          </w:tcPr>
          <w:p>
            <w:pPr>
              <w:pStyle w:val="TableParagraph"/>
              <w:spacing w:line="120" w:lineRule="exact"/>
              <w:ind w:right="145"/>
              <w:jc w:val="right"/>
              <w:rPr>
                <w:sz w:val="14"/>
              </w:rPr>
            </w:pPr>
            <w:r>
              <w:rPr>
                <w:sz w:val="14"/>
              </w:rPr>
              <w:t>-7</w:t>
            </w:r>
          </w:p>
        </w:tc>
        <w:tc>
          <w:tcPr>
            <w:tcW w:w="481" w:type="dxa"/>
          </w:tcPr>
          <w:p>
            <w:pPr>
              <w:pStyle w:val="TableParagraph"/>
              <w:spacing w:line="120" w:lineRule="exact"/>
              <w:ind w:left="93" w:right="24"/>
              <w:jc w:val="center"/>
              <w:rPr>
                <w:sz w:val="14"/>
              </w:rPr>
            </w:pPr>
            <w:r>
              <w:rPr>
                <w:sz w:val="14"/>
              </w:rPr>
              <w:t>-6</w:t>
            </w:r>
          </w:p>
        </w:tc>
        <w:tc>
          <w:tcPr>
            <w:tcW w:w="478" w:type="dxa"/>
          </w:tcPr>
          <w:p>
            <w:pPr>
              <w:pStyle w:val="TableParagraph"/>
              <w:spacing w:line="120" w:lineRule="exact"/>
              <w:ind w:left="118"/>
              <w:jc w:val="center"/>
              <w:rPr>
                <w:sz w:val="14"/>
              </w:rPr>
            </w:pPr>
            <w:r>
              <w:rPr>
                <w:sz w:val="14"/>
              </w:rPr>
              <w:t>2</w:t>
            </w:r>
          </w:p>
        </w:tc>
        <w:tc>
          <w:tcPr>
            <w:tcW w:w="556" w:type="dxa"/>
          </w:tcPr>
          <w:p>
            <w:pPr>
              <w:pStyle w:val="TableParagraph"/>
              <w:spacing w:line="120" w:lineRule="exact"/>
              <w:ind w:left="260"/>
              <w:rPr>
                <w:sz w:val="14"/>
              </w:rPr>
            </w:pPr>
            <w:r>
              <w:rPr>
                <w:sz w:val="14"/>
              </w:rPr>
              <w:t>6</w:t>
            </w:r>
          </w:p>
        </w:tc>
        <w:tc>
          <w:tcPr>
            <w:tcW w:w="270" w:type="dxa"/>
          </w:tcPr>
          <w:p>
            <w:pPr>
              <w:pStyle w:val="TableParagraph"/>
              <w:spacing w:line="120" w:lineRule="exact"/>
              <w:ind w:right="62"/>
              <w:jc w:val="right"/>
              <w:rPr>
                <w:sz w:val="14"/>
              </w:rPr>
            </w:pPr>
            <w:r>
              <w:rPr>
                <w:sz w:val="14"/>
              </w:rPr>
              <w:t>12</w:t>
            </w:r>
          </w:p>
        </w:tc>
      </w:tr>
      <w:tr>
        <w:trPr>
          <w:trHeight w:val="147" w:hRule="atLeast"/>
        </w:trPr>
        <w:tc>
          <w:tcPr>
            <w:tcW w:w="1188" w:type="dxa"/>
          </w:tcPr>
          <w:p>
            <w:pPr>
              <w:pStyle w:val="TableParagraph"/>
              <w:spacing w:line="128" w:lineRule="exact"/>
              <w:ind w:left="50"/>
              <w:rPr>
                <w:sz w:val="14"/>
              </w:rPr>
            </w:pPr>
            <w:r>
              <w:rPr>
                <w:sz w:val="14"/>
              </w:rPr>
              <w:t>CBI</w:t>
            </w:r>
          </w:p>
        </w:tc>
        <w:tc>
          <w:tcPr>
            <w:tcW w:w="609" w:type="dxa"/>
          </w:tcPr>
          <w:p>
            <w:pPr>
              <w:pStyle w:val="TableParagraph"/>
              <w:spacing w:line="128" w:lineRule="exact"/>
              <w:ind w:left="207" w:right="174"/>
              <w:jc w:val="center"/>
              <w:rPr>
                <w:sz w:val="14"/>
              </w:rPr>
            </w:pPr>
            <w:r>
              <w:rPr>
                <w:sz w:val="14"/>
              </w:rPr>
              <w:t>-17</w:t>
            </w:r>
          </w:p>
        </w:tc>
        <w:tc>
          <w:tcPr>
            <w:tcW w:w="528" w:type="dxa"/>
          </w:tcPr>
          <w:p>
            <w:pPr>
              <w:pStyle w:val="TableParagraph"/>
              <w:spacing w:line="128" w:lineRule="exact"/>
              <w:ind w:right="145"/>
              <w:jc w:val="right"/>
              <w:rPr>
                <w:sz w:val="14"/>
              </w:rPr>
            </w:pPr>
            <w:r>
              <w:rPr>
                <w:sz w:val="14"/>
              </w:rPr>
              <w:t>-31</w:t>
            </w:r>
          </w:p>
        </w:tc>
        <w:tc>
          <w:tcPr>
            <w:tcW w:w="481" w:type="dxa"/>
          </w:tcPr>
          <w:p>
            <w:pPr>
              <w:pStyle w:val="TableParagraph"/>
              <w:spacing w:line="128" w:lineRule="exact"/>
              <w:ind w:left="93" w:right="93"/>
              <w:jc w:val="center"/>
              <w:rPr>
                <w:sz w:val="14"/>
              </w:rPr>
            </w:pPr>
            <w:r>
              <w:rPr>
                <w:sz w:val="14"/>
              </w:rPr>
              <w:t>-26</w:t>
            </w:r>
          </w:p>
        </w:tc>
        <w:tc>
          <w:tcPr>
            <w:tcW w:w="478" w:type="dxa"/>
          </w:tcPr>
          <w:p>
            <w:pPr>
              <w:pStyle w:val="TableParagraph"/>
              <w:spacing w:line="128" w:lineRule="exact"/>
              <w:ind w:left="126" w:right="125"/>
              <w:jc w:val="center"/>
              <w:rPr>
                <w:sz w:val="14"/>
              </w:rPr>
            </w:pPr>
            <w:r>
              <w:rPr>
                <w:sz w:val="14"/>
              </w:rPr>
              <w:t>-22</w:t>
            </w:r>
          </w:p>
        </w:tc>
        <w:tc>
          <w:tcPr>
            <w:tcW w:w="556" w:type="dxa"/>
          </w:tcPr>
          <w:p>
            <w:pPr>
              <w:pStyle w:val="TableParagraph"/>
              <w:spacing w:line="128" w:lineRule="exact"/>
              <w:ind w:left="143"/>
              <w:rPr>
                <w:sz w:val="14"/>
              </w:rPr>
            </w:pPr>
            <w:r>
              <w:rPr>
                <w:sz w:val="14"/>
              </w:rPr>
              <w:t>-15</w:t>
            </w:r>
          </w:p>
        </w:tc>
        <w:tc>
          <w:tcPr>
            <w:tcW w:w="270" w:type="dxa"/>
          </w:tcPr>
          <w:p>
            <w:pPr>
              <w:pStyle w:val="TableParagraph"/>
              <w:spacing w:line="128" w:lineRule="exact"/>
              <w:ind w:right="62"/>
              <w:jc w:val="right"/>
              <w:rPr>
                <w:sz w:val="14"/>
              </w:rPr>
            </w:pPr>
            <w:r>
              <w:rPr>
                <w:sz w:val="14"/>
              </w:rPr>
              <w:t>-10</w:t>
            </w:r>
          </w:p>
        </w:tc>
      </w:tr>
    </w:tbl>
    <w:p>
      <w:pPr>
        <w:pStyle w:val="ListParagraph"/>
        <w:numPr>
          <w:ilvl w:val="0"/>
          <w:numId w:val="21"/>
        </w:numPr>
        <w:tabs>
          <w:tab w:pos="446" w:val="left" w:leader="none"/>
        </w:tabs>
        <w:spacing w:line="129" w:lineRule="exact" w:before="140" w:after="0"/>
        <w:ind w:left="445" w:right="0" w:hanging="241"/>
        <w:jc w:val="left"/>
        <w:rPr>
          <w:sz w:val="12"/>
        </w:rPr>
      </w:pPr>
      <w:r>
        <w:rPr>
          <w:sz w:val="12"/>
        </w:rPr>
        <w:t>Seasonally adjusted by the Bank.</w:t>
      </w:r>
    </w:p>
    <w:p>
      <w:pPr>
        <w:pStyle w:val="ListParagraph"/>
        <w:numPr>
          <w:ilvl w:val="0"/>
          <w:numId w:val="21"/>
        </w:numPr>
        <w:tabs>
          <w:tab w:pos="446" w:val="left" w:leader="none"/>
        </w:tabs>
        <w:spacing w:line="120" w:lineRule="exact" w:before="0" w:after="0"/>
        <w:ind w:left="445" w:right="0" w:hanging="241"/>
        <w:jc w:val="left"/>
        <w:rPr>
          <w:sz w:val="12"/>
        </w:rPr>
      </w:pPr>
      <w:r>
        <w:rPr>
          <w:sz w:val="12"/>
        </w:rPr>
        <w:t>Next three months for BCC; next four months for CBI.</w:t>
      </w:r>
    </w:p>
    <w:p>
      <w:pPr>
        <w:pStyle w:val="ListParagraph"/>
        <w:numPr>
          <w:ilvl w:val="0"/>
          <w:numId w:val="21"/>
        </w:numPr>
        <w:tabs>
          <w:tab w:pos="446" w:val="left" w:leader="none"/>
        </w:tabs>
        <w:spacing w:line="129" w:lineRule="exact" w:before="0" w:after="0"/>
        <w:ind w:left="445" w:right="0" w:hanging="241"/>
        <w:jc w:val="left"/>
        <w:rPr>
          <w:sz w:val="12"/>
        </w:rPr>
      </w:pPr>
      <w:r>
        <w:rPr>
          <w:sz w:val="12"/>
        </w:rPr>
        <w:t>CBI from 1972; BCC from 1989.</w:t>
      </w:r>
    </w:p>
    <w:p>
      <w:pPr>
        <w:pStyle w:val="BodyText"/>
        <w:rPr>
          <w:sz w:val="12"/>
        </w:rPr>
      </w:pPr>
    </w:p>
    <w:p>
      <w:pPr>
        <w:pStyle w:val="BodyText"/>
        <w:rPr>
          <w:sz w:val="12"/>
        </w:rPr>
      </w:pPr>
    </w:p>
    <w:p>
      <w:pPr>
        <w:pStyle w:val="BodyText"/>
        <w:rPr>
          <w:sz w:val="12"/>
        </w:rPr>
      </w:pPr>
    </w:p>
    <w:p>
      <w:pPr>
        <w:pStyle w:val="BodyText"/>
        <w:rPr>
          <w:sz w:val="12"/>
        </w:rPr>
      </w:pPr>
    </w:p>
    <w:p>
      <w:pPr>
        <w:pStyle w:val="Heading9"/>
        <w:spacing w:line="249" w:lineRule="auto" w:before="73"/>
        <w:ind w:left="205" w:right="2153"/>
        <w:rPr>
          <w:b w:val="0"/>
          <w:sz w:val="12"/>
        </w:rPr>
      </w:pPr>
      <w:r>
        <w:rPr>
          <w:color w:val="0093C1"/>
        </w:rPr>
        <w:t>Chart 3.5 Unemployment rates</w:t>
      </w:r>
      <w:r>
        <w:rPr>
          <w:b w:val="0"/>
          <w:position w:val="4"/>
          <w:sz w:val="12"/>
        </w:rPr>
        <w:t>(a)</w:t>
      </w:r>
    </w:p>
    <w:p>
      <w:pPr>
        <w:spacing w:before="74"/>
        <w:ind w:left="2979" w:right="0" w:firstLine="0"/>
        <w:jc w:val="left"/>
        <w:rPr>
          <w:sz w:val="12"/>
        </w:rPr>
      </w:pPr>
      <w:r>
        <w:rPr/>
        <w:pict>
          <v:group style="position:absolute;margin-left:48.779999pt;margin-top:14.468562pt;width:150.7pt;height:94.65pt;mso-position-horizontal-relative:page;mso-position-vertical-relative:paragraph;z-index:16064512" coordorigin="976,289" coordsize="3014,1893">
            <v:shape style="position:absolute;left:1710;top:299;width:2113;height:1398" coordorigin="1711,299" coordsize="2113,1398" path="m1711,299l1723,302m1723,299l1733,317m1733,317l1746,319m1746,317l1756,332m1756,332l1766,349m1766,349l1788,352m1788,349l1801,367m1801,367l1811,387m1811,387l1821,389m1821,387l1833,404m1833,404l1843,407m1843,404l1856,419m1856,419l1866,422m1866,419l1876,422m1876,419l1888,422m1888,419l1898,422m1898,419l1911,422m1911,419l1921,422m1921,419l1931,422m1931,419l1943,422m1943,419l1953,422m1953,419l1966,422m1966,419l1976,422m1976,419l1986,422m1986,419l1998,437m1998,437l2008,439m2008,437l2021,454m2021,454l2031,457m2031,454l2041,472m2041,472l2053,474m2053,472l2063,489m2063,489l2076,494m2076,489l2086,509m2086,509l2108,512m2108,509l2118,524m2118,524l2131,527m2131,524l2141,577m2141,577l2151,614m2151,614l2163,647m2163,647l2173,699m2173,699l2183,734m2183,734l2196,769m2196,769l2206,822m2206,822l2218,857m2218,857l2228,892m2228,892l2238,944m2238,944l2251,979m2251,979l2261,1014m2261,1014l2273,1049m2273,1049l2293,1119m2293,1119l2306,1137m2306,1137l2316,1172m2316,1172l2328,1207m2328,1207l2338,1242m2338,1242l2348,1257m2348,1257l2361,1294m2361,1294l2371,1329m2371,1329l2383,1362m2383,1362l2393,1399m2393,1399l2403,1402m2403,1399l2426,1402m2426,1399l2438,1417m2438,1417l2448,1419m2448,1417l2458,1434m2458,1434l2471,1437m2471,1434l2481,1437m2481,1434l2493,1452m2493,1452l2503,1454m2503,1452l2513,1467m2513,1467l2526,1469m2526,1467l2536,1487m2536,1487l2548,1452m2548,1452l2568,1382m2568,1382l2581,1347m2581,1347l2591,1329m2591,1329l2603,1294m2603,1294l2613,1257m2613,1257l2623,1224m2623,1224l2636,1189m2636,1189l2646,1172m2646,1172l2658,1137m2658,1137l2678,1067m2678,1067l2691,1049m2691,1049l2701,1014m2701,1014l2713,979m2713,979l2723,962m2723,962l2746,927m2746,927l2756,909m2756,909l2768,874m2768,874l2788,804m2788,804l2801,769m2801,769l2811,734m2811,734l2821,752m2821,752l2833,734m2833,734l2843,719m2843,719l2856,722m2856,719l2866,699m2866,699l2876,647m2876,647l2888,614m2888,614l2898,577m2898,577l2911,542m2911,542l2921,544m2921,542l2931,559m2931,559l2943,594m2943,594l2953,614m2953,614l2966,617m2966,614l2976,629m2976,629l2986,647m2986,647l2998,649m2998,647l3008,649m3008,647l3021,629m3021,629l3031,647m3031,647l3041,682m3041,682l3063,719m3063,719l3076,734m3076,734l3096,769m3096,769l3108,804m3108,804l3118,807m3118,804l3131,857m3131,857l3141,874m3141,874l3151,927m3151,927l3163,944m3163,944l3173,979m3173,979l3186,982m3186,979l3196,982m3196,979l3206,997m3206,997l3218,1014m3218,1014l3228,1017m3228,1014l3241,1017m3241,1014l3251,1017m3251,1014l3261,1049m3261,1049l3273,1052m3273,1049l3283,1102m3283,1102l3296,1104m3296,1102l3306,1104m3306,1102l3316,1119m3316,1119l3328,1102m3328,1102l3338,1119m3338,1119l3351,1122m3351,1119l3361,1137m3361,1137l3383,1172m3383,1172l3393,1174m3393,1172l3403,1174m3403,1172l3416,1189m3416,1189l3426,1207m3426,1207l3438,1257m3438,1257l3448,1312m3448,1312l3458,1329m3458,1329l3471,1362m3471,1362l3481,1364m3481,1362l3493,1382m3493,1382l3503,1362m3503,1362l3513,1399m3513,1399l3526,1487m3526,1487l3536,1504m3536,1504l3548,1522m3548,1522l3558,1524m3558,1522l3568,1557m3568,1557l3581,1572m3581,1572l3591,1574m3591,1572l3603,1574m3603,1572l3613,1589m3613,1589l3623,1592m3623,1589l3636,1627m3636,1627l3646,1589m3646,1589l3658,1627m3658,1627l3668,1629m3668,1627l3678,1629m3678,1627l3701,1629m3701,1627l3713,1589m3713,1589l3723,1592m3723,1589l3733,1627m3733,1627l3746,1629m3746,1627l3756,1629m3756,1627l3768,1677m3768,1677l3778,1694m3778,1694l3788,1697m3788,1694l3801,1697m3801,1694l3811,1697m3811,1694l3823,1697e" filled="false" stroked="true" strokeweight="1pt" strokecolor="#0099d8">
              <v:path arrowok="t"/>
              <v:stroke dashstyle="solid"/>
            </v:shape>
            <v:shape style="position:absolute;left:985;top:1694;width:243;height:478" coordorigin="986,1694" coordsize="243,478" path="m986,2132l998,2097m998,2097l1008,2099m1008,2097l1018,2132m1018,2132l1031,2134m1031,2132l1041,2152m1041,2152l1053,2154m1053,2152l1063,2169m1063,2169l1073,2172m1073,2169l1086,2172m1086,2169l1096,2172m1096,2169l1108,2172m1108,2169l1118,2152m1118,2152l1128,2132m1128,2132l1151,2097m1151,2097l1163,2047m1163,2047l1173,2027m1173,2027l1183,1974m1183,1974l1196,1904m1196,1904l1206,1837m1206,1837l1218,1767m1218,1767l1228,1694e" filled="false" stroked="true" strokeweight="1pt" strokecolor="#952e40">
              <v:path arrowok="t"/>
              <v:stroke dashstyle="solid"/>
            </v:shape>
            <v:line style="position:absolute" from="1233,1579" to="1233,1704" stroked="true" strokeweight="1.5pt" strokecolor="#952e40">
              <v:stroke dashstyle="solid"/>
            </v:line>
            <v:shape style="position:absolute;left:1238;top:419;width:1398;height:1363" coordorigin="1238,419" coordsize="1398,1363" path="m1238,1589l1251,1522m1251,1522l1261,1452m1261,1452l1273,1382m1273,1382l1283,1329m1283,1329l1293,1257m1293,1257l1306,1207m1306,1207l1316,1172m1316,1172l1328,1119m1328,1119l1338,1102m1338,1102l1348,1049m1348,1049l1361,1014m1361,1014l1371,997m1371,997l1383,979m1383,979l1393,944m1393,944l1403,927m1403,927l1416,929m1416,927l1426,909m1426,909l1438,874m1438,874l1448,857m1448,857l1471,822m1471,822l1481,804m1481,804l1493,787m1493,787l1503,752m1503,752l1513,734m1513,734l1526,682m1526,682l1536,664m1536,664l1548,667m1548,664l1558,629m1558,629l1568,632m1568,629l1581,614m1581,614l1591,594m1591,594l1601,597m1601,594l1613,597m1613,594l1623,597m1623,594l1636,597m1636,594l1646,559m1646,559l1656,562m1656,559l1668,614m1668,614l1678,594m1678,594l1691,597m1691,594l1701,597m1701,594l1711,597m1711,594l1723,559m1723,559l1733,562m1733,559l1746,562m1746,559l1756,524m1756,524l1766,527m1766,524l1788,527m1788,524l1801,489m1801,489l1811,542m1811,542l1821,524m1821,524l1833,527m1833,524l1843,489m1843,489l1856,494m1856,489l1866,524m1866,524l1876,527m1876,524l1888,489m1888,489l1898,494m1898,489l1911,494m1911,489l1921,494m1921,489l1931,472m1931,472l1943,474m1943,472l1953,474m1953,472l1966,419m1966,419l1976,437m1976,437l1986,439m1986,437l1998,419m1998,419l2008,422m2008,419l2021,422m2021,419l2031,437m2031,437l2041,472m2041,472l2053,474m2053,472l2063,489m2063,489l2076,524m2076,524l2086,559m2086,559l2108,594m2108,594l2118,614m2118,614l2131,664m2131,664l2141,682m2141,682l2151,734m2151,734l2163,787m2163,787l2173,804m2173,804l2183,857m2183,857l2196,909m2196,909l2206,927m2206,927l2218,997m2218,997l2228,1014m2228,1014l2238,1067m2238,1067l2251,1102m2251,1102l2261,1137m2261,1137l2273,1172m2273,1172l2283,1207m2283,1207l2293,1257m2293,1257l2306,1294m2306,1294l2316,1312m2316,1312l2328,1362m2328,1362l2338,1399m2338,1399l2348,1452m2348,1452l2361,1504m2361,1504l2371,1522m2371,1522l2383,1572m2383,1572l2393,1589m2393,1589l2403,1627m2403,1627l2426,1644m2426,1644l2438,1677m2438,1677l2448,1694m2448,1694l2458,1697m2458,1694l2471,1714m2471,1714l2481,1749m2481,1749l2493,1767m2493,1767l2503,1769m2503,1767l2513,1769m2513,1767l2526,1782m2526,1782l2536,1767m2536,1767l2548,1769m2548,1767l2558,1769m2558,1767l2568,1749m2568,1749l2581,1714m2581,1714l2591,1677m2591,1677l2603,1627m2603,1627l2613,1572m2613,1572l2623,1522m2623,1522l2636,1452e" filled="false" stroked="true" strokeweight="1pt" strokecolor="#952e40">
              <v:path arrowok="t"/>
              <v:stroke dashstyle="solid"/>
            </v:shape>
            <v:line style="position:absolute" from="2641,1352" to="2641,1462" stroked="true" strokeweight="1.5pt" strokecolor="#952e40">
              <v:stroke dashstyle="solid"/>
            </v:line>
            <v:shape style="position:absolute;left:2645;top:594;width:1198;height:1558" coordorigin="2646,594" coordsize="1198,1558" path="m2646,1362l2658,1294m2658,1294l2668,1242m2668,1242l2678,1172m2678,1172l2691,1119m2691,1119l2701,1102m2701,1102l2713,1049m2713,1049l2723,1014m2723,1014l2746,997m2746,997l2756,979m2756,979l2768,927m2768,927l2778,874m2778,874l2788,877m2788,874l2801,822m2801,822l2811,804m2811,804l2821,807m2821,804l2833,787m2833,787l2843,752m2843,752l2856,734m2856,734l2866,682m2866,682l2876,664m2876,664l2888,594m2888,594l2898,597m2898,594l2911,597m2911,594l2921,614m2921,614l2931,617m2931,614l2943,617m2943,614l2953,629m2953,629l2966,632m2966,629l2976,632m2976,629l2986,664m2986,664l2998,682m2998,682l3008,719m3008,719l3021,752m3021,752l3031,734m3031,734l3041,752m3041,752l3063,787m3063,787l3076,804m3076,804l3086,822m3086,822l3096,857m3096,857l3108,874m3108,874l3118,909m3118,909l3131,927m3131,927l3141,979m3141,979l3151,997m3151,997l3163,1049m3163,1049l3173,1102m3173,1102l3186,1137m3186,1137l3196,1139m3196,1137l3206,1172m3206,1172l3218,1174m3218,1172l3228,1189m3228,1189l3241,1192m3241,1189l3251,1207m3251,1207l3261,1209m3261,1207l3273,1242m3273,1242l3283,1244m3283,1242l3296,1244m3296,1242l3306,1257m3306,1257l3316,1259m3316,1257l3328,1294m3328,1294l3338,1297m3338,1294l3351,1312m3351,1312l3361,1314m3361,1312l3383,1329m3383,1329l3393,1362m3393,1362l3403,1382m3403,1382l3416,1434m3416,1434l3426,1504m3426,1504l3438,1557m3438,1557l3448,1589m3448,1589l3458,1644m3458,1644l3471,1694m3471,1694l3481,1714m3481,1714l3493,1749m3493,1749l3503,1782m3503,1782l3513,1819m3513,1819l3526,1869m3526,1869l3536,1887m3536,1887l3548,1889m3548,1887l3558,1904m3558,1904l3568,1942m3568,1942l3581,1959m3581,1959l3591,1962m3591,1959l3603,1962m3603,1959l3613,1974m3613,1974l3623,1977m3623,1974l3636,1977m3636,1974l3646,2009m3646,2009l3658,2012m3658,2009l3668,2012m3668,2009l3678,2012m3678,2009l3701,2012m3701,2009l3713,2012m3713,2009l3723,2027m3723,2027l3733,2009m3733,2009l3746,2027m3746,2027l3756,2029m3756,2027l3768,2029m3768,2027l3778,2047m3778,2047l3788,2079m3788,2079l3801,2097m3801,2097l3811,2099m3811,2097l3823,2099m3823,2097l3833,2132m3833,2132l3843,2152e" filled="false" stroked="true" strokeweight="1pt" strokecolor="#952e40">
              <v:path arrowok="t"/>
              <v:stroke dashstyle="solid"/>
            </v:shape>
            <v:shape style="position:absolute;left:3902;top:465;width:87;height:1681" coordorigin="3902,465" coordsize="87,1681" path="m3989,465l3902,465m3989,705l3902,705m3989,1426l3902,1426m3989,945l3902,945m3989,1906l3902,1906m3989,1666l3902,1666m3989,1185l3902,1185m3989,2146l3902,2146e" filled="false" stroked="true" strokeweight=".5pt" strokecolor="#000000">
              <v:path arrowok="t"/>
              <v:stroke dashstyle="solid"/>
            </v:shape>
            <v:shape style="position:absolute;left:3333;top:949;width:227;height:133" type="#_x0000_t202" filled="false" stroked="false">
              <v:textbox inset="0,0,0,0">
                <w:txbxContent>
                  <w:p>
                    <w:pPr>
                      <w:spacing w:line="133" w:lineRule="exact" w:before="0"/>
                      <w:ind w:left="0" w:right="0" w:firstLine="0"/>
                      <w:jc w:val="left"/>
                      <w:rPr>
                        <w:sz w:val="12"/>
                      </w:rPr>
                    </w:pPr>
                    <w:r>
                      <w:rPr>
                        <w:sz w:val="12"/>
                      </w:rPr>
                      <w:t>LFS</w:t>
                    </w:r>
                  </w:p>
                </w:txbxContent>
              </v:textbox>
              <w10:wrap type="none"/>
            </v:shape>
            <v:shape style="position:absolute;left:2743;top:1796;width:757;height:134" type="#_x0000_t202" filled="false" stroked="false">
              <v:textbox inset="0,0,0,0">
                <w:txbxContent>
                  <w:p>
                    <w:pPr>
                      <w:spacing w:line="133" w:lineRule="exact" w:before="0"/>
                      <w:ind w:left="0" w:right="0" w:firstLine="0"/>
                      <w:jc w:val="left"/>
                      <w:rPr>
                        <w:sz w:val="12"/>
                      </w:rPr>
                    </w:pPr>
                    <w:r>
                      <w:rPr>
                        <w:sz w:val="12"/>
                      </w:rPr>
                      <w:t>Claimant count</w:t>
                    </w:r>
                  </w:p>
                </w:txbxContent>
              </v:textbox>
              <w10:wrap type="none"/>
            </v:shape>
            <w10:wrap type="none"/>
          </v:group>
        </w:pict>
      </w:r>
      <w:r>
        <w:rPr/>
        <w:pict>
          <v:line style="position:absolute;mso-position-horizontal-relative:page;mso-position-vertical-relative:paragraph;z-index:16065024" from="44.946999pt,11.301562pt" to="40.612999pt,11.301562pt" stroked="true" strokeweight=".5pt" strokecolor="#000000">
            <v:stroke dashstyle="solid"/>
            <w10:wrap type="none"/>
          </v:line>
        </w:pict>
      </w:r>
      <w:r>
        <w:rPr>
          <w:sz w:val="12"/>
        </w:rPr>
        <w:t>Per ce</w:t>
      </w:r>
      <w:r>
        <w:rPr>
          <w:sz w:val="12"/>
          <w:u w:val="single"/>
        </w:rPr>
        <w:t>n</w:t>
      </w:r>
      <w:r>
        <w:rPr>
          <w:sz w:val="12"/>
        </w:rPr>
        <w:t>t</w:t>
      </w:r>
      <w:r>
        <w:rPr>
          <w:spacing w:val="16"/>
          <w:sz w:val="12"/>
        </w:rPr>
        <w:t> </w:t>
      </w:r>
      <w:r>
        <w:rPr>
          <w:position w:val="-6"/>
          <w:sz w:val="12"/>
        </w:rPr>
        <w:t>12</w:t>
      </w:r>
    </w:p>
    <w:p>
      <w:pPr>
        <w:spacing w:before="105"/>
        <w:ind w:left="0" w:right="757" w:firstLine="0"/>
        <w:jc w:val="right"/>
        <w:rPr>
          <w:sz w:val="12"/>
        </w:rPr>
      </w:pPr>
      <w:r>
        <w:rPr/>
        <w:pict>
          <v:line style="position:absolute;mso-position-horizontal-relative:page;mso-position-vertical-relative:paragraph;z-index:16065536" from="44.946999pt,9.198451pt" to="40.612999pt,9.198451pt" stroked="true" strokeweight=".5pt" strokecolor="#000000">
            <v:stroke dashstyle="solid"/>
            <w10:wrap type="none"/>
          </v:line>
        </w:pict>
      </w:r>
      <w:r>
        <w:rPr>
          <w:sz w:val="12"/>
        </w:rPr>
        <w:t>11</w:t>
      </w:r>
    </w:p>
    <w:p>
      <w:pPr>
        <w:spacing w:before="102"/>
        <w:ind w:left="0" w:right="757" w:firstLine="0"/>
        <w:jc w:val="right"/>
        <w:rPr>
          <w:sz w:val="12"/>
        </w:rPr>
      </w:pPr>
      <w:r>
        <w:rPr/>
        <w:pict>
          <v:line style="position:absolute;mso-position-horizontal-relative:page;mso-position-vertical-relative:paragraph;z-index:16066048" from="44.946999pt,9.042647pt" to="40.612999pt,9.042647pt" stroked="true" strokeweight=".5pt" strokecolor="#000000">
            <v:stroke dashstyle="solid"/>
            <w10:wrap type="none"/>
          </v:line>
        </w:pict>
      </w:r>
      <w:r>
        <w:rPr>
          <w:sz w:val="12"/>
        </w:rPr>
        <w:t>10</w:t>
      </w:r>
    </w:p>
    <w:p>
      <w:pPr>
        <w:spacing w:before="103"/>
        <w:ind w:left="0" w:right="757" w:firstLine="0"/>
        <w:jc w:val="right"/>
        <w:rPr>
          <w:sz w:val="12"/>
        </w:rPr>
      </w:pPr>
      <w:r>
        <w:rPr/>
        <w:pict>
          <v:line style="position:absolute;mso-position-horizontal-relative:page;mso-position-vertical-relative:paragraph;z-index:16068096" from="44.946999pt,9.088364pt" to="40.612999pt,9.088364pt" stroked="true" strokeweight=".5pt" strokecolor="#000000">
            <v:stroke dashstyle="solid"/>
            <w10:wrap type="none"/>
          </v:line>
        </w:pict>
      </w:r>
      <w:r>
        <w:rPr>
          <w:sz w:val="12"/>
        </w:rPr>
        <w:t>9</w:t>
      </w:r>
    </w:p>
    <w:p>
      <w:pPr>
        <w:spacing w:before="102"/>
        <w:ind w:left="0" w:right="757" w:firstLine="0"/>
        <w:jc w:val="right"/>
        <w:rPr>
          <w:sz w:val="12"/>
        </w:rPr>
      </w:pPr>
      <w:r>
        <w:rPr/>
        <w:pict>
          <v:line style="position:absolute;mso-position-horizontal-relative:page;mso-position-vertical-relative:paragraph;z-index:16071168" from="44.946999pt,9.033171pt" to="40.612999pt,9.033171pt" stroked="true" strokeweight=".5pt" strokecolor="#000000">
            <v:stroke dashstyle="solid"/>
            <w10:wrap type="none"/>
          </v:line>
        </w:pict>
      </w:r>
      <w:r>
        <w:rPr>
          <w:sz w:val="12"/>
        </w:rPr>
        <w:t>8</w:t>
      </w:r>
    </w:p>
    <w:p>
      <w:pPr>
        <w:spacing w:before="102"/>
        <w:ind w:left="0" w:right="757" w:firstLine="0"/>
        <w:jc w:val="right"/>
        <w:rPr>
          <w:sz w:val="12"/>
        </w:rPr>
      </w:pPr>
      <w:r>
        <w:rPr/>
        <w:pict>
          <v:line style="position:absolute;mso-position-horizontal-relative:page;mso-position-vertical-relative:paragraph;z-index:16066560" from="44.946999pt,9.027978pt" to="40.612999pt,9.027978pt" stroked="true" strokeweight=".5pt" strokecolor="#000000">
            <v:stroke dashstyle="solid"/>
            <w10:wrap type="none"/>
          </v:line>
        </w:pict>
      </w:r>
      <w:r>
        <w:rPr>
          <w:sz w:val="12"/>
        </w:rPr>
        <w:t>7</w:t>
      </w:r>
    </w:p>
    <w:p>
      <w:pPr>
        <w:spacing w:before="102"/>
        <w:ind w:left="0" w:right="757" w:firstLine="0"/>
        <w:jc w:val="right"/>
        <w:rPr>
          <w:sz w:val="12"/>
        </w:rPr>
      </w:pPr>
      <w:r>
        <w:rPr/>
        <w:pict>
          <v:line style="position:absolute;mso-position-horizontal-relative:page;mso-position-vertical-relative:paragraph;z-index:16070144" from="44.946999pt,9.022754pt" to="40.612999pt,9.022754pt" stroked="true" strokeweight=".5pt" strokecolor="#000000">
            <v:stroke dashstyle="solid"/>
            <w10:wrap type="none"/>
          </v:line>
        </w:pict>
      </w:r>
      <w:r>
        <w:rPr>
          <w:sz w:val="12"/>
        </w:rPr>
        <w:t>6</w:t>
      </w:r>
    </w:p>
    <w:p>
      <w:pPr>
        <w:spacing w:before="103"/>
        <w:ind w:left="0" w:right="757" w:firstLine="0"/>
        <w:jc w:val="right"/>
        <w:rPr>
          <w:sz w:val="12"/>
        </w:rPr>
      </w:pPr>
      <w:r>
        <w:rPr/>
        <w:pict>
          <v:line style="position:absolute;mso-position-horizontal-relative:page;mso-position-vertical-relative:paragraph;z-index:16068608" from="44.946999pt,9.067561pt" to="40.612999pt,9.067561pt" stroked="true" strokeweight=".5pt" strokecolor="#000000">
            <v:stroke dashstyle="solid"/>
            <w10:wrap type="none"/>
          </v:line>
        </w:pict>
      </w:r>
      <w:r>
        <w:rPr>
          <w:sz w:val="12"/>
        </w:rPr>
        <w:t>5</w:t>
      </w:r>
    </w:p>
    <w:p>
      <w:pPr>
        <w:spacing w:before="102"/>
        <w:ind w:left="0" w:right="757" w:firstLine="0"/>
        <w:jc w:val="right"/>
        <w:rPr>
          <w:sz w:val="12"/>
        </w:rPr>
      </w:pPr>
      <w:r>
        <w:rPr/>
        <w:pict>
          <v:line style="position:absolute;mso-position-horizontal-relative:page;mso-position-vertical-relative:paragraph;z-index:16071680" from="44.946999pt,9.013369pt" to="40.612999pt,9.013369pt" stroked="true" strokeweight=".5pt" strokecolor="#000000">
            <v:stroke dashstyle="solid"/>
            <w10:wrap type="none"/>
          </v:line>
        </w:pict>
      </w:r>
      <w:r>
        <w:rPr>
          <w:sz w:val="12"/>
        </w:rPr>
        <w:t>4</w:t>
      </w:r>
    </w:p>
    <w:p>
      <w:pPr>
        <w:spacing w:before="102"/>
        <w:ind w:left="0" w:right="757" w:firstLine="0"/>
        <w:jc w:val="right"/>
        <w:rPr>
          <w:sz w:val="12"/>
        </w:rPr>
      </w:pPr>
      <w:r>
        <w:rPr/>
        <w:pict>
          <v:line style="position:absolute;mso-position-horizontal-relative:page;mso-position-vertical-relative:paragraph;z-index:16067072" from="44.946999pt,9.008161pt" to="40.612999pt,9.008161pt" stroked="true" strokeweight=".5pt" strokecolor="#000000">
            <v:stroke dashstyle="solid"/>
            <w10:wrap type="none"/>
          </v:line>
        </w:pict>
      </w:r>
      <w:r>
        <w:rPr/>
        <w:pict>
          <v:line style="position:absolute;mso-position-horizontal-relative:page;mso-position-vertical-relative:paragraph;z-index:16072192" from="199.447007pt,8.956161pt" to="195.113007pt,8.956161pt" stroked="true" strokeweight=".5pt" strokecolor="#000000">
            <v:stroke dashstyle="solid"/>
            <w10:wrap type="none"/>
          </v:line>
        </w:pict>
      </w:r>
      <w:r>
        <w:rPr>
          <w:sz w:val="12"/>
        </w:rPr>
        <w:t>3</w:t>
      </w:r>
    </w:p>
    <w:p>
      <w:pPr>
        <w:spacing w:before="102"/>
        <w:ind w:left="0" w:right="757" w:firstLine="0"/>
        <w:jc w:val="right"/>
        <w:rPr>
          <w:sz w:val="12"/>
        </w:rPr>
      </w:pPr>
      <w:r>
        <w:rPr/>
        <w:pict>
          <v:line style="position:absolute;mso-position-horizontal-relative:page;mso-position-vertical-relative:paragraph;z-index:16070656" from="44.946999pt,9.002968pt" to="40.612999pt,9.002968pt" stroked="true" strokeweight=".5pt" strokecolor="#000000">
            <v:stroke dashstyle="solid"/>
            <w10:wrap type="none"/>
          </v:line>
        </w:pict>
      </w:r>
      <w:r>
        <w:rPr/>
        <w:pict>
          <v:line style="position:absolute;mso-position-horizontal-relative:page;mso-position-vertical-relative:paragraph;z-index:16073216" from="199.447007pt,8.950968pt" to="195.113007pt,8.950968pt" stroked="true" strokeweight=".5pt" strokecolor="#000000">
            <v:stroke dashstyle="solid"/>
            <w10:wrap type="none"/>
          </v:line>
        </w:pict>
      </w:r>
      <w:r>
        <w:rPr>
          <w:sz w:val="12"/>
        </w:rPr>
        <w:t>2</w:t>
      </w:r>
    </w:p>
    <w:p>
      <w:pPr>
        <w:spacing w:before="102"/>
        <w:ind w:left="0" w:right="757" w:firstLine="0"/>
        <w:jc w:val="right"/>
        <w:rPr>
          <w:sz w:val="12"/>
        </w:rPr>
      </w:pPr>
      <w:r>
        <w:rPr/>
        <w:pict>
          <v:line style="position:absolute;mso-position-horizontal-relative:page;mso-position-vertical-relative:paragraph;z-index:16069120" from="44.946999pt,8.997759pt" to="40.612999pt,8.997759pt" stroked="true" strokeweight=".5pt" strokecolor="#000000">
            <v:stroke dashstyle="solid"/>
            <w10:wrap type="none"/>
          </v:line>
        </w:pict>
      </w:r>
      <w:r>
        <w:rPr/>
        <w:pict>
          <v:line style="position:absolute;mso-position-horizontal-relative:page;mso-position-vertical-relative:paragraph;z-index:16072704" from="199.447007pt,8.945759pt" to="195.113007pt,8.945759pt" stroked="true" strokeweight=".5pt" strokecolor="#000000">
            <v:stroke dashstyle="solid"/>
            <w10:wrap type="none"/>
          </v:line>
        </w:pict>
      </w:r>
      <w:r>
        <w:rPr>
          <w:sz w:val="12"/>
        </w:rPr>
        <w:t>1</w:t>
      </w:r>
    </w:p>
    <w:p>
      <w:pPr>
        <w:spacing w:line="120" w:lineRule="exact" w:before="103"/>
        <w:ind w:left="3475" w:right="0" w:firstLine="0"/>
        <w:jc w:val="left"/>
        <w:rPr>
          <w:sz w:val="12"/>
        </w:rPr>
      </w:pPr>
      <w:r>
        <w:rPr/>
        <w:pict>
          <v:line style="position:absolute;mso-position-horizontal-relative:page;mso-position-vertical-relative:paragraph;z-index:16067584" from="44.946999pt,9.042566pt" to="40.612999pt,9.042566pt" stroked="true" strokeweight=".5pt" strokecolor="#000000">
            <v:stroke dashstyle="solid"/>
            <w10:wrap type="none"/>
          </v:line>
        </w:pict>
      </w:r>
      <w:r>
        <w:rPr/>
        <w:pict>
          <v:shape style="position:absolute;margin-left:49.418999pt;margin-top:6.313566pt;width:150.050pt;height:2.7pt;mso-position-horizontal-relative:page;mso-position-vertical-relative:paragraph;z-index:16069632" coordorigin="988,126" coordsize="3001,54" path="m991,180l3846,180m988,126l988,180m1262,126l1262,180m1673,126l1673,180m2494,126l2494,180m3315,126l3315,180m1946,126l1946,180m2768,126l2768,180m3452,126l3452,180m1125,126l1125,180m1399,126l1399,180m2083,126l2083,180m2904,126l2904,180m3589,126l3589,180m2220,126l2220,180m3041,126l3041,180m3726,126l3726,180m1536,126l1536,180m2357,126l2357,180m3178,126l3178,180m1810,126l1810,180m2631,126l2631,180m3989,180l3902,180e" filled="false" stroked="true" strokeweight=".5pt" strokecolor="#000000">
            <v:path arrowok="t"/>
            <v:stroke dashstyle="solid"/>
            <w10:wrap type="none"/>
          </v:shape>
        </w:pict>
      </w:r>
      <w:r>
        <w:rPr>
          <w:sz w:val="12"/>
        </w:rPr>
        <w:t>0</w:t>
      </w:r>
    </w:p>
    <w:p>
      <w:pPr>
        <w:spacing w:line="120" w:lineRule="exact" w:before="0"/>
        <w:ind w:left="305" w:right="0" w:firstLine="0"/>
        <w:jc w:val="left"/>
        <w:rPr>
          <w:sz w:val="12"/>
        </w:rPr>
      </w:pPr>
      <w:r>
        <w:rPr>
          <w:sz w:val="12"/>
        </w:rPr>
        <w:t>1979 81 83 85 87 89 91 93 95 97 99</w:t>
      </w:r>
    </w:p>
    <w:p>
      <w:pPr>
        <w:spacing w:before="77"/>
        <w:ind w:left="205" w:right="0" w:firstLine="0"/>
        <w:jc w:val="left"/>
        <w:rPr>
          <w:sz w:val="12"/>
        </w:rPr>
      </w:pPr>
      <w:r>
        <w:rPr>
          <w:sz w:val="12"/>
        </w:rPr>
        <w:t>(a) Pre-1992 LFS figures based on yearly observations.</w:t>
      </w:r>
    </w:p>
    <w:p>
      <w:pPr>
        <w:pStyle w:val="Heading6"/>
        <w:spacing w:line="242" w:lineRule="auto" w:before="211"/>
        <w:ind w:left="205" w:right="185"/>
      </w:pPr>
      <w:r>
        <w:rPr/>
        <w:br w:type="column"/>
      </w:r>
      <w:r>
        <w:rPr/>
        <w:t>An important determinant of wage pressure is the balance between the demand </w:t>
      </w:r>
      <w:r>
        <w:rPr>
          <w:spacing w:val="-3"/>
        </w:rPr>
        <w:t>for, </w:t>
      </w:r>
      <w:r>
        <w:rPr/>
        <w:t>and the supply of, labour. One measure of this balance is the number of people who are searching for work, and are currently available to start. This is captured by LFS unemployment, which rose by 11,000 during the three months to November compared with the previous three months. It is possible that some individuals </w:t>
      </w:r>
      <w:r>
        <w:rPr>
          <w:spacing w:val="-3"/>
        </w:rPr>
        <w:t>have </w:t>
      </w:r>
      <w:r>
        <w:rPr/>
        <w:t>been encouraged to search for work again as the expansion of output has continued. These individuals would not necessarily be included in the other, narrower measure </w:t>
      </w:r>
      <w:r>
        <w:rPr>
          <w:spacing w:val="-9"/>
        </w:rPr>
        <w:t>of </w:t>
      </w:r>
      <w:r>
        <w:rPr/>
        <w:t>unemployment, the claimant count, which fell by 29,000 in the three months to November, and by a further 22,000 in December. While recent evidence on unemployment is mixed, it is clear that the unemployment rate is considerably lower than it was at the trough that occurred in the second quarter of 1990 (see Chart 3.5). That does not necessarily mean that the labour market is tighter now than it was then. </w:t>
      </w:r>
      <w:r>
        <w:rPr>
          <w:spacing w:val="-10"/>
        </w:rPr>
        <w:t>To </w:t>
      </w:r>
      <w:r>
        <w:rPr/>
        <w:t>make a full comparison, it is important to consider whether, and to what extent, the structural performance of the labour market has changed during the intervening</w:t>
      </w:r>
      <w:r>
        <w:rPr>
          <w:spacing w:val="-3"/>
        </w:rPr>
        <w:t> </w:t>
      </w:r>
      <w:r>
        <w:rPr/>
        <w:t>period.</w:t>
      </w:r>
    </w:p>
    <w:p>
      <w:pPr>
        <w:pStyle w:val="BodyText"/>
        <w:spacing w:before="9"/>
        <w:rPr>
          <w:sz w:val="26"/>
        </w:rPr>
      </w:pPr>
    </w:p>
    <w:p>
      <w:pPr>
        <w:spacing w:line="242" w:lineRule="auto" w:before="0"/>
        <w:ind w:left="205" w:right="211" w:firstLine="0"/>
        <w:jc w:val="left"/>
        <w:rPr>
          <w:sz w:val="24"/>
        </w:rPr>
      </w:pPr>
      <w:r>
        <w:rPr>
          <w:sz w:val="24"/>
        </w:rPr>
        <w:t>The locus of points in Chart 3.6 shows how the change in real unit labour costs, ie the change in the real cost to firms of hiring the labour necessary to produce a given quantity of output, has varied with LFS unemployment. Over the past decade there has been a leftward shift in this locus. That is consistent with the equilibrium rate </w:t>
      </w:r>
      <w:r>
        <w:rPr>
          <w:spacing w:val="-9"/>
          <w:sz w:val="24"/>
        </w:rPr>
        <w:t>of </w:t>
      </w:r>
      <w:r>
        <w:rPr>
          <w:sz w:val="24"/>
        </w:rPr>
        <w:t>unemployment (the rate at which there is no change in real unit labour costs in the medium-to-long term, and hence no upward or downward pressure on inflation from the labour market) having</w:t>
      </w:r>
      <w:r>
        <w:rPr>
          <w:spacing w:val="-2"/>
          <w:sz w:val="24"/>
        </w:rPr>
        <w:t> </w:t>
      </w:r>
      <w:r>
        <w:rPr>
          <w:sz w:val="24"/>
        </w:rPr>
        <w:t>fallen.</w:t>
      </w:r>
    </w:p>
    <w:p>
      <w:pPr>
        <w:pStyle w:val="BodyText"/>
        <w:spacing w:before="5"/>
        <w:rPr>
          <w:sz w:val="25"/>
        </w:rPr>
      </w:pPr>
    </w:p>
    <w:p>
      <w:pPr>
        <w:spacing w:line="242" w:lineRule="auto" w:before="0"/>
        <w:ind w:left="205" w:right="211" w:firstLine="0"/>
        <w:jc w:val="left"/>
        <w:rPr>
          <w:sz w:val="24"/>
        </w:rPr>
      </w:pPr>
      <w:r>
        <w:rPr>
          <w:sz w:val="24"/>
        </w:rPr>
        <w:t>Over the past two decades there have been a number of reforms—for example to employment legislation, and to the tax and benefit system—that might have contributed to a reduction in the equilibrium rate of unemployment.</w:t>
      </w:r>
    </w:p>
    <w:p>
      <w:pPr>
        <w:spacing w:after="0" w:line="242" w:lineRule="auto"/>
        <w:jc w:val="left"/>
        <w:rPr>
          <w:sz w:val="24"/>
        </w:rPr>
        <w:sectPr>
          <w:type w:val="continuous"/>
          <w:pgSz w:w="11900" w:h="16840"/>
          <w:pgMar w:top="1220" w:bottom="280" w:left="620" w:right="640"/>
          <w:cols w:num="2" w:equalWidth="0">
            <w:col w:w="4295" w:space="469"/>
            <w:col w:w="5876"/>
          </w:cols>
        </w:sectPr>
      </w:pPr>
    </w:p>
    <w:p>
      <w:pPr>
        <w:pStyle w:val="BodyText"/>
        <w:rPr>
          <w:sz w:val="20"/>
        </w:rPr>
      </w:pPr>
    </w:p>
    <w:p>
      <w:pPr>
        <w:spacing w:after="0"/>
        <w:rPr>
          <w:sz w:val="20"/>
        </w:rPr>
        <w:sectPr>
          <w:pgSz w:w="11900" w:h="16840"/>
          <w:pgMar w:header="586" w:footer="597" w:top="780" w:bottom="780" w:left="620" w:right="640"/>
        </w:sectPr>
      </w:pPr>
    </w:p>
    <w:p>
      <w:pPr>
        <w:pStyle w:val="BodyText"/>
        <w:spacing w:before="9"/>
      </w:pPr>
    </w:p>
    <w:p>
      <w:pPr>
        <w:pStyle w:val="Heading9"/>
        <w:spacing w:before="0"/>
        <w:ind w:left="210"/>
      </w:pPr>
      <w:r>
        <w:rPr>
          <w:color w:val="0093C1"/>
        </w:rPr>
        <w:t>Chart 3.6</w:t>
      </w:r>
    </w:p>
    <w:p>
      <w:pPr>
        <w:spacing w:line="249" w:lineRule="auto" w:before="10"/>
        <w:ind w:left="210" w:right="71" w:firstLine="0"/>
        <w:jc w:val="left"/>
        <w:rPr>
          <w:sz w:val="12"/>
        </w:rPr>
      </w:pPr>
      <w:r>
        <w:rPr>
          <w:b/>
          <w:color w:val="0093C1"/>
          <w:sz w:val="20"/>
        </w:rPr>
        <w:t>Unemployment and the change in real unit labour costs</w:t>
      </w:r>
      <w:r>
        <w:rPr>
          <w:position w:val="4"/>
          <w:sz w:val="12"/>
        </w:rPr>
        <w:t>(a)</w:t>
      </w:r>
    </w:p>
    <w:p>
      <w:pPr>
        <w:spacing w:line="208" w:lineRule="auto" w:before="62"/>
        <w:ind w:left="2030" w:right="28" w:hanging="111"/>
        <w:jc w:val="left"/>
        <w:rPr>
          <w:sz w:val="12"/>
        </w:rPr>
      </w:pPr>
      <w:r>
        <w:rPr/>
        <w:pict>
          <v:line style="position:absolute;mso-position-horizontal-relative:page;mso-position-vertical-relative:paragraph;z-index:16077312" from="45.342999pt,16.919031pt" to="41.008999pt,16.919031pt" stroked="true" strokeweight=".5pt" strokecolor="#231f20">
            <v:stroke dashstyle="solid"/>
            <w10:wrap type="none"/>
          </v:line>
        </w:pict>
      </w:r>
      <w:r>
        <w:rPr/>
        <w:pict>
          <v:line style="position:absolute;mso-position-horizontal-relative:page;mso-position-vertical-relative:paragraph;z-index:-22066688" from="201.666993pt,16.940031pt" to="197.332993pt,16.940031pt" stroked="true" strokeweight=".5pt" strokecolor="#231f20">
            <v:stroke dashstyle="solid"/>
            <w10:wrap type="none"/>
          </v:line>
        </w:pict>
      </w:r>
      <w:r>
        <w:rPr>
          <w:color w:val="231F20"/>
          <w:sz w:val="12"/>
        </w:rPr>
        <w:t>Percentage changes in real unit labour costs on a year earlier </w:t>
      </w:r>
      <w:r>
        <w:rPr>
          <w:color w:val="231F20"/>
          <w:position w:val="-7"/>
          <w:sz w:val="12"/>
        </w:rPr>
        <w:t>3</w:t>
      </w:r>
    </w:p>
    <w:p>
      <w:pPr>
        <w:pStyle w:val="Heading6"/>
        <w:spacing w:line="242" w:lineRule="auto" w:before="207"/>
        <w:ind w:left="210" w:right="145"/>
      </w:pPr>
      <w:r>
        <w:rPr/>
        <w:br w:type="column"/>
      </w:r>
      <w:r>
        <w:rPr/>
        <w:t>Structural changes in the economy may have played a part too. One example would be the reduction in the number of young people entering the labour market, the effects of which were considered in the November </w:t>
      </w:r>
      <w:r>
        <w:rPr>
          <w:i/>
        </w:rPr>
        <w:t>Report</w:t>
      </w:r>
      <w:r>
        <w:rPr/>
        <w:t>. Another structural change that could reduce the</w:t>
      </w:r>
    </w:p>
    <w:p>
      <w:pPr>
        <w:spacing w:after="0" w:line="242" w:lineRule="auto"/>
        <w:sectPr>
          <w:type w:val="continuous"/>
          <w:pgSz w:w="11900" w:h="16840"/>
          <w:pgMar w:top="1220" w:bottom="280" w:left="620" w:right="640"/>
          <w:cols w:num="2" w:equalWidth="0">
            <w:col w:w="3551" w:space="1209"/>
            <w:col w:w="5880"/>
          </w:cols>
        </w:sectPr>
      </w:pPr>
    </w:p>
    <w:p>
      <w:pPr>
        <w:spacing w:line="107" w:lineRule="exact" w:before="0"/>
        <w:ind w:left="519" w:right="0" w:firstLine="0"/>
        <w:jc w:val="left"/>
        <w:rPr>
          <w:sz w:val="12"/>
        </w:rPr>
      </w:pPr>
      <w:r>
        <w:rPr/>
        <w:pict>
          <v:group style="position:absolute;margin-left:49.833pt;margin-top:4.980426pt;width:151.85pt;height:116.1pt;mso-position-horizontal-relative:page;mso-position-vertical-relative:paragraph;z-index:-22068224" coordorigin="997,100" coordsize="3037,2322">
            <v:shape style="position:absolute;left:996;top:1121;width:2887;height:5" coordorigin="997,1122" coordsize="2887,5" path="m997,1122l3883,1122m997,1127l3883,1127e" filled="false" stroked="true" strokeweight=".209pt" strokecolor="#231f20">
              <v:path arrowok="t"/>
              <v:stroke dashstyle="solid"/>
            </v:shape>
            <v:line style="position:absolute" from="3543,191" to="3543,1505" stroked="true" strokeweight="1.5pt" strokecolor="#522e91">
              <v:stroke dashstyle="solid"/>
            </v:line>
            <v:shape style="position:absolute;left:1425;top:157;width:2113;height:2215" coordorigin="1425,158" coordsize="2113,2215" path="m3538,158l3185,1265m3185,1265l2478,640m2478,640l1913,408m1913,408l1750,238m1750,238l2525,345m2525,345l3043,1265m3043,1265l3243,2373m3243,2373l2908,1688m2908,1688l2515,1485m2515,1485l2295,1673m2295,1673l1818,1080m1818,1080l1520,628m1520,628l1425,173e" filled="false" stroked="true" strokeweight="1pt" strokecolor="#522e91">
              <v:path arrowok="t"/>
              <v:stroke dashstyle="solid"/>
            </v:shape>
            <v:rect style="position:absolute;left:1386;top:114;width:87;height:87" filled="true" fillcolor="#ffc40c" stroked="false">
              <v:fill type="solid"/>
            </v:rect>
            <v:rect style="position:absolute;left:1386;top:114;width:87;height:87" filled="false" stroked="true" strokeweight=".5pt" strokecolor="#231f20">
              <v:stroke dashstyle="solid"/>
            </v:rect>
            <v:rect style="position:absolute;left:1476;top:584;width:87;height:87" filled="true" fillcolor="#ffc40c" stroked="false">
              <v:fill type="solid"/>
            </v:rect>
            <v:rect style="position:absolute;left:1476;top:584;width:87;height:87" filled="false" stroked="true" strokeweight=".5pt" strokecolor="#231f20">
              <v:stroke dashstyle="solid"/>
            </v:rect>
            <v:rect style="position:absolute;left:1774;top:1037;width:87;height:87" filled="true" fillcolor="#ffc40c" stroked="false">
              <v:fill type="solid"/>
            </v:rect>
            <v:rect style="position:absolute;left:1774;top:1037;width:87;height:87" filled="false" stroked="true" strokeweight=".5pt" strokecolor="#231f20">
              <v:stroke dashstyle="solid"/>
            </v:rect>
            <v:rect style="position:absolute;left:2255;top:1611;width:87;height:87" filled="true" fillcolor="#ffc40c" stroked="false">
              <v:fill type="solid"/>
            </v:rect>
            <v:rect style="position:absolute;left:2255;top:1611;width:87;height:87" filled="false" stroked="true" strokeweight=".5pt" strokecolor="#231f20">
              <v:stroke dashstyle="solid"/>
            </v:rect>
            <v:rect style="position:absolute;left:2474;top:1437;width:87;height:87" filled="true" fillcolor="#ffc40c" stroked="false">
              <v:fill type="solid"/>
            </v:rect>
            <v:rect style="position:absolute;left:2474;top:1437;width:87;height:87" filled="false" stroked="true" strokeweight=".5pt" strokecolor="#231f20">
              <v:stroke dashstyle="solid"/>
            </v:rect>
            <v:rect style="position:absolute;left:2866;top:1640;width:87;height:87" filled="true" fillcolor="#ffc40c" stroked="false">
              <v:fill type="solid"/>
            </v:rect>
            <v:rect style="position:absolute;left:2866;top:1640;width:87;height:87" filled="false" stroked="true" strokeweight=".5pt" strokecolor="#231f20">
              <v:stroke dashstyle="solid"/>
            </v:rect>
            <v:rect style="position:absolute;left:3199;top:2329;width:87;height:87" filled="true" fillcolor="#ffc40c" stroked="false">
              <v:fill type="solid"/>
            </v:rect>
            <v:rect style="position:absolute;left:3199;top:2329;width:87;height:87" filled="false" stroked="true" strokeweight=".5pt" strokecolor="#231f20">
              <v:stroke dashstyle="solid"/>
            </v:rect>
            <v:rect style="position:absolute;left:2999;top:1222;width:87;height:87" filled="true" fillcolor="#ffc40c" stroked="false">
              <v:fill type="solid"/>
            </v:rect>
            <v:rect style="position:absolute;left:2999;top:1222;width:87;height:87" filled="false" stroked="true" strokeweight=".5pt" strokecolor="#231f20">
              <v:stroke dashstyle="solid"/>
            </v:rect>
            <v:rect style="position:absolute;left:2442;top:605;width:87;height:87" filled="true" fillcolor="#ffc40c" stroked="false">
              <v:fill type="solid"/>
            </v:rect>
            <v:rect style="position:absolute;left:2442;top:605;width:87;height:87" filled="false" stroked="true" strokeweight=".5pt" strokecolor="#231f20">
              <v:stroke dashstyle="solid"/>
            </v:rect>
            <v:rect style="position:absolute;left:1869;top:364;width:87;height:87" filled="true" fillcolor="#ffc40c" stroked="false">
              <v:fill type="solid"/>
            </v:rect>
            <v:rect style="position:absolute;left:1869;top:364;width:87;height:87" filled="false" stroked="true" strokeweight=".5pt" strokecolor="#231f20">
              <v:stroke dashstyle="solid"/>
            </v:rect>
            <v:rect style="position:absolute;left:1700;top:174;width:87;height:87" filled="true" fillcolor="#ffc40c" stroked="false">
              <v:fill type="solid"/>
            </v:rect>
            <v:rect style="position:absolute;left:1700;top:174;width:87;height:87" filled="false" stroked="true" strokeweight=".5pt" strokecolor="#231f20">
              <v:stroke dashstyle="solid"/>
            </v:rect>
            <v:rect style="position:absolute;left:2477;top:304;width:87;height:87" filled="true" fillcolor="#ffc40c" stroked="false">
              <v:fill type="solid"/>
            </v:rect>
            <v:rect style="position:absolute;left:2477;top:304;width:87;height:87" filled="false" stroked="true" strokeweight=".5pt" strokecolor="#231f20">
              <v:stroke dashstyle="solid"/>
            </v:rect>
            <v:rect style="position:absolute;left:3137;top:1227;width:87;height:87" filled="true" fillcolor="#ffc40c" stroked="false">
              <v:fill type="solid"/>
            </v:rect>
            <v:rect style="position:absolute;left:3137;top:1227;width:87;height:87" filled="false" stroked="true" strokeweight=".5pt" strokecolor="#231f20">
              <v:stroke dashstyle="solid"/>
            </v:rect>
            <v:rect style="position:absolute;left:3503;top:104;width:87;height:87" filled="true" fillcolor="#ffc40c" stroked="false">
              <v:fill type="solid"/>
            </v:rect>
            <v:rect style="position:absolute;left:3503;top:104;width:87;height:87" filled="false" stroked="true" strokeweight=".5pt" strokecolor="#231f20">
              <v:stroke dashstyle="solid"/>
            </v:rect>
            <v:rect style="position:absolute;left:3504;top:1504;width:87;height:87" filled="true" fillcolor="#ffc40c" stroked="false">
              <v:fill type="solid"/>
            </v:rect>
            <v:rect style="position:absolute;left:3504;top:1504;width:87;height:87" filled="false" stroked="true" strokeweight=".5pt" strokecolor="#231f20">
              <v:stroke dashstyle="solid"/>
            </v:rect>
            <v:shape style="position:absolute;left:2040;top:221;width:175;height:100" coordorigin="2041,221" coordsize="175,100" path="m2055,221l2041,321,2053,318,2074,313,2152,299,2215,295,2198,289,2131,262,2090,242,2055,221xe" filled="true" fillcolor="#522e91" stroked="false">
              <v:path arrowok="t"/>
              <v:fill type="solid"/>
            </v:shape>
            <v:shape style="position:absolute;left:3492;top:827;width:101;height:170" type="#_x0000_t75" stroked="false">
              <v:imagedata r:id="rId106" o:title=""/>
            </v:shape>
            <v:shape style="position:absolute;left:3328;top:665;width:100;height:177" coordorigin="3329,666" coordsize="100,177" path="m3332,666l3333,679,3335,700,3336,725,3336,752,3335,779,3334,803,3331,825,3329,842,3337,827,3375,765,3428,696,3332,666xe" filled="true" fillcolor="#522e91" stroked="false">
              <v:path arrowok="t"/>
              <v:fill type="solid"/>
            </v:shape>
            <v:shape style="position:absolute;left:2599;top:752;width:161;height:150" type="#_x0000_t75" stroked="false">
              <v:imagedata r:id="rId107" o:title=""/>
            </v:shape>
            <v:shape style="position:absolute;left:2115;top:490;width:176;height:112" type="#_x0000_t75" stroked="false">
              <v:imagedata r:id="rId108" o:title=""/>
            </v:shape>
            <v:shape style="position:absolute;left:3052;top:1586;width:100;height:176" coordorigin="3052,1586" coordsize="100,176" path="m3152,1586l3052,1604,3060,1615,3071,1633,3108,1703,3132,1762,3132,1744,3137,1671,3143,1626,3152,1586xe" filled="true" fillcolor="#522e91" stroked="false">
              <v:path arrowok="t"/>
              <v:fill type="solid"/>
            </v:shape>
            <v:shape style="position:absolute;left:3012;top:1893;width:120;height:175" type="#_x0000_t75" stroked="false">
              <v:imagedata r:id="rId109" o:title=""/>
            </v:shape>
            <v:shape style="position:absolute;left:2002;top:1301;width:146;height:164" type="#_x0000_t75" stroked="false">
              <v:imagedata r:id="rId110" o:title=""/>
            </v:shape>
            <v:shape style="position:absolute;left:1437;top:320;width:99;height:177" coordorigin="1437,321" coordsize="99,177" path="m1452,321l1453,338,1453,360,1452,385,1450,411,1447,435,1444,456,1437,497,1536,476,1490,403,1458,337,1452,321xe" filled="true" fillcolor="#522e91" stroked="false">
              <v:path arrowok="t"/>
              <v:fill type="solid"/>
            </v:shape>
            <v:shape style="position:absolute;left:3946;top:155;width:87;height:1934" coordorigin="3947,156" coordsize="87,1934" path="m4033,639l3947,639m4033,1606l3947,1606m4033,156l3947,156m4033,1123l3947,1123m4033,2089l3947,2089e" filled="false" stroked="true" strokeweight=".5pt" strokecolor="#231f20">
              <v:path arrowok="t"/>
              <v:stroke dashstyle="solid"/>
            </v:shape>
            <w10:wrap type="none"/>
          </v:group>
        </w:pict>
      </w:r>
      <w:r>
        <w:rPr>
          <w:color w:val="231F20"/>
          <w:sz w:val="12"/>
        </w:rPr>
        <w:t>1999 (b)</w:t>
      </w:r>
    </w:p>
    <w:p>
      <w:pPr>
        <w:pStyle w:val="BodyText"/>
        <w:spacing w:before="8"/>
        <w:rPr>
          <w:sz w:val="3"/>
        </w:rPr>
      </w:pPr>
    </w:p>
    <w:p>
      <w:pPr>
        <w:pStyle w:val="BodyText"/>
        <w:spacing w:line="20" w:lineRule="exact"/>
        <w:ind w:left="195"/>
        <w:rPr>
          <w:sz w:val="2"/>
        </w:rPr>
      </w:pPr>
      <w:r>
        <w:rPr>
          <w:sz w:val="2"/>
        </w:rPr>
        <w:pict>
          <v:group style="width:4.350pt;height:.5pt;mso-position-horizontal-relative:char;mso-position-vertical-relative:line" coordorigin="0,0" coordsize="87,10">
            <v:line style="position:absolute" from="87,5" to="0,5" stroked="true" strokeweight=".5pt" strokecolor="#231f20">
              <v:stroke dashstyle="solid"/>
            </v:line>
          </v:group>
        </w:pict>
      </w:r>
      <w:r>
        <w:rPr>
          <w:sz w:val="2"/>
        </w:rPr>
      </w:r>
    </w:p>
    <w:p>
      <w:pPr>
        <w:pStyle w:val="BodyText"/>
        <w:rPr>
          <w:sz w:val="20"/>
        </w:rPr>
      </w:pPr>
    </w:p>
    <w:p>
      <w:pPr>
        <w:pStyle w:val="BodyText"/>
        <w:spacing w:before="11"/>
        <w:rPr>
          <w:sz w:val="16"/>
        </w:rPr>
      </w:pPr>
      <w:r>
        <w:rPr/>
        <w:pict>
          <v:shape style="position:absolute;margin-left:41.008999pt;margin-top:11.958467pt;width:4.350pt;height:.1pt;mso-position-horizontal-relative:page;mso-position-vertical-relative:paragraph;z-index:-15383040;mso-wrap-distance-left:0;mso-wrap-distance-right:0" coordorigin="820,239" coordsize="87,0" path="m907,239l820,239e" filled="false" stroked="true" strokeweight=".5pt" strokecolor="#231f20">
            <v:path arrowok="t"/>
            <v:stroke dashstyle="solid"/>
            <w10:wrap type="topAndBottom"/>
          </v:shape>
        </w:pict>
      </w:r>
    </w:p>
    <w:p>
      <w:pPr>
        <w:spacing w:before="0"/>
        <w:ind w:left="584" w:right="0" w:firstLine="0"/>
        <w:jc w:val="left"/>
        <w:rPr>
          <w:sz w:val="12"/>
        </w:rPr>
      </w:pPr>
      <w:r>
        <w:rPr>
          <w:color w:val="231F20"/>
          <w:sz w:val="12"/>
        </w:rPr>
        <w:t>1998</w:t>
      </w:r>
    </w:p>
    <w:p>
      <w:pPr>
        <w:pStyle w:val="BodyText"/>
        <w:spacing w:before="10" w:after="39"/>
        <w:rPr>
          <w:sz w:val="25"/>
        </w:rPr>
      </w:pPr>
    </w:p>
    <w:p>
      <w:pPr>
        <w:pStyle w:val="BodyText"/>
        <w:spacing w:line="20" w:lineRule="exact"/>
        <w:ind w:left="195"/>
        <w:rPr>
          <w:sz w:val="2"/>
        </w:rPr>
      </w:pPr>
      <w:r>
        <w:rPr>
          <w:sz w:val="2"/>
        </w:rPr>
        <w:pict>
          <v:group style="width:4.350pt;height:.5pt;mso-position-horizontal-relative:char;mso-position-vertical-relative:line" coordorigin="0,0" coordsize="87,10">
            <v:line style="position:absolute" from="87,5" to="0,5" stroked="true" strokeweight=".5pt" strokecolor="#231f20">
              <v:stroke dashstyle="solid"/>
            </v:line>
          </v:group>
        </w:pict>
      </w:r>
      <w:r>
        <w:rPr>
          <w:sz w:val="2"/>
        </w:rPr>
      </w:r>
    </w:p>
    <w:p>
      <w:pPr>
        <w:pStyle w:val="BodyText"/>
        <w:rPr>
          <w:sz w:val="20"/>
        </w:rPr>
      </w:pPr>
    </w:p>
    <w:p>
      <w:pPr>
        <w:pStyle w:val="BodyText"/>
        <w:spacing w:before="10"/>
        <w:rPr>
          <w:sz w:val="16"/>
        </w:rPr>
      </w:pPr>
      <w:r>
        <w:rPr/>
        <w:pict>
          <v:shape style="position:absolute;margin-left:41.008999pt;margin-top:11.917976pt;width:4.350pt;height:.1pt;mso-position-horizontal-relative:page;mso-position-vertical-relative:paragraph;z-index:-15382016;mso-wrap-distance-left:0;mso-wrap-distance-right:0" coordorigin="820,238" coordsize="87,0" path="m907,238l820,238e" filled="false" stroked="true" strokeweight=".5pt" strokecolor="#231f20">
            <v:path arrowok="t"/>
            <v:stroke dashstyle="solid"/>
            <w10:wrap type="topAndBottom"/>
          </v:shape>
        </w:pict>
      </w:r>
    </w:p>
    <w:p>
      <w:pPr>
        <w:pStyle w:val="BodyText"/>
        <w:rPr>
          <w:sz w:val="20"/>
        </w:rPr>
      </w:pPr>
    </w:p>
    <w:p>
      <w:pPr>
        <w:pStyle w:val="BodyText"/>
        <w:spacing w:before="2"/>
        <w:rPr>
          <w:sz w:val="15"/>
        </w:rPr>
      </w:pPr>
      <w:r>
        <w:rPr/>
        <w:pict>
          <v:shape style="position:absolute;margin-left:41.008999pt;margin-top:10.967977pt;width:4.350pt;height:.1pt;mso-position-horizontal-relative:page;mso-position-vertical-relative:paragraph;z-index:-15381504;mso-wrap-distance-left:0;mso-wrap-distance-right:0" coordorigin="820,219" coordsize="87,0" path="m907,219l820,219e" filled="false" stroked="true" strokeweight=".5pt" strokecolor="#231f20">
            <v:path arrowok="t"/>
            <v:stroke dashstyle="solid"/>
            <w10:wrap type="topAndBottom"/>
          </v:shape>
        </w:pict>
      </w:r>
    </w:p>
    <w:p>
      <w:pPr>
        <w:pStyle w:val="BodyText"/>
        <w:rPr>
          <w:sz w:val="20"/>
        </w:rPr>
      </w:pPr>
    </w:p>
    <w:p>
      <w:pPr>
        <w:pStyle w:val="BodyText"/>
        <w:spacing w:before="2"/>
        <w:rPr>
          <w:sz w:val="15"/>
        </w:rPr>
      </w:pPr>
      <w:r>
        <w:rPr/>
        <w:pict>
          <v:shape style="position:absolute;margin-left:41.008999pt;margin-top:10.966976pt;width:4.350pt;height:.1pt;mso-position-horizontal-relative:page;mso-position-vertical-relative:paragraph;z-index:-15380992;mso-wrap-distance-left:0;mso-wrap-distance-right:0" coordorigin="820,219" coordsize="87,0" path="m907,219l820,219e" filled="false" stroked="true" strokeweight=".5pt" strokecolor="#231f20">
            <v:path arrowok="t"/>
            <v:stroke dashstyle="solid"/>
            <w10:wrap type="topAndBottom"/>
          </v:shape>
        </w:pict>
      </w:r>
    </w:p>
    <w:p>
      <w:pPr>
        <w:spacing w:before="21"/>
        <w:ind w:left="109" w:right="0" w:firstLine="0"/>
        <w:jc w:val="left"/>
        <w:rPr>
          <w:sz w:val="12"/>
        </w:rPr>
      </w:pPr>
      <w:r>
        <w:rPr/>
        <w:br w:type="column"/>
      </w:r>
      <w:r>
        <w:rPr>
          <w:color w:val="231F20"/>
          <w:sz w:val="12"/>
        </w:rPr>
        <w:t>1990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9"/>
        <w:rPr>
          <w:sz w:val="11"/>
        </w:rPr>
      </w:pPr>
    </w:p>
    <w:p>
      <w:pPr>
        <w:spacing w:before="0"/>
        <w:ind w:left="314" w:right="0" w:firstLine="0"/>
        <w:jc w:val="left"/>
        <w:rPr>
          <w:sz w:val="12"/>
        </w:rPr>
      </w:pPr>
      <w:r>
        <w:rPr>
          <w:color w:val="231F20"/>
          <w:sz w:val="12"/>
        </w:rPr>
        <w:t>1988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6"/>
        </w:rPr>
      </w:pPr>
    </w:p>
    <w:p>
      <w:pPr>
        <w:spacing w:before="0"/>
        <w:ind w:left="86" w:right="0" w:firstLine="0"/>
        <w:jc w:val="left"/>
        <w:rPr>
          <w:sz w:val="12"/>
        </w:rPr>
      </w:pPr>
      <w:r>
        <w:rPr>
          <w:color w:val="231F20"/>
          <w:sz w:val="12"/>
        </w:rPr>
        <w:t>1996</w:t>
      </w:r>
    </w:p>
    <w:p>
      <w:pPr>
        <w:spacing w:line="82" w:lineRule="exact" w:before="0"/>
        <w:ind w:left="721" w:right="0" w:firstLine="0"/>
        <w:jc w:val="left"/>
        <w:rPr>
          <w:sz w:val="12"/>
        </w:rPr>
      </w:pPr>
      <w:r>
        <w:rPr/>
        <w:br w:type="column"/>
      </w:r>
      <w:r>
        <w:rPr>
          <w:color w:val="231F20"/>
          <w:sz w:val="12"/>
        </w:rPr>
        <w:t>1986</w:t>
      </w:r>
    </w:p>
    <w:p>
      <w:pPr>
        <w:spacing w:line="127" w:lineRule="exact" w:before="0"/>
        <w:ind w:left="1284" w:right="0" w:firstLine="0"/>
        <w:jc w:val="left"/>
        <w:rPr>
          <w:sz w:val="12"/>
        </w:rPr>
      </w:pPr>
      <w:r>
        <w:rPr>
          <w:color w:val="231F20"/>
          <w:sz w:val="12"/>
        </w:rPr>
        <w:t>2</w:t>
      </w:r>
    </w:p>
    <w:p>
      <w:pPr>
        <w:pStyle w:val="BodyText"/>
        <w:rPr>
          <w:sz w:val="12"/>
        </w:rPr>
      </w:pPr>
    </w:p>
    <w:p>
      <w:pPr>
        <w:pStyle w:val="BodyText"/>
        <w:rPr>
          <w:sz w:val="12"/>
        </w:rPr>
      </w:pPr>
    </w:p>
    <w:p>
      <w:pPr>
        <w:spacing w:before="70"/>
        <w:ind w:left="1284" w:right="0" w:firstLine="0"/>
        <w:jc w:val="left"/>
        <w:rPr>
          <w:sz w:val="12"/>
        </w:rPr>
      </w:pPr>
      <w:r>
        <w:rPr>
          <w:color w:val="231F20"/>
          <w:sz w:val="12"/>
        </w:rPr>
        <w:t>1</w:t>
      </w:r>
    </w:p>
    <w:p>
      <w:pPr>
        <w:pStyle w:val="BodyText"/>
        <w:spacing w:before="3"/>
        <w:rPr>
          <w:sz w:val="12"/>
        </w:rPr>
      </w:pPr>
    </w:p>
    <w:p>
      <w:pPr>
        <w:spacing w:before="0"/>
        <w:ind w:left="1211" w:right="0" w:firstLine="0"/>
        <w:jc w:val="left"/>
        <w:rPr>
          <w:sz w:val="16"/>
        </w:rPr>
      </w:pPr>
      <w:r>
        <w:rPr>
          <w:color w:val="231F20"/>
          <w:sz w:val="16"/>
        </w:rPr>
        <w:t>+</w:t>
      </w:r>
    </w:p>
    <w:p>
      <w:pPr>
        <w:spacing w:line="126" w:lineRule="exact" w:before="22"/>
        <w:ind w:left="1284" w:right="0" w:firstLine="0"/>
        <w:jc w:val="left"/>
        <w:rPr>
          <w:sz w:val="12"/>
        </w:rPr>
      </w:pPr>
      <w:r>
        <w:rPr>
          <w:color w:val="231F20"/>
          <w:sz w:val="12"/>
        </w:rPr>
        <w:t>0</w:t>
      </w:r>
    </w:p>
    <w:p>
      <w:pPr>
        <w:spacing w:line="172" w:lineRule="exact" w:before="0"/>
        <w:ind w:left="1231" w:right="0" w:firstLine="0"/>
        <w:jc w:val="left"/>
        <w:rPr>
          <w:sz w:val="16"/>
        </w:rPr>
      </w:pPr>
      <w:r>
        <w:rPr>
          <w:color w:val="231F20"/>
          <w:sz w:val="16"/>
        </w:rPr>
        <w:t>_</w:t>
      </w:r>
    </w:p>
    <w:p>
      <w:pPr>
        <w:pStyle w:val="BodyText"/>
        <w:spacing w:before="7"/>
        <w:rPr>
          <w:sz w:val="16"/>
        </w:rPr>
      </w:pPr>
    </w:p>
    <w:p>
      <w:pPr>
        <w:tabs>
          <w:tab w:pos="1284" w:val="left" w:leader="none"/>
        </w:tabs>
        <w:spacing w:before="1"/>
        <w:ind w:left="764" w:right="0" w:firstLine="0"/>
        <w:jc w:val="left"/>
        <w:rPr>
          <w:sz w:val="12"/>
        </w:rPr>
      </w:pPr>
      <w:r>
        <w:rPr>
          <w:color w:val="231F20"/>
          <w:sz w:val="12"/>
        </w:rPr>
        <w:t>1985</w:t>
        <w:tab/>
      </w:r>
      <w:r>
        <w:rPr>
          <w:color w:val="231F20"/>
          <w:position w:val="8"/>
          <w:sz w:val="12"/>
        </w:rPr>
        <w:t>1</w:t>
      </w:r>
    </w:p>
    <w:p>
      <w:pPr>
        <w:pStyle w:val="BodyText"/>
        <w:spacing w:before="9"/>
        <w:rPr>
          <w:sz w:val="22"/>
        </w:rPr>
      </w:pPr>
    </w:p>
    <w:p>
      <w:pPr>
        <w:spacing w:before="0"/>
        <w:ind w:left="1284" w:right="0" w:firstLine="0"/>
        <w:jc w:val="left"/>
        <w:rPr>
          <w:sz w:val="12"/>
        </w:rPr>
      </w:pPr>
      <w:r>
        <w:rPr>
          <w:color w:val="231F20"/>
          <w:sz w:val="12"/>
        </w:rPr>
        <w:t>2</w:t>
      </w:r>
    </w:p>
    <w:p>
      <w:pPr>
        <w:spacing w:before="107"/>
        <w:ind w:left="501" w:right="604" w:firstLine="0"/>
        <w:jc w:val="center"/>
        <w:rPr>
          <w:sz w:val="12"/>
        </w:rPr>
      </w:pPr>
      <w:r>
        <w:rPr>
          <w:color w:val="231F20"/>
          <w:sz w:val="12"/>
        </w:rPr>
        <w:t>1993</w:t>
      </w:r>
    </w:p>
    <w:p>
      <w:pPr>
        <w:spacing w:line="44" w:lineRule="exact" w:before="102"/>
        <w:ind w:left="1284" w:right="0" w:firstLine="0"/>
        <w:jc w:val="left"/>
        <w:rPr>
          <w:sz w:val="12"/>
        </w:rPr>
      </w:pPr>
      <w:r>
        <w:rPr/>
        <w:pict>
          <v:shape style="position:absolute;margin-left:49.612pt;margin-top:6.274562pt;width:152.1pt;height:2.8pt;mso-position-horizontal-relative:page;mso-position-vertical-relative:paragraph;z-index:16077824" coordorigin="992,125" coordsize="3042,56" path="m995,181l3883,181m992,125l992,179m1819,125l1819,179m3473,125l3473,179m1406,125l1406,179m2233,125l2233,179m2646,125l2646,179m4033,181l3947,181m3887,125l3887,179m3060,125l3060,179e" filled="false" stroked="true" strokeweight=".5pt" strokecolor="#231f20">
            <v:path arrowok="t"/>
            <v:stroke dashstyle="solid"/>
            <w10:wrap type="none"/>
          </v:shape>
        </w:pict>
      </w:r>
      <w:r>
        <w:rPr>
          <w:color w:val="231F20"/>
          <w:sz w:val="12"/>
        </w:rPr>
        <w:t>3</w:t>
      </w:r>
    </w:p>
    <w:p>
      <w:pPr>
        <w:pStyle w:val="Heading6"/>
        <w:spacing w:line="242" w:lineRule="auto" w:before="6"/>
        <w:ind w:left="519" w:right="539"/>
      </w:pPr>
      <w:r>
        <w:rPr/>
        <w:br w:type="column"/>
      </w:r>
      <w:r>
        <w:rPr/>
        <w:t>amount of wage pressure for a given national unemployment rate is a reduction in the geographical dispersion of unemployment.</w:t>
      </w:r>
    </w:p>
    <w:p>
      <w:pPr>
        <w:pStyle w:val="BodyText"/>
        <w:spacing w:before="8"/>
        <w:rPr>
          <w:sz w:val="24"/>
        </w:rPr>
      </w:pPr>
    </w:p>
    <w:p>
      <w:pPr>
        <w:spacing w:line="242" w:lineRule="auto" w:before="0"/>
        <w:ind w:left="519" w:right="292" w:firstLine="0"/>
        <w:jc w:val="left"/>
        <w:rPr>
          <w:sz w:val="24"/>
        </w:rPr>
      </w:pPr>
      <w:r>
        <w:rPr>
          <w:sz w:val="24"/>
        </w:rPr>
        <w:t>To see why dispersion might be important, consider a country with two equally-sized geographical areas, A and B. Assume that the unemployment rate is 3% in area A and 7% in area B. Now the situation changes so that unemployment is 5% in both areas. If the</w:t>
      </w:r>
    </w:p>
    <w:p>
      <w:pPr>
        <w:spacing w:after="0" w:line="242" w:lineRule="auto"/>
        <w:jc w:val="left"/>
        <w:rPr>
          <w:sz w:val="24"/>
        </w:rPr>
        <w:sectPr>
          <w:type w:val="continuous"/>
          <w:pgSz w:w="11900" w:h="16840"/>
          <w:pgMar w:top="1220" w:bottom="280" w:left="620" w:right="640"/>
          <w:cols w:num="5" w:equalWidth="0">
            <w:col w:w="930" w:space="40"/>
            <w:col w:w="350" w:space="39"/>
            <w:col w:w="595" w:space="211"/>
            <w:col w:w="1385" w:space="900"/>
            <w:col w:w="6190"/>
          </w:cols>
        </w:sectPr>
      </w:pPr>
    </w:p>
    <w:p>
      <w:pPr>
        <w:tabs>
          <w:tab w:pos="748" w:val="left" w:leader="none"/>
          <w:tab w:pos="1161" w:val="left" w:leader="none"/>
          <w:tab w:pos="1574" w:val="left" w:leader="none"/>
          <w:tab w:pos="1986" w:val="left" w:leader="none"/>
          <w:tab w:pos="2369" w:val="left" w:leader="none"/>
          <w:tab w:pos="2782" w:val="left" w:leader="none"/>
          <w:tab w:pos="3195" w:val="left" w:leader="none"/>
        </w:tabs>
        <w:spacing w:line="123" w:lineRule="exact" w:before="0"/>
        <w:ind w:left="335" w:right="0" w:firstLine="0"/>
        <w:jc w:val="left"/>
        <w:rPr>
          <w:sz w:val="12"/>
        </w:rPr>
      </w:pPr>
      <w:r>
        <w:rPr>
          <w:color w:val="231F20"/>
          <w:sz w:val="12"/>
        </w:rPr>
        <w:t>5</w:t>
        <w:tab/>
        <w:t>6</w:t>
        <w:tab/>
        <w:t>7</w:t>
        <w:tab/>
        <w:t>8</w:t>
        <w:tab/>
        <w:t>9</w:t>
        <w:tab/>
        <w:t>10</w:t>
        <w:tab/>
        <w:t>11</w:t>
        <w:tab/>
        <w:t>12</w:t>
      </w:r>
    </w:p>
    <w:p>
      <w:pPr>
        <w:spacing w:line="321" w:lineRule="auto" w:before="26"/>
        <w:ind w:left="210" w:right="952" w:firstLine="830"/>
        <w:jc w:val="left"/>
        <w:rPr>
          <w:sz w:val="12"/>
        </w:rPr>
      </w:pPr>
      <w:r>
        <w:rPr>
          <w:color w:val="231F20"/>
          <w:sz w:val="12"/>
        </w:rPr>
        <w:t>LFS unemployment rate (per cent) </w:t>
      </w:r>
      <w:r>
        <w:rPr>
          <w:sz w:val="12"/>
        </w:rPr>
        <w:t>Sources: ONS and Bank of England.</w:t>
      </w:r>
    </w:p>
    <w:p>
      <w:pPr>
        <w:pStyle w:val="ListParagraph"/>
        <w:numPr>
          <w:ilvl w:val="0"/>
          <w:numId w:val="22"/>
        </w:numPr>
        <w:tabs>
          <w:tab w:pos="450" w:val="left" w:leader="none"/>
        </w:tabs>
        <w:spacing w:line="208" w:lineRule="auto" w:before="69" w:after="0"/>
        <w:ind w:left="450" w:right="174" w:hanging="240"/>
        <w:jc w:val="left"/>
        <w:rPr>
          <w:sz w:val="12"/>
        </w:rPr>
      </w:pPr>
      <w:r>
        <w:rPr>
          <w:sz w:val="12"/>
        </w:rPr>
        <w:t>Real unit labour costs are defined here as the Average </w:t>
      </w:r>
      <w:r>
        <w:rPr>
          <w:spacing w:val="-3"/>
          <w:sz w:val="12"/>
        </w:rPr>
        <w:t>Earnings </w:t>
      </w:r>
      <w:r>
        <w:rPr>
          <w:sz w:val="12"/>
        </w:rPr>
        <w:t>Index adjusted for the employers’ tax rate and deflated by the product of the GDP deflator and a productivity measure based on LFS employment data.</w:t>
      </w:r>
    </w:p>
    <w:p>
      <w:pPr>
        <w:pStyle w:val="ListParagraph"/>
        <w:numPr>
          <w:ilvl w:val="0"/>
          <w:numId w:val="22"/>
        </w:numPr>
        <w:tabs>
          <w:tab w:pos="451" w:val="left" w:leader="none"/>
        </w:tabs>
        <w:spacing w:line="123" w:lineRule="exact" w:before="0" w:after="0"/>
        <w:ind w:left="450" w:right="0" w:hanging="241"/>
        <w:jc w:val="left"/>
        <w:rPr>
          <w:sz w:val="12"/>
        </w:rPr>
      </w:pPr>
      <w:r>
        <w:rPr>
          <w:sz w:val="12"/>
        </w:rPr>
        <w:t>Year to 1999 Q3.</w:t>
      </w:r>
    </w:p>
    <w:p>
      <w:pPr>
        <w:pStyle w:val="BodyText"/>
        <w:spacing w:before="1"/>
        <w:rPr>
          <w:sz w:val="12"/>
        </w:rPr>
      </w:pPr>
    </w:p>
    <w:p>
      <w:pPr>
        <w:pStyle w:val="Heading9"/>
        <w:spacing w:before="0"/>
        <w:ind w:left="200"/>
      </w:pPr>
      <w:r>
        <w:rPr>
          <w:color w:val="0093C1"/>
        </w:rPr>
        <w:t>Chart 3.7</w:t>
      </w:r>
    </w:p>
    <w:p>
      <w:pPr>
        <w:spacing w:line="249" w:lineRule="auto" w:before="10"/>
        <w:ind w:left="200" w:right="380" w:firstLine="0"/>
        <w:jc w:val="left"/>
        <w:rPr>
          <w:b/>
          <w:sz w:val="20"/>
        </w:rPr>
      </w:pPr>
      <w:r>
        <w:rPr>
          <w:b/>
          <w:color w:val="0093C1"/>
          <w:sz w:val="20"/>
        </w:rPr>
        <w:t>Absolute geographical dispersion of claimant count unemployment rates</w:t>
      </w:r>
    </w:p>
    <w:p>
      <w:pPr>
        <w:spacing w:line="125" w:lineRule="exact" w:before="17"/>
        <w:ind w:left="2683" w:right="0" w:firstLine="0"/>
        <w:jc w:val="left"/>
        <w:rPr>
          <w:sz w:val="12"/>
        </w:rPr>
      </w:pPr>
      <w:r>
        <w:rPr>
          <w:color w:val="231F20"/>
          <w:sz w:val="12"/>
        </w:rPr>
        <w:t>Per cent squared</w:t>
      </w:r>
    </w:p>
    <w:p>
      <w:pPr>
        <w:spacing w:line="125" w:lineRule="exact" w:before="0"/>
        <w:ind w:left="3511" w:right="0" w:firstLine="0"/>
        <w:jc w:val="left"/>
        <w:rPr>
          <w:sz w:val="12"/>
        </w:rPr>
      </w:pPr>
      <w:r>
        <w:rPr/>
        <w:pict>
          <v:group style="position:absolute;margin-left:51.428001pt;margin-top:9.118355pt;width:144.65pt;height:131.75pt;mso-position-horizontal-relative:page;mso-position-vertical-relative:paragraph;z-index:16079872" coordorigin="1029,182" coordsize="2893,2635">
            <v:shape style="position:absolute;left:1038;top:192;width:320;height:320" coordorigin="1039,192" coordsize="320,320" path="m1039,482l1081,497m1081,497l1124,207m1124,207l1176,375m1176,375l1219,512m1219,512l1261,375m1261,375l1304,192m1304,192l1359,330e" filled="false" stroked="true" strokeweight=".5pt" strokecolor="#000080">
              <v:path arrowok="t"/>
              <v:stroke dashstyle="solid"/>
            </v:shape>
            <v:shape style="position:absolute;left:1358;top:299;width:180;height:153" coordorigin="1359,300" coordsize="180,153" path="m1359,330l1401,405m1401,405l1444,375m1444,375l1496,300m1496,300l1539,452e" filled="false" stroked="true" strokeweight="1pt" strokecolor="#000080">
              <v:path arrowok="t"/>
              <v:stroke dashstyle="solid"/>
            </v:shape>
            <v:shape style="position:absolute;left:1538;top:374;width:1550;height:1718" coordorigin="1539,375" coordsize="1550,1718" path="m1539,452l1581,375m1581,375l1624,467m1624,467l1679,420m1679,420l1721,572m1721,572l1764,617m1764,617l1806,740m1806,740l1859,770m1859,770l1904,1027m1904,1027l1946,1060m1946,1060l1999,1332m1999,1332l2041,1437m2041,1437l2084,1545m2084,1545l2126,1665m2126,1665l2181,1817m2181,1817l2224,1862m2224,1862l2266,1925m2266,1925l2319,2060m2319,2060l2361,2000m2361,2000l2404,1955m2404,1955l2446,2000m2446,2000l2501,2092m2501,2092l2544,2045m2544,2045l2586,2015m2586,2015l2629,2045m2629,2045l2681,2092m2681,2092l2724,1985m2724,1985l2769,1955m2769,1955l2821,2000m2821,2000l2864,1940m2864,1940l2906,1895m2906,1895l2949,1877m2949,1877l3004,1925m3004,1925l3046,2015m3046,2015l3089,2000e" filled="false" stroked="true" strokeweight=".5pt" strokecolor="#000080">
              <v:path arrowok="t"/>
              <v:stroke dashstyle="solid"/>
            </v:shape>
            <v:line style="position:absolute" from="3084,2001" to="3146,2001" stroked="true" strokeweight=".625pt" strokecolor="#000080">
              <v:stroke dashstyle="solid"/>
            </v:line>
            <v:shape style="position:absolute;left:3141;top:1999;width:128;height:60" coordorigin="3141,2000" coordsize="128,60" path="m3141,2000l3184,2030m3184,2030l3269,2060e" filled="false" stroked="true" strokeweight=".5pt" strokecolor="#000080">
              <v:path arrowok="t"/>
              <v:stroke dashstyle="solid"/>
            </v:shape>
            <v:line style="position:absolute" from="3264,2061" to="3329,2061" stroked="true" strokeweight=".625pt" strokecolor="#000080">
              <v:stroke dashstyle="solid"/>
            </v:line>
            <v:shape style="position:absolute;left:3323;top:2059;width:588;height:365" coordorigin="3324,2060" coordsize="588,365" path="m3324,2060l3366,2152m3366,2152l3409,2167m3409,2167l3451,2212m3451,2212l3504,2242m3504,2242l3546,2305m3546,2305l3591,2272m3591,2272l3644,2305m3644,2305l3729,2365m3729,2365l3771,2335m3771,2335l3824,2380m3824,2380l3869,2410m3869,2410l3911,2425e" filled="false" stroked="true" strokeweight=".5pt" strokecolor="#000080">
              <v:path arrowok="t"/>
              <v:stroke dashstyle="solid"/>
            </v:shape>
            <v:shape style="position:absolute;left:1038;top:192;width:2050;height:1900" coordorigin="1039,192" coordsize="2050,1900" path="m1039,482l1081,497m1081,497l1124,207m1124,207l1176,375m1176,375l1219,512m1219,512l1261,375m1261,375l1304,192m1304,192l1359,330m1359,330l1401,405m1401,405l1444,375m1444,375l1496,300m1496,300l1539,452m1539,452l1581,375m1581,375l1624,467m1624,467l1679,420m1679,420l1721,572m1721,572l1764,617m1764,617l1806,740m1806,740l1859,770m1859,770l1904,1027m1904,1027l1946,1060m1946,1060l1999,1332m1999,1332l2041,1437m2041,1437l2084,1545m2084,1545l2126,1665m2126,1665l2181,1817m2181,1817l2224,1862m2224,1862l2266,1925m2266,1925l2319,2060m2319,2060l2361,2000m2361,2000l2404,1955m2404,1955l2446,2000m2446,2000l2501,2092m2501,2092l2544,2045m2544,2045l2586,2015m2586,2015l2629,2045m2629,2045l2681,2092m2681,2092l2724,1985m2724,1985l2769,1955m2769,1955l2821,2000m2821,2000l2864,1940m2864,1940l2906,1895m2906,1895l2949,1877m2949,1877l3004,1925m3004,1925l3046,2015m3046,2015l3089,2000e" filled="false" stroked="true" strokeweight="1pt" strokecolor="#00a995">
              <v:path arrowok="t"/>
              <v:stroke dashstyle="solid"/>
            </v:shape>
            <v:line style="position:absolute" from="3079,2001" to="3151,2001" stroked="true" strokeweight="1.125pt" strokecolor="#00a995">
              <v:stroke dashstyle="solid"/>
            </v:line>
            <v:shape style="position:absolute;left:3141;top:1999;width:128;height:60" coordorigin="3141,2000" coordsize="128,60" path="m3141,2000l3184,2030m3184,2030l3269,2060e" filled="false" stroked="true" strokeweight="1pt" strokecolor="#00a995">
              <v:path arrowok="t"/>
              <v:stroke dashstyle="solid"/>
            </v:shape>
            <v:line style="position:absolute" from="3259,2061" to="3334,2061" stroked="true" strokeweight="1.125pt" strokecolor="#00a995">
              <v:stroke dashstyle="solid"/>
            </v:line>
            <v:shape style="position:absolute;left:3323;top:2059;width:588;height:365" coordorigin="3324,2060" coordsize="588,365" path="m3324,2060l3366,2152m3366,2152l3409,2167m3409,2167l3451,2212m3451,2212l3504,2242m3504,2242l3546,2305m3546,2305l3591,2272m3591,2272l3644,2305m3644,2305l3729,2365m3729,2365l3771,2335m3771,2335l3824,2380m3824,2380l3869,2410m3869,2410l3911,2425e" filled="false" stroked="true" strokeweight="1pt" strokecolor="#00a995">
              <v:path arrowok="t"/>
              <v:stroke dashstyle="solid"/>
            </v:shape>
            <v:shape style="position:absolute;left:1038;top:1499;width:320;height:60" coordorigin="1039,1500" coordsize="320,60" path="m1039,1515l1081,1530m1081,1530l1124,1500m1124,1500l1176,1530m1176,1530l1219,1560m1219,1560l1304,1530m1304,1530l1359,1515e" filled="false" stroked="true" strokeweight="1pt" strokecolor="#0066a5">
              <v:path arrowok="t"/>
              <v:stroke dashstyle="solid"/>
            </v:shape>
            <v:line style="position:absolute" from="1349,1516" to="1411,1516" stroked="true" strokeweight="1.125pt" strokecolor="#0066a5">
              <v:stroke dashstyle="solid"/>
            </v:line>
            <v:shape style="position:absolute;left:1401;top:1407;width:458;height:153" coordorigin="1401,1407" coordsize="458,153" path="m1401,1515l1444,1560m1444,1560l1496,1515m1496,1515l1539,1485m1539,1485l1581,1452m1581,1452l1624,1407m1624,1407l1679,1437m1679,1437l1721,1500m1721,1500l1764,1545m1764,1545l1806,1500m1806,1500l1859,1560e" filled="false" stroked="true" strokeweight="1pt" strokecolor="#0066a5">
              <v:path arrowok="t"/>
              <v:stroke dashstyle="solid"/>
            </v:shape>
            <v:line style="position:absolute" from="1849,1561" to="1914,1561" stroked="true" strokeweight="1.125pt" strokecolor="#0066a5">
              <v:stroke dashstyle="solid"/>
            </v:line>
            <v:shape style="position:absolute;left:1903;top:1484;width:778;height:1320" coordorigin="1904,1485" coordsize="778,1320" path="m1904,1560l1946,1485m1946,1485l1999,1560m1999,1560l2041,1742m2041,1742l2084,1832m2084,1832l2126,1940m2126,1940l2181,2000m2181,2000l2224,2107m2224,2107l2266,2227m2266,2227l2319,2365m2319,2365l2361,2485m2361,2485l2404,2577m2404,2577l2446,2637m2446,2637l2501,2682m2501,2682l2544,2745m2544,2745l2586,2760m2586,2760l2629,2790m2629,2790l2681,2805e" filled="false" stroked="true" strokeweight="1pt" strokecolor="#0066a5">
              <v:path arrowok="t"/>
              <v:stroke dashstyle="solid"/>
            </v:shape>
            <v:line style="position:absolute" from="2671,2806" to="2734,2806" stroked="true" strokeweight="1.125pt" strokecolor="#0066a5">
              <v:stroke dashstyle="solid"/>
            </v:line>
            <v:line style="position:absolute" from="2724,2805" to="2769,2790" stroked="true" strokeweight="1pt" strokecolor="#0066a5">
              <v:stroke dashstyle="solid"/>
            </v:line>
            <v:line style="position:absolute" from="2759,2791" to="2831,2791" stroked="true" strokeweight="1.125pt" strokecolor="#0066a5">
              <v:stroke dashstyle="solid"/>
            </v:line>
            <v:line style="position:absolute" from="2821,2790" to="2864,2760" stroked="true" strokeweight="1pt" strokecolor="#0066a5">
              <v:stroke dashstyle="solid"/>
            </v:line>
            <v:shape style="position:absolute;left:2853;top:2761;width:105;height:2" coordorigin="2854,2761" coordsize="105,0" path="m2854,2761l2916,2761m2896,2761l2959,2761e" filled="false" stroked="true" strokeweight="1.125pt" strokecolor="#0066a5">
              <v:path arrowok="t"/>
              <v:stroke dashstyle="solid"/>
            </v:shape>
            <v:shape style="position:absolute;left:2948;top:2729;width:140;height:30" coordorigin="2949,2730" coordsize="140,30" path="m2949,2760l3004,2745m3004,2745l3046,2730m3046,2730l3089,2745e" filled="false" stroked="true" strokeweight="1pt" strokecolor="#0066a5">
              <v:path arrowok="t"/>
              <v:stroke dashstyle="solid"/>
            </v:shape>
            <v:line style="position:absolute" from="3079,2746" to="3151,2746" stroked="true" strokeweight="1.125pt" strokecolor="#0066a5">
              <v:stroke dashstyle="solid"/>
            </v:line>
            <v:shape style="position:absolute;left:3141;top:2714;width:225;height:45" coordorigin="3141,2715" coordsize="225,45" path="m3141,2745l3184,2760m3184,2760l3226,2730m3226,2730l3269,2715m3269,2715l3324,2730m3324,2730l3366,2745e" filled="false" stroked="true" strokeweight="1pt" strokecolor="#0066a5">
              <v:path arrowok="t"/>
              <v:stroke dashstyle="solid"/>
            </v:shape>
            <v:shape style="position:absolute;left:3356;top:2746;width:105;height:2" coordorigin="3356,2746" coordsize="105,0" path="m3356,2746l3419,2746m3399,2746l3461,2746e" filled="false" stroked="true" strokeweight="1.125pt" strokecolor="#0066a5">
              <v:path arrowok="t"/>
              <v:stroke dashstyle="solid"/>
            </v:shape>
            <v:shape style="position:absolute;left:3451;top:2714;width:235;height:45" coordorigin="3451,2715" coordsize="235,45" path="m3451,2745l3504,2760m3504,2760l3546,2745m3546,2745l3591,2715m3591,2715l3644,2730m3644,2730l3686,2745e" filled="false" stroked="true" strokeweight="1pt" strokecolor="#0066a5">
              <v:path arrowok="t"/>
              <v:stroke dashstyle="solid"/>
            </v:shape>
            <v:line style="position:absolute" from="3676,2746" to="3739,2746" stroked="true" strokeweight="1.125pt" strokecolor="#0066a5">
              <v:stroke dashstyle="solid"/>
            </v:line>
            <v:line style="position:absolute" from="3729,2745" to="3771,2715" stroked="true" strokeweight="1pt" strokecolor="#0066a5">
              <v:stroke dashstyle="solid"/>
            </v:line>
            <v:line style="position:absolute" from="3761,2716" to="3834,2716" stroked="true" strokeweight="1.125pt" strokecolor="#0066a5">
              <v:stroke dashstyle="solid"/>
            </v:line>
            <v:shape style="position:absolute;left:3823;top:2714;width:88;height:75" coordorigin="3824,2715" coordsize="88,75" path="m3824,2715l3869,2760m3869,2760l3911,2790e" filled="false" stroked="true" strokeweight="1pt" strokecolor="#0066a5">
              <v:path arrowok="t"/>
              <v:stroke dashstyle="solid"/>
            </v:shape>
            <v:shape style="position:absolute;left:1925;top:760;width:517;height:133" type="#_x0000_t202" filled="false" stroked="false">
              <v:textbox inset="0,0,0,0">
                <w:txbxContent>
                  <w:p>
                    <w:pPr>
                      <w:spacing w:line="133" w:lineRule="exact" w:before="0"/>
                      <w:ind w:left="0" w:right="0" w:firstLine="0"/>
                      <w:jc w:val="left"/>
                      <w:rPr>
                        <w:sz w:val="12"/>
                      </w:rPr>
                    </w:pPr>
                    <w:r>
                      <w:rPr>
                        <w:sz w:val="12"/>
                      </w:rPr>
                      <w:t>By county</w:t>
                    </w:r>
                  </w:p>
                </w:txbxContent>
              </v:textbox>
              <w10:wrap type="none"/>
            </v:shape>
            <v:shape style="position:absolute;left:1746;top:2154;width:497;height:133" type="#_x0000_t202" filled="false" stroked="false">
              <v:textbox inset="0,0,0,0">
                <w:txbxContent>
                  <w:p>
                    <w:pPr>
                      <w:spacing w:line="133" w:lineRule="exact" w:before="0"/>
                      <w:ind w:left="0" w:right="0" w:firstLine="0"/>
                      <w:jc w:val="left"/>
                      <w:rPr>
                        <w:sz w:val="12"/>
                      </w:rPr>
                    </w:pPr>
                    <w:r>
                      <w:rPr>
                        <w:sz w:val="12"/>
                      </w:rPr>
                      <w:t>By region</w:t>
                    </w:r>
                  </w:p>
                </w:txbxContent>
              </v:textbox>
              <w10:wrap type="none"/>
            </v:shape>
            <w10:wrap type="none"/>
          </v:group>
        </w:pict>
      </w:r>
      <w:r>
        <w:rPr/>
        <w:pict>
          <v:line style="position:absolute;mso-position-horizontal-relative:page;mso-position-vertical-relative:paragraph;z-index:16080384" from="46.512001pt,2.534354pt" to="42.178001pt,2.534354pt" stroked="true" strokeweight=".5pt" strokecolor="#000000">
            <v:stroke dashstyle="solid"/>
            <w10:wrap type="none"/>
          </v:line>
        </w:pict>
      </w:r>
      <w:r>
        <w:rPr/>
        <w:pict>
          <v:line style="position:absolute;mso-position-horizontal-relative:page;mso-position-vertical-relative:paragraph;z-index:16084480" from="204.803001pt,2.597354pt" to="200.470001pt,2.597354pt" stroked="true" strokeweight=".5pt" strokecolor="#000000">
            <v:stroke dashstyle="solid"/>
            <w10:wrap type="none"/>
          </v:line>
        </w:pict>
      </w:r>
      <w:r>
        <w:rPr>
          <w:sz w:val="12"/>
        </w:rPr>
        <w:t>14</w:t>
      </w:r>
    </w:p>
    <w:p>
      <w:pPr>
        <w:pStyle w:val="BodyText"/>
        <w:rPr>
          <w:sz w:val="12"/>
        </w:rPr>
      </w:pPr>
    </w:p>
    <w:p>
      <w:pPr>
        <w:pStyle w:val="BodyText"/>
        <w:rPr>
          <w:sz w:val="12"/>
        </w:rPr>
      </w:pPr>
    </w:p>
    <w:p>
      <w:pPr>
        <w:spacing w:before="0"/>
        <w:ind w:left="0" w:right="38" w:firstLine="0"/>
        <w:jc w:val="right"/>
        <w:rPr>
          <w:sz w:val="12"/>
        </w:rPr>
      </w:pPr>
      <w:r>
        <w:rPr/>
        <w:pict>
          <v:line style="position:absolute;mso-position-horizontal-relative:page;mso-position-vertical-relative:paragraph;z-index:16080896" from="46.512001pt,3.248152pt" to="42.178001pt,3.248152pt" stroked="true" strokeweight=".5pt" strokecolor="#000000">
            <v:stroke dashstyle="solid"/>
            <w10:wrap type="none"/>
          </v:line>
        </w:pict>
      </w:r>
      <w:r>
        <w:rPr/>
        <w:pict>
          <v:line style="position:absolute;mso-position-horizontal-relative:page;mso-position-vertical-relative:paragraph;z-index:16084992" from="204.803001pt,3.311152pt" to="200.470001pt,3.311152pt" stroked="true" strokeweight=".5pt" strokecolor="#000000">
            <v:stroke dashstyle="solid"/>
            <w10:wrap type="none"/>
          </v:line>
        </w:pict>
      </w:r>
      <w:r>
        <w:rPr>
          <w:sz w:val="12"/>
        </w:rPr>
        <w:t>12</w:t>
      </w:r>
    </w:p>
    <w:p>
      <w:pPr>
        <w:pStyle w:val="BodyText"/>
        <w:rPr>
          <w:sz w:val="12"/>
        </w:rPr>
      </w:pPr>
    </w:p>
    <w:p>
      <w:pPr>
        <w:pStyle w:val="BodyText"/>
        <w:rPr>
          <w:sz w:val="12"/>
        </w:rPr>
      </w:pPr>
    </w:p>
    <w:p>
      <w:pPr>
        <w:spacing w:before="0"/>
        <w:ind w:left="0" w:right="38" w:firstLine="0"/>
        <w:jc w:val="right"/>
        <w:rPr>
          <w:sz w:val="12"/>
        </w:rPr>
      </w:pPr>
      <w:r>
        <w:rPr/>
        <w:pict>
          <v:line style="position:absolute;mso-position-horizontal-relative:page;mso-position-vertical-relative:paragraph;z-index:16082944" from="46.512001pt,3.295766pt" to="42.178001pt,3.295766pt" stroked="true" strokeweight=".5pt" strokecolor="#000000">
            <v:stroke dashstyle="solid"/>
            <w10:wrap type="none"/>
          </v:line>
        </w:pict>
      </w:r>
      <w:r>
        <w:rPr/>
        <w:pict>
          <v:line style="position:absolute;mso-position-horizontal-relative:page;mso-position-vertical-relative:paragraph;z-index:16087040" from="204.803001pt,3.358766pt" to="200.470001pt,3.358766pt" stroked="true" strokeweight=".5pt" strokecolor="#000000">
            <v:stroke dashstyle="solid"/>
            <w10:wrap type="none"/>
          </v:line>
        </w:pict>
      </w:r>
      <w:r>
        <w:rPr>
          <w:sz w:val="12"/>
        </w:rPr>
        <w:t>10</w:t>
      </w:r>
    </w:p>
    <w:p>
      <w:pPr>
        <w:pStyle w:val="BodyText"/>
        <w:rPr>
          <w:sz w:val="12"/>
        </w:rPr>
      </w:pPr>
    </w:p>
    <w:p>
      <w:pPr>
        <w:pStyle w:val="BodyText"/>
        <w:spacing w:before="1"/>
        <w:rPr>
          <w:sz w:val="12"/>
        </w:rPr>
      </w:pPr>
    </w:p>
    <w:p>
      <w:pPr>
        <w:spacing w:before="0"/>
        <w:ind w:left="0" w:right="38" w:firstLine="0"/>
        <w:jc w:val="right"/>
        <w:rPr>
          <w:sz w:val="12"/>
        </w:rPr>
      </w:pPr>
      <w:r>
        <w:rPr/>
        <w:pict>
          <v:line style="position:absolute;mso-position-horizontal-relative:page;mso-position-vertical-relative:paragraph;z-index:16081408" from="46.512001pt,3.343868pt" to="42.178001pt,3.343868pt" stroked="true" strokeweight=".5pt" strokecolor="#000000">
            <v:stroke dashstyle="solid"/>
            <w10:wrap type="none"/>
          </v:line>
        </w:pict>
      </w:r>
      <w:r>
        <w:rPr/>
        <w:pict>
          <v:line style="position:absolute;mso-position-horizontal-relative:page;mso-position-vertical-relative:paragraph;z-index:16085504" from="204.803001pt,3.406868pt" to="200.470001pt,3.406868pt" stroked="true" strokeweight=".5pt" strokecolor="#000000">
            <v:stroke dashstyle="solid"/>
            <w10:wrap type="none"/>
          </v:line>
        </w:pict>
      </w:r>
      <w:r>
        <w:rPr>
          <w:sz w:val="12"/>
        </w:rPr>
        <w:t>8</w:t>
      </w:r>
    </w:p>
    <w:p>
      <w:pPr>
        <w:pStyle w:val="BodyText"/>
        <w:rPr>
          <w:sz w:val="12"/>
        </w:rPr>
      </w:pPr>
    </w:p>
    <w:p>
      <w:pPr>
        <w:pStyle w:val="BodyText"/>
        <w:rPr>
          <w:sz w:val="12"/>
        </w:rPr>
      </w:pPr>
    </w:p>
    <w:p>
      <w:pPr>
        <w:spacing w:before="0"/>
        <w:ind w:left="0" w:right="38" w:firstLine="0"/>
        <w:jc w:val="right"/>
        <w:rPr>
          <w:sz w:val="12"/>
        </w:rPr>
      </w:pPr>
      <w:r>
        <w:rPr/>
        <w:pict>
          <v:line style="position:absolute;mso-position-horizontal-relative:page;mso-position-vertical-relative:paragraph;z-index:16083456" from="46.512001pt,3.391452pt" to="42.178001pt,3.391452pt" stroked="true" strokeweight=".5pt" strokecolor="#000000">
            <v:stroke dashstyle="solid"/>
            <w10:wrap type="none"/>
          </v:line>
        </w:pict>
      </w:r>
      <w:r>
        <w:rPr/>
        <w:pict>
          <v:line style="position:absolute;mso-position-horizontal-relative:page;mso-position-vertical-relative:paragraph;z-index:16087552" from="204.803001pt,3.453452pt" to="200.470001pt,3.453452pt" stroked="true" strokeweight=".5pt" strokecolor="#000000">
            <v:stroke dashstyle="solid"/>
            <w10:wrap type="none"/>
          </v:line>
        </w:pict>
      </w:r>
      <w:r>
        <w:rPr>
          <w:sz w:val="12"/>
        </w:rPr>
        <w:t>6</w:t>
      </w:r>
    </w:p>
    <w:p>
      <w:pPr>
        <w:pStyle w:val="BodyText"/>
        <w:rPr>
          <w:sz w:val="12"/>
        </w:rPr>
      </w:pPr>
    </w:p>
    <w:p>
      <w:pPr>
        <w:pStyle w:val="BodyText"/>
        <w:rPr>
          <w:sz w:val="12"/>
        </w:rPr>
      </w:pPr>
    </w:p>
    <w:p>
      <w:pPr>
        <w:spacing w:before="0"/>
        <w:ind w:left="0" w:right="38" w:firstLine="0"/>
        <w:jc w:val="right"/>
        <w:rPr>
          <w:sz w:val="12"/>
        </w:rPr>
      </w:pPr>
      <w:r>
        <w:rPr/>
        <w:pict>
          <v:line style="position:absolute;mso-position-horizontal-relative:page;mso-position-vertical-relative:paragraph;z-index:16081920" from="46.512001pt,3.439066pt" to="42.178001pt,3.439066pt" stroked="true" strokeweight=".5pt" strokecolor="#000000">
            <v:stroke dashstyle="solid"/>
            <w10:wrap type="none"/>
          </v:line>
        </w:pict>
      </w:r>
      <w:r>
        <w:rPr/>
        <w:pict>
          <v:line style="position:absolute;mso-position-horizontal-relative:page;mso-position-vertical-relative:paragraph;z-index:16086016" from="204.803001pt,3.501066pt" to="200.470001pt,3.501066pt" stroked="true" strokeweight=".5pt" strokecolor="#000000">
            <v:stroke dashstyle="solid"/>
            <w10:wrap type="none"/>
          </v:line>
        </w:pict>
      </w:r>
      <w:r>
        <w:rPr>
          <w:sz w:val="12"/>
        </w:rPr>
        <w:t>4</w:t>
      </w:r>
    </w:p>
    <w:p>
      <w:pPr>
        <w:pStyle w:val="BodyText"/>
        <w:rPr>
          <w:sz w:val="12"/>
        </w:rPr>
      </w:pPr>
    </w:p>
    <w:p>
      <w:pPr>
        <w:pStyle w:val="BodyText"/>
        <w:spacing w:before="1"/>
        <w:rPr>
          <w:sz w:val="12"/>
        </w:rPr>
      </w:pPr>
    </w:p>
    <w:p>
      <w:pPr>
        <w:spacing w:before="0"/>
        <w:ind w:left="0" w:right="38" w:firstLine="0"/>
        <w:jc w:val="right"/>
        <w:rPr>
          <w:sz w:val="12"/>
        </w:rPr>
      </w:pPr>
      <w:r>
        <w:rPr/>
        <w:pict>
          <v:line style="position:absolute;mso-position-horizontal-relative:page;mso-position-vertical-relative:paragraph;z-index:16083968" from="46.512001pt,3.48668pt" to="42.178001pt,3.48668pt" stroked="true" strokeweight=".5pt" strokecolor="#000000">
            <v:stroke dashstyle="solid"/>
            <w10:wrap type="none"/>
          </v:line>
        </w:pict>
      </w:r>
      <w:r>
        <w:rPr/>
        <w:pict>
          <v:line style="position:absolute;mso-position-horizontal-relative:page;mso-position-vertical-relative:paragraph;z-index:16088064" from="204.803001pt,3.54868pt" to="200.470001pt,3.54868pt" stroked="true" strokeweight=".5pt" strokecolor="#000000">
            <v:stroke dashstyle="solid"/>
            <w10:wrap type="none"/>
          </v:line>
        </w:pict>
      </w:r>
      <w:r>
        <w:rPr>
          <w:sz w:val="12"/>
        </w:rPr>
        <w:t>2</w:t>
      </w:r>
    </w:p>
    <w:p>
      <w:pPr>
        <w:pStyle w:val="BodyText"/>
        <w:rPr>
          <w:sz w:val="12"/>
        </w:rPr>
      </w:pPr>
    </w:p>
    <w:p>
      <w:pPr>
        <w:pStyle w:val="BodyText"/>
        <w:rPr>
          <w:sz w:val="12"/>
        </w:rPr>
      </w:pPr>
    </w:p>
    <w:p>
      <w:pPr>
        <w:spacing w:line="128" w:lineRule="exact" w:before="0"/>
        <w:ind w:left="3571" w:right="0" w:firstLine="0"/>
        <w:jc w:val="left"/>
        <w:rPr>
          <w:sz w:val="12"/>
        </w:rPr>
      </w:pPr>
      <w:r>
        <w:rPr/>
        <w:pict>
          <v:line style="position:absolute;mso-position-horizontal-relative:page;mso-position-vertical-relative:paragraph;z-index:16082432" from="46.512001pt,3.534263pt" to="42.178001pt,3.534263pt" stroked="true" strokeweight=".5pt" strokecolor="#000000">
            <v:stroke dashstyle="solid"/>
            <w10:wrap type="none"/>
          </v:line>
        </w:pict>
      </w:r>
      <w:r>
        <w:rPr/>
        <w:pict>
          <v:line style="position:absolute;mso-position-horizontal-relative:page;mso-position-vertical-relative:paragraph;z-index:16086528" from="204.803001pt,3.596263pt" to="200.470001pt,3.596263pt" stroked="true" strokeweight=".5pt" strokecolor="#000000">
            <v:stroke dashstyle="solid"/>
            <w10:wrap type="none"/>
          </v:line>
        </w:pict>
      </w:r>
      <w:r>
        <w:rPr/>
        <w:pict>
          <v:shape style="position:absolute;margin-left:51.278999pt;margin-top:.867263pt;width:145.2pt;height:2.7pt;mso-position-horizontal-relative:page;mso-position-vertical-relative:paragraph;z-index:16088576" coordorigin="1026,17" coordsize="2904,54" path="m1028,71l3929,71m1026,17l1026,71m1392,17l1392,71m1941,17l1941,71m3040,17l3040,71m2308,17l2308,71m1209,17l1209,71m1575,17l1575,71m2491,17l2491,71m3773,17l3773,71m2674,17l2674,71m1758,17l1758,71m2857,17l2857,71m2124,17l2124,71m3223,17l3223,71m3406,17l3406,71m3590,17l3590,71e" filled="false" stroked="true" strokeweight=".5pt" strokecolor="#000000">
            <v:path arrowok="t"/>
            <v:stroke dashstyle="solid"/>
            <w10:wrap type="none"/>
          </v:shape>
        </w:pict>
      </w:r>
      <w:r>
        <w:rPr>
          <w:sz w:val="12"/>
        </w:rPr>
        <w:t>0</w:t>
      </w:r>
    </w:p>
    <w:p>
      <w:pPr>
        <w:spacing w:line="128" w:lineRule="exact" w:before="0"/>
        <w:ind w:left="343" w:right="0" w:firstLine="0"/>
        <w:jc w:val="left"/>
        <w:rPr>
          <w:sz w:val="12"/>
        </w:rPr>
      </w:pPr>
      <w:r>
        <w:rPr>
          <w:sz w:val="12"/>
        </w:rPr>
        <w:t>1984 85 86 87 88 89 90 91 92 93 94 95 96 97 98 99</w:t>
      </w:r>
    </w:p>
    <w:p>
      <w:pPr>
        <w:pStyle w:val="BodyText"/>
        <w:spacing w:before="3"/>
        <w:rPr>
          <w:sz w:val="11"/>
        </w:rPr>
      </w:pPr>
    </w:p>
    <w:p>
      <w:pPr>
        <w:spacing w:line="208" w:lineRule="auto" w:before="0"/>
        <w:ind w:left="535" w:right="88" w:hanging="336"/>
        <w:jc w:val="left"/>
        <w:rPr>
          <w:sz w:val="12"/>
        </w:rPr>
      </w:pPr>
      <w:r>
        <w:rPr>
          <w:sz w:val="12"/>
        </w:rPr>
        <w:t>Note: Dispersion is defined as a weighted variance of unemployment rates across geographical areas. The weights are based on labour force shares.</w:t>
      </w:r>
    </w:p>
    <w:p>
      <w:pPr>
        <w:spacing w:before="106"/>
        <w:ind w:left="200" w:right="0" w:firstLine="0"/>
        <w:jc w:val="left"/>
        <w:rPr>
          <w:sz w:val="12"/>
        </w:rPr>
      </w:pPr>
      <w:r>
        <w:rPr>
          <w:sz w:val="12"/>
        </w:rPr>
        <w:t>Sources: ONS and Bank of England.</w:t>
      </w:r>
    </w:p>
    <w:p>
      <w:pPr>
        <w:pStyle w:val="Heading9"/>
        <w:spacing w:before="104"/>
      </w:pPr>
      <w:r>
        <w:rPr>
          <w:color w:val="0093C1"/>
        </w:rPr>
        <w:t>Chart 3.8</w:t>
      </w:r>
    </w:p>
    <w:p>
      <w:pPr>
        <w:spacing w:before="10"/>
        <w:ind w:left="190" w:right="0" w:firstLine="0"/>
        <w:jc w:val="left"/>
        <w:rPr>
          <w:sz w:val="12"/>
        </w:rPr>
      </w:pPr>
      <w:r>
        <w:rPr>
          <w:b/>
          <w:color w:val="0093C1"/>
          <w:sz w:val="20"/>
        </w:rPr>
        <w:t>Unemployment and inactivity rates</w:t>
      </w:r>
      <w:r>
        <w:rPr>
          <w:position w:val="4"/>
          <w:sz w:val="12"/>
        </w:rPr>
        <w:t>(a)</w:t>
      </w:r>
    </w:p>
    <w:p>
      <w:pPr>
        <w:spacing w:line="197" w:lineRule="exact" w:before="0"/>
        <w:ind w:left="190" w:right="0" w:firstLine="0"/>
        <w:jc w:val="left"/>
        <w:rPr>
          <w:sz w:val="24"/>
        </w:rPr>
      </w:pPr>
      <w:r>
        <w:rPr/>
        <w:br w:type="column"/>
      </w:r>
      <w:r>
        <w:rPr>
          <w:sz w:val="24"/>
        </w:rPr>
        <w:t>downward pressure on wages following the rise in</w:t>
      </w:r>
    </w:p>
    <w:p>
      <w:pPr>
        <w:spacing w:line="242" w:lineRule="auto" w:before="4"/>
        <w:ind w:left="190" w:right="199" w:firstLine="0"/>
        <w:jc w:val="left"/>
        <w:rPr>
          <w:sz w:val="24"/>
        </w:rPr>
      </w:pPr>
      <w:r>
        <w:rPr>
          <w:sz w:val="24"/>
        </w:rPr>
        <w:t>unemployment in area A more than offsets the upward pressure on wages following the fall in unemployment </w:t>
      </w:r>
      <w:r>
        <w:rPr>
          <w:spacing w:val="-8"/>
          <w:sz w:val="24"/>
        </w:rPr>
        <w:t>in </w:t>
      </w:r>
      <w:r>
        <w:rPr>
          <w:sz w:val="24"/>
        </w:rPr>
        <w:t>area B, then the reduction in unemployment dispersion would reduce pressure on average wage rates across the country, </w:t>
      </w:r>
      <w:r>
        <w:rPr>
          <w:spacing w:val="-3"/>
          <w:sz w:val="24"/>
        </w:rPr>
        <w:t>even </w:t>
      </w:r>
      <w:r>
        <w:rPr>
          <w:sz w:val="24"/>
        </w:rPr>
        <w:t>though the national unemployment rate had remained the same. </w:t>
      </w:r>
      <w:r>
        <w:rPr>
          <w:spacing w:val="-8"/>
          <w:sz w:val="24"/>
        </w:rPr>
        <w:t>Two </w:t>
      </w:r>
      <w:r>
        <w:rPr>
          <w:sz w:val="24"/>
        </w:rPr>
        <w:t>common measures of dispersion are absolute and relative dispersion. The former is a weighted variance of local unemployment rates. The latter is a weighted variance of the ratio of local unemployment rates to the national average.</w:t>
      </w:r>
    </w:p>
    <w:p>
      <w:pPr>
        <w:spacing w:line="242" w:lineRule="auto" w:before="12"/>
        <w:ind w:left="190" w:right="143" w:firstLine="0"/>
        <w:jc w:val="left"/>
        <w:rPr>
          <w:sz w:val="24"/>
        </w:rPr>
      </w:pPr>
      <w:r>
        <w:rPr>
          <w:sz w:val="24"/>
        </w:rPr>
        <w:t>Chart 3.7 shows that absolute dispersion has always been higher, the higher the level of disaggregation, reflecting the dispersion within regions as well as between regions. Whether we look at regional or county data, absolute dispersion is lower now than during the late 1980s. This is true also of the relative measure, though relative dispersion has tended to increase during the past few years.</w:t>
      </w:r>
    </w:p>
    <w:p>
      <w:pPr>
        <w:pStyle w:val="BodyText"/>
        <w:spacing w:before="3"/>
        <w:rPr>
          <w:sz w:val="25"/>
        </w:rPr>
      </w:pPr>
    </w:p>
    <w:p>
      <w:pPr>
        <w:spacing w:line="242" w:lineRule="auto" w:before="0"/>
        <w:ind w:left="190" w:right="86" w:firstLine="0"/>
        <w:jc w:val="left"/>
        <w:rPr>
          <w:sz w:val="24"/>
        </w:rPr>
      </w:pPr>
      <w:r>
        <w:rPr>
          <w:sz w:val="24"/>
        </w:rPr>
        <w:t>The unemployment rate is lower now than during the late 1980s, but the employment rate is lower too. That is because the inactivity rate, defined as the percentage of the working-age population who are either not searching</w:t>
      </w:r>
    </w:p>
    <w:p>
      <w:pPr>
        <w:spacing w:after="0" w:line="242" w:lineRule="auto"/>
        <w:jc w:val="left"/>
        <w:rPr>
          <w:sz w:val="24"/>
        </w:rPr>
        <w:sectPr>
          <w:type w:val="continuous"/>
          <w:pgSz w:w="11900" w:h="16840"/>
          <w:pgMar w:top="1220" w:bottom="280" w:left="620" w:right="640"/>
          <w:cols w:num="2" w:equalWidth="0">
            <w:col w:w="3672" w:space="1108"/>
            <w:col w:w="5860"/>
          </w:cols>
        </w:sectPr>
      </w:pPr>
    </w:p>
    <w:p>
      <w:pPr>
        <w:spacing w:before="110"/>
        <w:ind w:left="174" w:right="0" w:firstLine="0"/>
        <w:jc w:val="left"/>
        <w:rPr>
          <w:sz w:val="12"/>
        </w:rPr>
      </w:pPr>
      <w:r>
        <w:rPr/>
        <w:pict>
          <v:line style="position:absolute;mso-position-horizontal-relative:page;mso-position-vertical-relative:paragraph;z-index:-22054400" from="52.833pt,13.773882pt" to="48.5pt,13.773882pt" stroked="true" strokeweight=".5pt" strokecolor="#000000">
            <v:stroke dashstyle="solid"/>
            <w10:wrap type="none"/>
          </v:line>
        </w:pict>
      </w:r>
      <w:r>
        <w:rPr>
          <w:position w:val="-8"/>
          <w:sz w:val="12"/>
        </w:rPr>
        <w:t>13 </w:t>
      </w:r>
      <w:r>
        <w:rPr>
          <w:sz w:val="12"/>
        </w:rPr>
        <w:t>Per cent</w:t>
      </w:r>
    </w:p>
    <w:p>
      <w:pPr>
        <w:pStyle w:val="BodyText"/>
        <w:spacing w:before="9"/>
      </w:pPr>
    </w:p>
    <w:p>
      <w:pPr>
        <w:spacing w:before="1"/>
        <w:ind w:left="174" w:right="0" w:firstLine="0"/>
        <w:jc w:val="left"/>
        <w:rPr>
          <w:sz w:val="12"/>
        </w:rPr>
      </w:pPr>
      <w:r>
        <w:rPr/>
        <w:pict>
          <v:group style="position:absolute;margin-left:57.375pt;margin-top:1.204207pt;width:143.4pt;height:110.4pt;mso-position-horizontal-relative:page;mso-position-vertical-relative:paragraph;z-index:16090112" coordorigin="1148,24" coordsize="2868,2208">
            <v:shape style="position:absolute;left:1157;top:446;width:1505;height:910" coordorigin="1158,447" coordsize="1505,910" path="m1158,447l1343,612m1343,612l1515,647m1515,647l1700,827m1700,827l1888,1077m1888,1077l2073,1292m2073,1292l2258,1357m2258,1357l2443,1209m2443,1209l2628,862m2628,862l2663,762e" filled="false" stroked="true" strokeweight="1pt" strokecolor="#0099d8">
              <v:path arrowok="t"/>
              <v:stroke dashstyle="solid"/>
            </v:shape>
            <v:shape style="position:absolute;left:2652;top:762;width:113;height:2" coordorigin="2653,763" coordsize="113,0" path="m2653,763l2718,763m2698,763l2765,763e" filled="false" stroked="true" strokeweight="1.125pt" strokecolor="#0099d8">
              <v:path arrowok="t"/>
              <v:stroke dashstyle="solid"/>
            </v:shape>
            <v:shape style="position:absolute;left:2755;top:679;width:93;height:83" coordorigin="2755,679" coordsize="93,83" path="m2755,762l2803,729m2803,729l2848,679e" filled="false" stroked="true" strokeweight="1pt" strokecolor="#0099d8">
              <v:path arrowok="t"/>
              <v:stroke dashstyle="solid"/>
            </v:shape>
            <v:line style="position:absolute" from="2838,680" to="2905,680" stroked="true" strokeweight="1.125pt" strokecolor="#0099d8">
              <v:stroke dashstyle="solid"/>
            </v:line>
            <v:line style="position:absolute" from="2895,679" to="2940,647" stroked="true" strokeweight="1pt" strokecolor="#0099d8">
              <v:stroke dashstyle="solid"/>
            </v:line>
            <v:shape style="position:absolute;left:2930;top:647;width:103;height:2" coordorigin="2930,648" coordsize="103,0" path="m2930,648l2985,648m2965,648l3033,648e" filled="false" stroked="true" strokeweight="1.125pt" strokecolor="#0099d8">
              <v:path arrowok="t"/>
              <v:stroke dashstyle="solid"/>
            </v:shape>
            <v:shape style="position:absolute;left:3022;top:464;width:463;height:183" coordorigin="3023,464" coordsize="463,183" path="m3023,647l3068,579m3068,579l3115,464m3115,464l3160,547m3160,547l3208,579m3208,579l3253,612m3253,612l3300,647m3300,647l3345,612m3345,612l3393,579m3393,579l3438,612m3438,612l3485,647e" filled="false" stroked="true" strokeweight="1pt" strokecolor="#0099d8">
              <v:path arrowok="t"/>
              <v:stroke dashstyle="solid"/>
            </v:shape>
            <v:line style="position:absolute" from="3475,648" to="3540,648" stroked="true" strokeweight="1.125pt" strokecolor="#0099d8">
              <v:stroke dashstyle="solid"/>
            </v:line>
            <v:shape style="position:absolute;left:3530;top:579;width:185;height:100" coordorigin="3530,579" coordsize="185,100" path="m3530,647l3578,679m3578,679l3623,612m3623,612l3670,579m3670,579l3715,612e" filled="false" stroked="true" strokeweight="1pt" strokecolor="#0099d8">
              <v:path arrowok="t"/>
              <v:stroke dashstyle="solid"/>
            </v:shape>
            <v:line style="position:absolute" from="3705,613" to="3773,613" stroked="true" strokeweight="1.125pt" strokecolor="#0099d8">
              <v:stroke dashstyle="solid"/>
            </v:line>
            <v:shape style="position:absolute;left:3762;top:611;width:185;height:183" coordorigin="3763,612" coordsize="185,183" path="m3763,612l3810,679m3810,679l3855,794m3855,794l3903,762m3903,762l3948,729e" filled="false" stroked="true" strokeweight="1pt" strokecolor="#0099d8">
              <v:path arrowok="t"/>
              <v:stroke dashstyle="solid"/>
            </v:shape>
            <v:line style="position:absolute" from="3938,730" to="4005,730" stroked="true" strokeweight="1.125pt" strokecolor="#0099d8">
              <v:stroke dashstyle="solid"/>
            </v:line>
            <v:line style="position:absolute" from="3995,729" to="4005,794" stroked="true" strokeweight="1pt" strokecolor="#0099d8">
              <v:stroke dashstyle="solid"/>
            </v:line>
            <v:shape style="position:absolute;left:1157;top:34;width:1470;height:1820" coordorigin="1158,34" coordsize="1470,1820" path="m1158,34l1343,217m1343,217l1515,249m1515,249l1700,397m1700,397l1888,1127m1888,1127l2073,1739m2073,1739l2258,1854m2258,1854l2443,1274m2443,1274l2628,762e" filled="false" stroked="true" strokeweight="1pt" strokecolor="#faab54">
              <v:path arrowok="t"/>
              <v:stroke dashstyle="solid"/>
            </v:shape>
            <v:line style="position:absolute" from="2618,763" to="2673,763" stroked="true" strokeweight="1.125pt" strokecolor="#faab54">
              <v:stroke dashstyle="solid"/>
            </v:line>
            <v:shape style="position:absolute;left:2662;top:514;width:93;height:248" coordorigin="2663,514" coordsize="93,248" path="m2663,762l2708,679m2708,679l2755,514e" filled="false" stroked="true" strokeweight="1pt" strokecolor="#faab54">
              <v:path arrowok="t"/>
              <v:stroke dashstyle="solid"/>
            </v:shape>
            <v:line style="position:absolute" from="2745,515" to="2813,515" stroked="true" strokeweight="1.125pt" strokecolor="#faab54">
              <v:stroke dashstyle="solid"/>
            </v:line>
            <v:shape style="position:absolute;left:2802;top:514;width:93;height:98" coordorigin="2803,514" coordsize="93,98" path="m2803,514l2848,579m2848,579l2895,612e" filled="false" stroked="true" strokeweight="1pt" strokecolor="#faab54">
              <v:path arrowok="t"/>
              <v:stroke dashstyle="solid"/>
            </v:shape>
            <v:line style="position:absolute" from="2885,613" to="2950,613" stroked="true" strokeweight="1.125pt" strokecolor="#faab54">
              <v:stroke dashstyle="solid"/>
            </v:line>
            <v:shape style="position:absolute;left:2940;top:611;width:175;height:498" coordorigin="2940,612" coordsize="175,498" path="m2940,612l2975,794m2975,794l3023,862m3023,862l3068,977m3068,977l3115,1109e" filled="false" stroked="true" strokeweight="1pt" strokecolor="#faab54">
              <v:path arrowok="t"/>
              <v:stroke dashstyle="solid"/>
            </v:shape>
            <v:line style="position:absolute" from="3105,1110" to="3170,1110" stroked="true" strokeweight="1.125pt" strokecolor="#faab54">
              <v:stroke dashstyle="solid"/>
            </v:line>
            <v:shape style="position:absolute;left:3160;top:1109;width:370;height:613" coordorigin="3160,1109" coordsize="370,613" path="m3160,1109l3208,1192m3208,1192l3253,1224m3253,1224l3300,1292m3300,1292l3345,1324m3345,1324l3393,1407m3393,1407l3438,1439m3438,1439l3485,1539m3485,1539l3530,1722e" filled="false" stroked="true" strokeweight="1pt" strokecolor="#faab54">
              <v:path arrowok="t"/>
              <v:stroke dashstyle="solid"/>
            </v:shape>
            <v:line style="position:absolute" from="3520,1723" to="3588,1723" stroked="true" strokeweight="1.125pt" strokecolor="#faab54">
              <v:stroke dashstyle="solid"/>
            </v:line>
            <v:shape style="position:absolute;left:3577;top:1721;width:185;height:398" coordorigin="3578,1722" coordsize="185,398" path="m3578,1722l3623,1937m3623,1937l3670,2002m3670,2002l3715,2052m3715,2052l3763,2119e" filled="false" stroked="true" strokeweight="1pt" strokecolor="#faab54">
              <v:path arrowok="t"/>
              <v:stroke dashstyle="solid"/>
            </v:shape>
            <v:line style="position:absolute" from="3753,2120" to="3820,2120" stroked="true" strokeweight="1.125pt" strokecolor="#faab54">
              <v:stroke dashstyle="solid"/>
            </v:line>
            <v:shape style="position:absolute;left:3810;top:2086;width:138;height:133" coordorigin="3810,2087" coordsize="138,133" path="m3810,2119l3855,2087m3855,2087l3903,2119m3903,2119l3948,2219e" filled="false" stroked="true" strokeweight="1pt" strokecolor="#faab54">
              <v:path arrowok="t"/>
              <v:stroke dashstyle="solid"/>
            </v:shape>
            <v:line style="position:absolute" from="3938,2220" to="4005,2220" stroked="true" strokeweight="1.125pt" strokecolor="#faab54">
              <v:stroke dashstyle="solid"/>
            </v:line>
            <v:line style="position:absolute" from="3995,2219" to="4005,2222" stroked="true" strokeweight="1pt" strokecolor="#faab54">
              <v:stroke dashstyle="solid"/>
            </v:line>
            <v:shape style="position:absolute;left:2520;top:209;width:1360;height:134" type="#_x0000_t202" filled="false" stroked="false">
              <v:textbox inset="0,0,0,0">
                <w:txbxContent>
                  <w:p>
                    <w:pPr>
                      <w:spacing w:line="133" w:lineRule="exact" w:before="0"/>
                      <w:ind w:left="0" w:right="0" w:firstLine="0"/>
                      <w:jc w:val="left"/>
                      <w:rPr>
                        <w:sz w:val="12"/>
                      </w:rPr>
                    </w:pPr>
                    <w:r>
                      <w:rPr>
                        <w:sz w:val="12"/>
                      </w:rPr>
                      <w:t>Inactivity (right-hand scale)</w:t>
                    </w:r>
                  </w:p>
                </w:txbxContent>
              </v:textbox>
              <w10:wrap type="none"/>
            </v:shape>
            <v:shape style="position:absolute;left:1627;top:1914;width:1580;height:134" type="#_x0000_t202" filled="false" stroked="false">
              <v:textbox inset="0,0,0,0">
                <w:txbxContent>
                  <w:p>
                    <w:pPr>
                      <w:spacing w:line="133" w:lineRule="exact" w:before="0"/>
                      <w:ind w:left="0" w:right="0" w:firstLine="0"/>
                      <w:jc w:val="left"/>
                      <w:rPr>
                        <w:sz w:val="12"/>
                      </w:rPr>
                    </w:pPr>
                    <w:r>
                      <w:rPr>
                        <w:sz w:val="12"/>
                      </w:rPr>
                      <w:t>Unemployment (left-hand scale)</w:t>
                    </w:r>
                  </w:p>
                </w:txbxContent>
              </v:textbox>
              <w10:wrap type="none"/>
            </v:shape>
            <w10:wrap type="none"/>
          </v:group>
        </w:pict>
      </w:r>
      <w:r>
        <w:rPr/>
        <w:pict>
          <v:line style="position:absolute;mso-position-horizontal-relative:page;mso-position-vertical-relative:paragraph;z-index:16091136" from="52.833pt,3.912207pt" to="48.5pt,3.912207pt" stroked="true" strokeweight=".5pt" strokecolor="#000000">
            <v:stroke dashstyle="solid"/>
            <w10:wrap type="none"/>
          </v:line>
        </w:pict>
      </w:r>
      <w:r>
        <w:rPr>
          <w:sz w:val="12"/>
        </w:rPr>
        <w:t>12</w:t>
      </w:r>
    </w:p>
    <w:p>
      <w:pPr>
        <w:pStyle w:val="BodyText"/>
        <w:rPr>
          <w:sz w:val="12"/>
        </w:rPr>
      </w:pPr>
    </w:p>
    <w:p>
      <w:pPr>
        <w:spacing w:before="81"/>
        <w:ind w:left="174" w:right="0" w:firstLine="0"/>
        <w:jc w:val="left"/>
        <w:rPr>
          <w:sz w:val="12"/>
        </w:rPr>
      </w:pPr>
      <w:r>
        <w:rPr/>
        <w:pict>
          <v:line style="position:absolute;mso-position-horizontal-relative:page;mso-position-vertical-relative:paragraph;z-index:16091648" from="52.833pt,7.855414pt" to="48.5pt,7.855414pt" stroked="true" strokeweight=".5pt" strokecolor="#000000">
            <v:stroke dashstyle="solid"/>
            <w10:wrap type="none"/>
          </v:line>
        </w:pict>
      </w:r>
      <w:r>
        <w:rPr>
          <w:sz w:val="12"/>
        </w:rPr>
        <w:t>11</w:t>
      </w:r>
    </w:p>
    <w:p>
      <w:pPr>
        <w:pStyle w:val="BodyText"/>
        <w:rPr>
          <w:sz w:val="12"/>
        </w:rPr>
      </w:pPr>
    </w:p>
    <w:p>
      <w:pPr>
        <w:spacing w:before="82"/>
        <w:ind w:left="174" w:right="0" w:firstLine="0"/>
        <w:jc w:val="left"/>
        <w:rPr>
          <w:sz w:val="12"/>
        </w:rPr>
      </w:pPr>
      <w:r>
        <w:rPr/>
        <w:pict>
          <v:line style="position:absolute;mso-position-horizontal-relative:page;mso-position-vertical-relative:paragraph;z-index:16094208" from="52.833pt,7.847621pt" to="48.5pt,7.847621pt" stroked="true" strokeweight=".5pt" strokecolor="#000000">
            <v:stroke dashstyle="solid"/>
            <w10:wrap type="none"/>
          </v:line>
        </w:pict>
      </w:r>
      <w:r>
        <w:rPr>
          <w:sz w:val="12"/>
        </w:rPr>
        <w:t>10</w:t>
      </w:r>
    </w:p>
    <w:p>
      <w:pPr>
        <w:pStyle w:val="BodyText"/>
        <w:rPr>
          <w:sz w:val="12"/>
        </w:rPr>
      </w:pPr>
    </w:p>
    <w:p>
      <w:pPr>
        <w:spacing w:before="82"/>
        <w:ind w:left="234" w:right="0" w:firstLine="0"/>
        <w:jc w:val="left"/>
        <w:rPr>
          <w:sz w:val="12"/>
        </w:rPr>
      </w:pPr>
      <w:r>
        <w:rPr/>
        <w:pict>
          <v:line style="position:absolute;mso-position-horizontal-relative:page;mso-position-vertical-relative:paragraph;z-index:16093696" from="52.833pt,7.790317pt" to="48.5pt,7.790317pt" stroked="true" strokeweight=".5pt" strokecolor="#000000">
            <v:stroke dashstyle="solid"/>
            <w10:wrap type="none"/>
          </v:line>
        </w:pict>
      </w:r>
      <w:r>
        <w:rPr>
          <w:sz w:val="12"/>
        </w:rPr>
        <w:t>9</w:t>
      </w:r>
    </w:p>
    <w:p>
      <w:pPr>
        <w:pStyle w:val="BodyText"/>
        <w:rPr>
          <w:sz w:val="12"/>
        </w:rPr>
      </w:pPr>
    </w:p>
    <w:p>
      <w:pPr>
        <w:spacing w:before="82"/>
        <w:ind w:left="234" w:right="0" w:firstLine="0"/>
        <w:jc w:val="left"/>
        <w:rPr>
          <w:sz w:val="12"/>
        </w:rPr>
      </w:pPr>
      <w:r>
        <w:rPr/>
        <w:pict>
          <v:line style="position:absolute;mso-position-horizontal-relative:page;mso-position-vertical-relative:paragraph;z-index:16094720" from="52.833pt,7.733509pt" to="48.5pt,7.733509pt" stroked="true" strokeweight=".5pt" strokecolor="#000000">
            <v:stroke dashstyle="solid"/>
            <w10:wrap type="none"/>
          </v:line>
        </w:pict>
      </w:r>
      <w:r>
        <w:rPr>
          <w:sz w:val="12"/>
        </w:rPr>
        <w:t>8</w:t>
      </w:r>
    </w:p>
    <w:p>
      <w:pPr>
        <w:pStyle w:val="BodyText"/>
        <w:rPr>
          <w:sz w:val="12"/>
        </w:rPr>
      </w:pPr>
    </w:p>
    <w:p>
      <w:pPr>
        <w:spacing w:before="82"/>
        <w:ind w:left="234" w:right="0" w:firstLine="0"/>
        <w:jc w:val="left"/>
        <w:rPr>
          <w:sz w:val="12"/>
        </w:rPr>
      </w:pPr>
      <w:r>
        <w:rPr/>
        <w:pict>
          <v:line style="position:absolute;mso-position-horizontal-relative:page;mso-position-vertical-relative:paragraph;z-index:16092160" from="52.833pt,7.675716pt" to="48.5pt,7.675716pt" stroked="true" strokeweight=".5pt" strokecolor="#000000">
            <v:stroke dashstyle="solid"/>
            <w10:wrap type="none"/>
          </v:line>
        </w:pict>
      </w:r>
      <w:r>
        <w:rPr>
          <w:sz w:val="12"/>
        </w:rPr>
        <w:t>7</w:t>
      </w:r>
    </w:p>
    <w:p>
      <w:pPr>
        <w:pStyle w:val="BodyText"/>
        <w:rPr>
          <w:sz w:val="12"/>
        </w:rPr>
      </w:pPr>
    </w:p>
    <w:p>
      <w:pPr>
        <w:spacing w:before="82"/>
        <w:ind w:left="234" w:right="0" w:firstLine="0"/>
        <w:jc w:val="left"/>
        <w:rPr>
          <w:sz w:val="12"/>
        </w:rPr>
      </w:pPr>
      <w:r>
        <w:rPr/>
        <w:pict>
          <v:line style="position:absolute;mso-position-horizontal-relative:page;mso-position-vertical-relative:paragraph;z-index:16092672" from="52.833pt,7.617916pt" to="48.5pt,7.617916pt" stroked="true" strokeweight=".5pt" strokecolor="#000000">
            <v:stroke dashstyle="solid"/>
            <w10:wrap type="none"/>
          </v:line>
        </w:pict>
      </w:r>
      <w:r>
        <w:rPr>
          <w:sz w:val="12"/>
        </w:rPr>
        <w:t>6</w:t>
      </w:r>
    </w:p>
    <w:p>
      <w:pPr>
        <w:pStyle w:val="BodyText"/>
        <w:rPr>
          <w:sz w:val="12"/>
        </w:rPr>
      </w:pPr>
    </w:p>
    <w:p>
      <w:pPr>
        <w:spacing w:line="32" w:lineRule="exact" w:before="82"/>
        <w:ind w:left="234" w:right="0" w:firstLine="0"/>
        <w:jc w:val="left"/>
        <w:rPr>
          <w:sz w:val="12"/>
        </w:rPr>
      </w:pPr>
      <w:r>
        <w:rPr/>
        <w:pict>
          <v:group style="position:absolute;margin-left:48.5pt;margin-top:7.311115pt;width:161.3pt;height:7.35pt;mso-position-horizontal-relative:page;mso-position-vertical-relative:paragraph;z-index:-22051840" coordorigin="970,146" coordsize="3226,147">
            <v:shape style="position:absolute;left:970;top:164;width:3206;height:122" coordorigin="970,165" coordsize="3206,122" path="m1156,285l970,285m4176,285l3910,285m1147,285l4010,285m1145,233l1145,286m1513,233l1513,286m2067,233l2067,286m3173,233l3173,286m2435,233l2435,286m3541,233l3541,286m1329,233l1329,286m1698,233l1698,286m2620,233l2620,286m2804,233l2804,286m1882,233l1882,286m2988,233l2988,286m2251,233l2251,286m3357,233l3357,286m3910,233l3910,286m3726,233l3726,286m4176,165l4089,165e" filled="false" stroked="true" strokeweight=".5pt" strokecolor="#000000">
              <v:path arrowok="t"/>
              <v:stroke dashstyle="solid"/>
            </v:shape>
            <v:shape style="position:absolute;left:4150;top:161;width:40;height:127" coordorigin="4151,161" coordsize="40,127" path="m4171,161l4171,188,4151,204,4191,218,4151,238,4191,255,4168,265,4167,288e" filled="false" stroked="true" strokeweight=".5pt" strokecolor="#000000">
              <v:path arrowok="t"/>
              <v:stroke dashstyle="solid"/>
            </v:shape>
            <v:line style="position:absolute" from="1057,151" to="970,151" stroked="true" strokeweight=".5pt" strokecolor="#000000">
              <v:stroke dashstyle="solid"/>
            </v:line>
            <v:shape style="position:absolute;left:1033;top:155;width:40;height:127" coordorigin="1034,155" coordsize="40,127" path="m1054,155l1054,182,1034,198,1074,212,1034,232,1074,249,1050,259,1050,282e" filled="false" stroked="true" strokeweight=".5pt" strokecolor="#000000">
              <v:path arrowok="t"/>
              <v:stroke dashstyle="solid"/>
            </v:shape>
            <w10:wrap type="none"/>
          </v:group>
        </w:pict>
      </w:r>
      <w:r>
        <w:rPr>
          <w:sz w:val="12"/>
        </w:rPr>
        <w:t>5</w:t>
      </w:r>
    </w:p>
    <w:p>
      <w:pPr>
        <w:pStyle w:val="BodyText"/>
        <w:spacing w:before="6"/>
        <w:rPr>
          <w:sz w:val="9"/>
        </w:rPr>
      </w:pPr>
      <w:r>
        <w:rPr/>
        <w:br w:type="column"/>
      </w:r>
      <w:r>
        <w:rPr>
          <w:sz w:val="9"/>
        </w:rPr>
      </w:r>
    </w:p>
    <w:p>
      <w:pPr>
        <w:spacing w:line="116" w:lineRule="exact" w:before="0"/>
        <w:ind w:left="174" w:right="0" w:firstLine="0"/>
        <w:jc w:val="left"/>
        <w:rPr>
          <w:sz w:val="12"/>
        </w:rPr>
      </w:pPr>
      <w:r>
        <w:rPr>
          <w:sz w:val="12"/>
        </w:rPr>
        <w:t>Per cent</w:t>
      </w:r>
    </w:p>
    <w:p>
      <w:pPr>
        <w:spacing w:line="116" w:lineRule="exact" w:before="0"/>
        <w:ind w:left="608" w:right="0" w:firstLine="0"/>
        <w:jc w:val="left"/>
        <w:rPr>
          <w:sz w:val="12"/>
        </w:rPr>
      </w:pPr>
      <w:r>
        <w:rPr/>
        <w:pict>
          <v:line style="position:absolute;mso-position-horizontal-relative:page;mso-position-vertical-relative:paragraph;z-index:16095232" from="208.791993pt,3.152452pt" to="204.457993pt,3.152452pt" stroked="true" strokeweight=".5pt" strokecolor="#000000">
            <v:stroke dashstyle="solid"/>
            <w10:wrap type="none"/>
          </v:line>
        </w:pict>
      </w:r>
      <w:r>
        <w:rPr>
          <w:sz w:val="12"/>
        </w:rPr>
        <w:t>24</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095744" from="208.791993pt,8.326366pt" to="204.457993pt,8.326366pt" stroked="true" strokeweight=".5pt" strokecolor="#000000">
            <v:stroke dashstyle="solid"/>
            <w10:wrap type="none"/>
          </v:line>
        </w:pict>
      </w:r>
      <w:r>
        <w:rPr>
          <w:sz w:val="12"/>
        </w:rPr>
        <w:t>23</w:t>
      </w: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6096256" from="208.791993pt,7.984564pt" to="204.457993pt,7.984564pt" stroked="true" strokeweight=".5pt" strokecolor="#000000">
            <v:stroke dashstyle="solid"/>
            <w10:wrap type="none"/>
          </v:line>
        </w:pict>
      </w:r>
      <w:r>
        <w:rPr>
          <w:sz w:val="12"/>
        </w:rPr>
        <w:t>22</w:t>
      </w:r>
    </w:p>
    <w:p>
      <w:pPr>
        <w:pStyle w:val="BodyText"/>
        <w:rPr>
          <w:sz w:val="12"/>
        </w:rPr>
      </w:pPr>
    </w:p>
    <w:p>
      <w:pPr>
        <w:spacing w:before="89"/>
        <w:ind w:left="0" w:right="38" w:firstLine="0"/>
        <w:jc w:val="right"/>
        <w:rPr>
          <w:sz w:val="12"/>
        </w:rPr>
      </w:pPr>
      <w:r>
        <w:rPr/>
        <w:pict>
          <v:line style="position:absolute;mso-position-horizontal-relative:page;mso-position-vertical-relative:paragraph;z-index:16098304" from="208.791993pt,8.468366pt" to="204.457993pt,8.468366pt" stroked="true" strokeweight=".5pt" strokecolor="#000000">
            <v:stroke dashstyle="solid"/>
            <w10:wrap type="none"/>
          </v:line>
        </w:pict>
      </w:r>
      <w:r>
        <w:rPr>
          <w:sz w:val="12"/>
        </w:rPr>
        <w:t>21</w:t>
      </w:r>
    </w:p>
    <w:p>
      <w:pPr>
        <w:pStyle w:val="BodyText"/>
        <w:rPr>
          <w:sz w:val="12"/>
        </w:rPr>
      </w:pPr>
    </w:p>
    <w:p>
      <w:pPr>
        <w:spacing w:before="89"/>
        <w:ind w:left="0" w:right="38" w:firstLine="0"/>
        <w:jc w:val="right"/>
        <w:rPr>
          <w:sz w:val="12"/>
        </w:rPr>
      </w:pPr>
      <w:r>
        <w:rPr/>
        <w:pict>
          <v:line style="position:absolute;mso-position-horizontal-relative:page;mso-position-vertical-relative:paragraph;z-index:16097792" from="208.791993pt,8.051167pt" to="204.457993pt,8.051167pt" stroked="true" strokeweight=".5pt" strokecolor="#000000">
            <v:stroke dashstyle="solid"/>
            <w10:wrap type="none"/>
          </v:line>
        </w:pict>
      </w:r>
      <w:r>
        <w:rPr>
          <w:sz w:val="12"/>
        </w:rPr>
        <w:t>20</w:t>
      </w:r>
    </w:p>
    <w:p>
      <w:pPr>
        <w:pStyle w:val="BodyText"/>
        <w:rPr>
          <w:sz w:val="12"/>
        </w:rPr>
      </w:pPr>
    </w:p>
    <w:p>
      <w:pPr>
        <w:spacing w:before="72"/>
        <w:ind w:left="0" w:right="38" w:firstLine="0"/>
        <w:jc w:val="right"/>
        <w:rPr>
          <w:sz w:val="12"/>
        </w:rPr>
      </w:pPr>
      <w:r>
        <w:rPr/>
        <w:pict>
          <v:line style="position:absolute;mso-position-horizontal-relative:page;mso-position-vertical-relative:paragraph;z-index:16098816" from="208.791993pt,7.659366pt" to="204.457993pt,7.659366pt" stroked="true" strokeweight=".5pt" strokecolor="#000000">
            <v:stroke dashstyle="solid"/>
            <w10:wrap type="none"/>
          </v:line>
        </w:pict>
      </w:r>
      <w:r>
        <w:rPr>
          <w:sz w:val="12"/>
        </w:rPr>
        <w:t>19</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096768" from="208.791993pt,8.068564pt" to="204.457993pt,8.068564pt" stroked="true" strokeweight=".5pt" strokecolor="#000000">
            <v:stroke dashstyle="solid"/>
            <w10:wrap type="none"/>
          </v:line>
        </w:pict>
      </w:r>
      <w:r>
        <w:rPr>
          <w:sz w:val="12"/>
        </w:rPr>
        <w:t>18</w:t>
      </w:r>
    </w:p>
    <w:p>
      <w:pPr>
        <w:pStyle w:val="BodyText"/>
        <w:rPr>
          <w:sz w:val="12"/>
        </w:rPr>
      </w:pPr>
    </w:p>
    <w:p>
      <w:pPr>
        <w:spacing w:before="72"/>
        <w:ind w:left="0" w:right="38" w:firstLine="0"/>
        <w:jc w:val="right"/>
        <w:rPr>
          <w:sz w:val="12"/>
        </w:rPr>
      </w:pPr>
      <w:r>
        <w:rPr/>
        <w:pict>
          <v:line style="position:absolute;mso-position-horizontal-relative:page;mso-position-vertical-relative:paragraph;z-index:16097280" from="208.791993pt,7.826763pt" to="204.457993pt,7.826763pt" stroked="true" strokeweight=".5pt" strokecolor="#000000">
            <v:stroke dashstyle="solid"/>
            <w10:wrap type="none"/>
          </v:line>
        </w:pict>
      </w:r>
      <w:r>
        <w:rPr>
          <w:sz w:val="12"/>
        </w:rPr>
        <w:t>17</w:t>
      </w:r>
    </w:p>
    <w:p>
      <w:pPr>
        <w:pStyle w:val="BodyText"/>
        <w:rPr>
          <w:sz w:val="12"/>
        </w:rPr>
      </w:pPr>
    </w:p>
    <w:p>
      <w:pPr>
        <w:spacing w:line="25" w:lineRule="exact" w:before="89"/>
        <w:ind w:left="608" w:right="0" w:firstLine="0"/>
        <w:jc w:val="left"/>
        <w:rPr>
          <w:sz w:val="12"/>
        </w:rPr>
      </w:pPr>
      <w:r>
        <w:rPr>
          <w:sz w:val="12"/>
        </w:rPr>
        <w:t>16</w:t>
      </w:r>
    </w:p>
    <w:p>
      <w:pPr>
        <w:pStyle w:val="Heading6"/>
        <w:spacing w:line="242" w:lineRule="auto" w:before="1"/>
        <w:ind w:left="174" w:right="165"/>
      </w:pPr>
      <w:r>
        <w:rPr/>
        <w:br w:type="column"/>
      </w:r>
      <w:r>
        <w:rPr/>
        <w:t>for work, or are searching for work but not currently available to start, is much higher (see Chart 3.8). This could be relevant for the interpretation of the current level of unemployment, because many of the inactive are loosely attached to the labour market and can, to a degree, be considered as part of the available labour supply. They may, as a result, exert some downward pressure on wage rates, though perhaps to a lesser extent than those who are recorded as unemployed.</w:t>
      </w:r>
    </w:p>
    <w:p>
      <w:pPr>
        <w:pStyle w:val="BodyText"/>
        <w:spacing w:before="4"/>
        <w:rPr>
          <w:sz w:val="25"/>
        </w:rPr>
      </w:pPr>
    </w:p>
    <w:p>
      <w:pPr>
        <w:spacing w:before="0"/>
        <w:ind w:left="174" w:right="0" w:firstLine="0"/>
        <w:jc w:val="left"/>
        <w:rPr>
          <w:sz w:val="24"/>
        </w:rPr>
      </w:pPr>
      <w:r>
        <w:rPr>
          <w:sz w:val="24"/>
        </w:rPr>
        <w:t>Table 3.C shows the proportion of individuals who</w:t>
      </w:r>
    </w:p>
    <w:p>
      <w:pPr>
        <w:spacing w:after="0"/>
        <w:jc w:val="left"/>
        <w:rPr>
          <w:sz w:val="24"/>
        </w:rPr>
        <w:sectPr>
          <w:type w:val="continuous"/>
          <w:pgSz w:w="11900" w:h="16840"/>
          <w:pgMar w:top="1220" w:bottom="280" w:left="620" w:right="640"/>
          <w:cols w:num="3" w:equalWidth="0">
            <w:col w:w="780" w:space="2211"/>
            <w:col w:w="769" w:space="1036"/>
            <w:col w:w="5844"/>
          </w:cols>
        </w:sectPr>
      </w:pPr>
    </w:p>
    <w:p>
      <w:pPr>
        <w:tabs>
          <w:tab w:pos="3619" w:val="left" w:leader="none"/>
        </w:tabs>
        <w:spacing w:line="120" w:lineRule="exact" w:before="85"/>
        <w:ind w:left="194" w:right="0" w:firstLine="0"/>
        <w:jc w:val="center"/>
        <w:rPr>
          <w:sz w:val="12"/>
        </w:rPr>
      </w:pPr>
      <w:r>
        <w:rPr>
          <w:color w:val="231F20"/>
          <w:sz w:val="12"/>
        </w:rPr>
        <w:t>0</w:t>
        <w:tab/>
        <w:t>0</w:t>
      </w:r>
    </w:p>
    <w:p>
      <w:pPr>
        <w:spacing w:line="120" w:lineRule="exact" w:before="0"/>
        <w:ind w:left="132" w:right="0" w:firstLine="0"/>
        <w:jc w:val="center"/>
        <w:rPr>
          <w:sz w:val="12"/>
        </w:rPr>
      </w:pPr>
      <w:r>
        <w:rPr>
          <w:sz w:val="12"/>
        </w:rPr>
        <w:t>1984 85 86 87 88 89 90 91 92 93 94 95 96 97 98 99</w:t>
      </w:r>
    </w:p>
    <w:p>
      <w:pPr>
        <w:spacing w:before="75"/>
        <w:ind w:left="190" w:right="0" w:firstLine="0"/>
        <w:jc w:val="left"/>
        <w:rPr>
          <w:sz w:val="12"/>
        </w:rPr>
      </w:pPr>
      <w:r>
        <w:rPr>
          <w:sz w:val="12"/>
        </w:rPr>
        <w:t>(a) Pre-1992 figures based on yearly observations.</w:t>
      </w:r>
    </w:p>
    <w:p>
      <w:pPr>
        <w:pStyle w:val="Heading6"/>
        <w:spacing w:line="266" w:lineRule="exact"/>
      </w:pPr>
      <w:r>
        <w:rPr/>
        <w:br w:type="column"/>
      </w:r>
      <w:r>
        <w:rPr/>
        <w:t>moved from one of seven different categories of</w:t>
      </w:r>
    </w:p>
    <w:p>
      <w:pPr>
        <w:spacing w:before="4"/>
        <w:ind w:left="190" w:right="0" w:firstLine="0"/>
        <w:jc w:val="left"/>
        <w:rPr>
          <w:sz w:val="24"/>
        </w:rPr>
      </w:pPr>
      <w:r>
        <w:rPr>
          <w:sz w:val="24"/>
        </w:rPr>
        <w:t>non-employment during the spring quarter (March to</w:t>
      </w:r>
    </w:p>
    <w:p>
      <w:pPr>
        <w:spacing w:after="0"/>
        <w:jc w:val="left"/>
        <w:rPr>
          <w:sz w:val="24"/>
        </w:rPr>
        <w:sectPr>
          <w:type w:val="continuous"/>
          <w:pgSz w:w="11900" w:h="16840"/>
          <w:pgMar w:top="1220" w:bottom="280" w:left="620" w:right="640"/>
          <w:cols w:num="2" w:equalWidth="0">
            <w:col w:w="3761" w:space="1019"/>
            <w:col w:w="5860"/>
          </w:cols>
        </w:sectPr>
      </w:pPr>
    </w:p>
    <w:p>
      <w:pPr>
        <w:pStyle w:val="BodyText"/>
        <w:rPr>
          <w:sz w:val="20"/>
        </w:rPr>
      </w:pPr>
    </w:p>
    <w:p>
      <w:pPr>
        <w:spacing w:after="0"/>
        <w:rPr>
          <w:sz w:val="20"/>
        </w:rPr>
        <w:sectPr>
          <w:headerReference w:type="default" r:id="rId111"/>
          <w:headerReference w:type="even" r:id="rId112"/>
          <w:footerReference w:type="default" r:id="rId113"/>
          <w:footerReference w:type="even" r:id="rId114"/>
          <w:pgSz w:w="11900" w:h="16840"/>
          <w:pgMar w:header="586" w:footer="617" w:top="780" w:bottom="800" w:left="620" w:right="640"/>
          <w:pgNumType w:start="29"/>
        </w:sectPr>
      </w:pPr>
    </w:p>
    <w:p>
      <w:pPr>
        <w:pStyle w:val="BodyText"/>
        <w:rPr>
          <w:sz w:val="22"/>
        </w:rPr>
      </w:pPr>
    </w:p>
    <w:p>
      <w:pPr>
        <w:pStyle w:val="BodyText"/>
        <w:rPr>
          <w:sz w:val="22"/>
        </w:rPr>
      </w:pPr>
    </w:p>
    <w:p>
      <w:pPr>
        <w:pStyle w:val="BodyText"/>
        <w:rPr>
          <w:sz w:val="22"/>
        </w:rPr>
      </w:pPr>
    </w:p>
    <w:p>
      <w:pPr>
        <w:pStyle w:val="Heading9"/>
        <w:spacing w:before="197"/>
        <w:ind w:left="198"/>
      </w:pPr>
      <w:r>
        <w:rPr>
          <w:color w:val="0093C1"/>
        </w:rPr>
        <w:t>Table 3.C</w:t>
      </w:r>
    </w:p>
    <w:p>
      <w:pPr>
        <w:spacing w:line="249" w:lineRule="auto" w:before="10"/>
        <w:ind w:left="198" w:right="293" w:firstLine="0"/>
        <w:jc w:val="left"/>
        <w:rPr>
          <w:sz w:val="12"/>
        </w:rPr>
      </w:pPr>
      <w:r>
        <w:rPr>
          <w:b/>
          <w:color w:val="0093C1"/>
          <w:sz w:val="20"/>
        </w:rPr>
        <w:t>Movements from unemployment and inactivity into employment</w:t>
      </w:r>
      <w:r>
        <w:rPr>
          <w:position w:val="4"/>
          <w:sz w:val="12"/>
        </w:rPr>
        <w:t>(a)</w:t>
      </w:r>
    </w:p>
    <w:p>
      <w:pPr>
        <w:tabs>
          <w:tab w:pos="3644" w:val="left" w:leader="none"/>
        </w:tabs>
        <w:spacing w:line="208" w:lineRule="auto" w:before="115"/>
        <w:ind w:left="1998" w:right="874" w:firstLine="0"/>
        <w:jc w:val="left"/>
        <w:rPr>
          <w:sz w:val="14"/>
        </w:rPr>
      </w:pPr>
      <w:r>
        <w:rPr>
          <w:sz w:val="14"/>
        </w:rPr>
        <w:t>Proportion who became employed during the next </w:t>
      </w:r>
      <w:r>
        <w:rPr>
          <w:sz w:val="14"/>
          <w:u w:val="single"/>
        </w:rPr>
        <w:t>three months</w:t>
        <w:tab/>
      </w:r>
    </w:p>
    <w:p>
      <w:pPr>
        <w:tabs>
          <w:tab w:pos="2908" w:val="left" w:leader="none"/>
          <w:tab w:pos="3745" w:val="left" w:leader="none"/>
        </w:tabs>
        <w:spacing w:line="208" w:lineRule="auto" w:before="40"/>
        <w:ind w:left="1998" w:right="38" w:firstLine="0"/>
        <w:jc w:val="left"/>
        <w:rPr>
          <w:sz w:val="14"/>
        </w:rPr>
      </w:pPr>
      <w:r>
        <w:rPr>
          <w:sz w:val="14"/>
        </w:rPr>
        <w:t>Average</w:t>
        <w:tab/>
        <w:t>Range</w:t>
        <w:tab/>
        <w:t>Number in (1993–99) </w:t>
      </w:r>
      <w:r>
        <w:rPr>
          <w:sz w:val="12"/>
        </w:rPr>
        <w:t>(b) </w:t>
      </w:r>
      <w:r>
        <w:rPr>
          <w:sz w:val="14"/>
        </w:rPr>
        <w:t>(1993–99) </w:t>
      </w:r>
      <w:r>
        <w:rPr>
          <w:sz w:val="12"/>
        </w:rPr>
        <w:t>(b)  </w:t>
      </w:r>
      <w:r>
        <w:rPr>
          <w:sz w:val="14"/>
        </w:rPr>
        <w:t>category in (per cent)</w:t>
        <w:tab/>
        <w:t>(per cent)</w:t>
        <w:tab/>
        <w:t>autumn</w:t>
      </w:r>
      <w:r>
        <w:rPr>
          <w:spacing w:val="2"/>
          <w:sz w:val="14"/>
        </w:rPr>
        <w:t> </w:t>
      </w:r>
      <w:r>
        <w:rPr>
          <w:spacing w:val="-5"/>
          <w:sz w:val="14"/>
        </w:rPr>
        <w:t>1999</w:t>
      </w:r>
    </w:p>
    <w:p>
      <w:pPr>
        <w:spacing w:line="144" w:lineRule="exact" w:before="0"/>
        <w:ind w:left="3745" w:right="0" w:firstLine="0"/>
        <w:jc w:val="left"/>
        <w:rPr>
          <w:sz w:val="14"/>
        </w:rPr>
      </w:pPr>
      <w:r>
        <w:rPr>
          <w:sz w:val="14"/>
        </w:rPr>
        <w:t>(thousands)</w:t>
      </w:r>
    </w:p>
    <w:p>
      <w:pPr>
        <w:pStyle w:val="BodyText"/>
        <w:spacing w:line="20" w:lineRule="exact"/>
        <w:ind w:left="1980" w:right="-29"/>
        <w:rPr>
          <w:sz w:val="2"/>
        </w:rPr>
      </w:pPr>
      <w:r>
        <w:rPr>
          <w:sz w:val="2"/>
        </w:rPr>
        <w:pict>
          <v:group style="width:39.4pt;height:.15pt;mso-position-horizontal-relative:char;mso-position-vertical-relative:line" coordorigin="0,0" coordsize="788,3">
            <v:line style="position:absolute" from="0,1" to="788,1" stroked="true" strokeweight=".125pt" strokecolor="#000000">
              <v:stroke dashstyle="solid"/>
            </v:line>
          </v:group>
        </w:pict>
      </w:r>
      <w:r>
        <w:rPr>
          <w:sz w:val="2"/>
        </w:rPr>
      </w:r>
      <w:r>
        <w:rPr>
          <w:spacing w:val="110"/>
          <w:sz w:val="2"/>
        </w:rPr>
        <w:t> </w:t>
      </w:r>
      <w:r>
        <w:rPr>
          <w:spacing w:val="110"/>
          <w:sz w:val="2"/>
        </w:rPr>
        <w:pict>
          <v:group style="width:37.9pt;height:.15pt;mso-position-horizontal-relative:char;mso-position-vertical-relative:line" coordorigin="0,0" coordsize="758,3">
            <v:line style="position:absolute" from="0,1" to="757,1" stroked="true" strokeweight=".125pt" strokecolor="#000000">
              <v:stroke dashstyle="solid"/>
            </v:line>
          </v:group>
        </w:pict>
      </w:r>
      <w:r>
        <w:rPr>
          <w:spacing w:val="110"/>
          <w:sz w:val="2"/>
        </w:rPr>
      </w:r>
      <w:r>
        <w:rPr>
          <w:spacing w:val="64"/>
          <w:sz w:val="2"/>
        </w:rPr>
        <w:t> </w:t>
      </w:r>
      <w:r>
        <w:rPr>
          <w:spacing w:val="64"/>
          <w:sz w:val="2"/>
        </w:rPr>
        <w:pict>
          <v:group style="width:36.25pt;height:.15pt;mso-position-horizontal-relative:char;mso-position-vertical-relative:line" coordorigin="0,0" coordsize="725,3">
            <v:line style="position:absolute" from="0,1" to="725,1" stroked="true" strokeweight=".125pt" strokecolor="#000000">
              <v:stroke dashstyle="solid"/>
            </v:line>
          </v:group>
        </w:pict>
      </w:r>
      <w:r>
        <w:rPr>
          <w:spacing w:val="64"/>
          <w:sz w:val="2"/>
        </w:rPr>
      </w:r>
    </w:p>
    <w:p>
      <w:pPr>
        <w:spacing w:before="97"/>
        <w:ind w:left="198" w:right="0" w:firstLine="0"/>
        <w:jc w:val="left"/>
        <w:rPr>
          <w:b/>
          <w:sz w:val="14"/>
        </w:rPr>
      </w:pPr>
      <w:r>
        <w:rPr>
          <w:b/>
          <w:sz w:val="14"/>
        </w:rPr>
        <w:t>Unemployment</w:t>
      </w:r>
    </w:p>
    <w:p>
      <w:pPr>
        <w:tabs>
          <w:tab w:pos="2383" w:val="left" w:leader="none"/>
          <w:tab w:pos="2962" w:val="left" w:leader="none"/>
          <w:tab w:pos="4218" w:val="right" w:leader="none"/>
        </w:tabs>
        <w:spacing w:line="150" w:lineRule="exact" w:before="119"/>
        <w:ind w:left="198" w:right="0" w:firstLine="0"/>
        <w:jc w:val="left"/>
        <w:rPr>
          <w:sz w:val="14"/>
        </w:rPr>
      </w:pPr>
      <w:r>
        <w:rPr>
          <w:sz w:val="14"/>
        </w:rPr>
        <w:t>Unemployed less than six months</w:t>
        <w:tab/>
        <w:t>34.6</w:t>
        <w:tab/>
        <w:t>30.2–37.9</w:t>
        <w:tab/>
        <w:t>954</w:t>
      </w:r>
    </w:p>
    <w:p>
      <w:pPr>
        <w:tabs>
          <w:tab w:pos="2383" w:val="left" w:leader="none"/>
          <w:tab w:pos="2962" w:val="left" w:leader="none"/>
          <w:tab w:pos="4218" w:val="right" w:leader="none"/>
        </w:tabs>
        <w:spacing w:line="140" w:lineRule="exact" w:before="0"/>
        <w:ind w:left="198" w:right="0" w:firstLine="0"/>
        <w:jc w:val="left"/>
        <w:rPr>
          <w:sz w:val="14"/>
        </w:rPr>
      </w:pPr>
      <w:r>
        <w:rPr>
          <w:sz w:val="14"/>
        </w:rPr>
        <w:t>Unemployed six to twelve months</w:t>
        <w:tab/>
        <w:t>23.0</w:t>
        <w:tab/>
        <w:t>19.0–27.7</w:t>
        <w:tab/>
        <w:t>258</w:t>
      </w:r>
    </w:p>
    <w:p>
      <w:pPr>
        <w:spacing w:line="140" w:lineRule="exact" w:before="0"/>
        <w:ind w:left="198" w:right="0" w:firstLine="0"/>
        <w:jc w:val="left"/>
        <w:rPr>
          <w:sz w:val="14"/>
        </w:rPr>
      </w:pPr>
      <w:r>
        <w:rPr>
          <w:sz w:val="14"/>
        </w:rPr>
        <w:t>Unemployed more than twelve</w:t>
      </w:r>
    </w:p>
    <w:p>
      <w:pPr>
        <w:tabs>
          <w:tab w:pos="2383" w:val="left" w:leader="none"/>
          <w:tab w:pos="2962" w:val="left" w:leader="none"/>
          <w:tab w:pos="4218" w:val="right" w:leader="none"/>
        </w:tabs>
        <w:spacing w:line="150" w:lineRule="exact" w:before="0"/>
        <w:ind w:left="268" w:right="0" w:firstLine="0"/>
        <w:jc w:val="left"/>
        <w:rPr>
          <w:sz w:val="14"/>
        </w:rPr>
      </w:pPr>
      <w:r>
        <w:rPr>
          <w:sz w:val="14"/>
        </w:rPr>
        <w:t>months</w:t>
        <w:tab/>
        <w:t>11.3</w:t>
        <w:tab/>
        <w:t>10.1–13.4</w:t>
        <w:tab/>
        <w:t>493</w:t>
      </w:r>
    </w:p>
    <w:p>
      <w:pPr>
        <w:spacing w:before="119"/>
        <w:ind w:left="198" w:right="0" w:firstLine="0"/>
        <w:jc w:val="left"/>
        <w:rPr>
          <w:b/>
          <w:sz w:val="14"/>
        </w:rPr>
      </w:pPr>
      <w:r>
        <w:rPr>
          <w:b/>
          <w:sz w:val="14"/>
        </w:rPr>
        <w:t>Inactivity</w:t>
      </w:r>
    </w:p>
    <w:p>
      <w:pPr>
        <w:spacing w:line="150" w:lineRule="exact" w:before="119"/>
        <w:ind w:left="198" w:right="0" w:firstLine="0"/>
        <w:jc w:val="left"/>
        <w:rPr>
          <w:sz w:val="14"/>
        </w:rPr>
      </w:pPr>
      <w:r>
        <w:rPr>
          <w:sz w:val="14"/>
        </w:rPr>
        <w:t>Searching for work, but unavailable</w:t>
      </w:r>
    </w:p>
    <w:p>
      <w:pPr>
        <w:tabs>
          <w:tab w:pos="2383" w:val="left" w:leader="none"/>
          <w:tab w:pos="2962" w:val="left" w:leader="none"/>
          <w:tab w:pos="4218" w:val="right" w:leader="none"/>
        </w:tabs>
        <w:spacing w:line="140" w:lineRule="exact" w:before="0"/>
        <w:ind w:left="268" w:right="0" w:firstLine="0"/>
        <w:jc w:val="left"/>
        <w:rPr>
          <w:sz w:val="14"/>
        </w:rPr>
      </w:pPr>
      <w:r>
        <w:rPr>
          <w:sz w:val="14"/>
        </w:rPr>
        <w:t>to start</w:t>
        <w:tab/>
        <w:t>28.1</w:t>
        <w:tab/>
        <w:t>23.9–32.0</w:t>
        <w:tab/>
        <w:t>213</w:t>
      </w:r>
    </w:p>
    <w:p>
      <w:pPr>
        <w:spacing w:line="208" w:lineRule="auto" w:before="7"/>
        <w:ind w:left="268" w:right="2418" w:hanging="70"/>
        <w:jc w:val="left"/>
        <w:rPr>
          <w:sz w:val="14"/>
        </w:rPr>
      </w:pPr>
      <w:r>
        <w:rPr>
          <w:sz w:val="14"/>
        </w:rPr>
        <w:t>Discouraged (wants a job but not searching because believes none</w:t>
      </w:r>
    </w:p>
    <w:p>
      <w:pPr>
        <w:tabs>
          <w:tab w:pos="2453" w:val="left" w:leader="none"/>
          <w:tab w:pos="3102" w:val="left" w:leader="none"/>
          <w:tab w:pos="4218" w:val="right" w:leader="none"/>
        </w:tabs>
        <w:spacing w:line="133" w:lineRule="exact" w:before="0"/>
        <w:ind w:left="268" w:right="0" w:firstLine="0"/>
        <w:jc w:val="left"/>
        <w:rPr>
          <w:sz w:val="14"/>
        </w:rPr>
      </w:pPr>
      <w:r>
        <w:rPr>
          <w:sz w:val="14"/>
        </w:rPr>
        <w:t>available)</w:t>
      </w:r>
      <w:r>
        <w:rPr>
          <w:spacing w:val="-1"/>
          <w:sz w:val="14"/>
        </w:rPr>
        <w:t> </w:t>
      </w:r>
      <w:r>
        <w:rPr>
          <w:sz w:val="12"/>
        </w:rPr>
        <w:t>(c)</w:t>
        <w:tab/>
      </w:r>
      <w:r>
        <w:rPr>
          <w:sz w:val="14"/>
        </w:rPr>
        <w:t>5.3</w:t>
        <w:tab/>
        <w:t>4.0–7.1</w:t>
        <w:tab/>
        <w:t>61</w:t>
      </w:r>
    </w:p>
    <w:p>
      <w:pPr>
        <w:spacing w:line="140" w:lineRule="exact" w:before="0"/>
        <w:ind w:left="198" w:right="0" w:firstLine="0"/>
        <w:jc w:val="left"/>
        <w:rPr>
          <w:sz w:val="14"/>
        </w:rPr>
      </w:pPr>
      <w:r>
        <w:rPr>
          <w:sz w:val="14"/>
        </w:rPr>
        <w:t>Wants a job but not searching for</w:t>
      </w:r>
    </w:p>
    <w:p>
      <w:pPr>
        <w:tabs>
          <w:tab w:pos="2453" w:val="left" w:leader="none"/>
          <w:tab w:pos="3102" w:val="left" w:leader="none"/>
          <w:tab w:pos="3903" w:val="left" w:leader="none"/>
        </w:tabs>
        <w:spacing w:line="140" w:lineRule="exact" w:before="0"/>
        <w:ind w:left="268" w:right="0" w:firstLine="0"/>
        <w:jc w:val="left"/>
        <w:rPr>
          <w:sz w:val="14"/>
        </w:rPr>
      </w:pPr>
      <w:r>
        <w:rPr>
          <w:sz w:val="14"/>
        </w:rPr>
        <w:t>some other reason</w:t>
        <w:tab/>
        <w:t>7.1</w:t>
        <w:tab/>
        <w:t>6.6–7.6</w:t>
        <w:tab/>
        <w:t>2,011</w:t>
      </w:r>
    </w:p>
    <w:p>
      <w:pPr>
        <w:tabs>
          <w:tab w:pos="2453" w:val="left" w:leader="none"/>
          <w:tab w:pos="3102" w:val="left" w:leader="none"/>
          <w:tab w:pos="3903" w:val="left" w:leader="none"/>
        </w:tabs>
        <w:spacing w:line="150" w:lineRule="exact" w:before="0"/>
        <w:ind w:left="198" w:right="0" w:firstLine="0"/>
        <w:jc w:val="left"/>
        <w:rPr>
          <w:sz w:val="14"/>
        </w:rPr>
      </w:pPr>
      <w:r>
        <w:rPr>
          <w:sz w:val="14"/>
        </w:rPr>
        <w:t>Does not want a job</w:t>
        <w:tab/>
        <w:t>6.5</w:t>
        <w:tab/>
        <w:t>5.5–7.3</w:t>
        <w:tab/>
        <w:t>5,282</w:t>
      </w:r>
    </w:p>
    <w:p>
      <w:pPr>
        <w:spacing w:before="118"/>
        <w:ind w:left="198" w:right="0" w:firstLine="0"/>
        <w:jc w:val="left"/>
        <w:rPr>
          <w:sz w:val="12"/>
        </w:rPr>
      </w:pPr>
      <w:r>
        <w:rPr>
          <w:sz w:val="12"/>
        </w:rPr>
        <w:t>Sources: ONS and Bank of England.</w:t>
      </w:r>
    </w:p>
    <w:p>
      <w:pPr>
        <w:pStyle w:val="BodyText"/>
        <w:spacing w:before="1"/>
        <w:rPr>
          <w:sz w:val="10"/>
        </w:rPr>
      </w:pPr>
    </w:p>
    <w:p>
      <w:pPr>
        <w:pStyle w:val="ListParagraph"/>
        <w:numPr>
          <w:ilvl w:val="0"/>
          <w:numId w:val="23"/>
        </w:numPr>
        <w:tabs>
          <w:tab w:pos="439" w:val="left" w:leader="none"/>
        </w:tabs>
        <w:spacing w:line="208" w:lineRule="auto" w:before="0" w:after="0"/>
        <w:ind w:left="438" w:right="478" w:hanging="240"/>
        <w:jc w:val="both"/>
        <w:rPr>
          <w:sz w:val="12"/>
        </w:rPr>
      </w:pPr>
      <w:r>
        <w:rPr>
          <w:sz w:val="12"/>
        </w:rPr>
        <w:t>It is possible that the proportion changing category in a three-month </w:t>
      </w:r>
      <w:r>
        <w:rPr>
          <w:spacing w:val="-3"/>
          <w:sz w:val="12"/>
        </w:rPr>
        <w:t>period </w:t>
      </w:r>
      <w:r>
        <w:rPr>
          <w:sz w:val="12"/>
        </w:rPr>
        <w:t>is overstated because of response error bias.</w:t>
      </w:r>
    </w:p>
    <w:p>
      <w:pPr>
        <w:pStyle w:val="ListParagraph"/>
        <w:numPr>
          <w:ilvl w:val="0"/>
          <w:numId w:val="23"/>
        </w:numPr>
        <w:tabs>
          <w:tab w:pos="439" w:val="left" w:leader="none"/>
        </w:tabs>
        <w:spacing w:line="208" w:lineRule="auto" w:before="0" w:after="0"/>
        <w:ind w:left="438" w:right="415" w:hanging="240"/>
        <w:jc w:val="both"/>
        <w:rPr>
          <w:sz w:val="12"/>
        </w:rPr>
      </w:pPr>
      <w:r>
        <w:rPr>
          <w:sz w:val="12"/>
        </w:rPr>
        <w:t>Averages and ranges are calculated for spring/summer quarters only, a time when many students move from inactivity into employment. Since the data are not seasonally adjusted, the averages and ranges for certain categories </w:t>
      </w:r>
      <w:r>
        <w:rPr>
          <w:spacing w:val="-9"/>
          <w:sz w:val="12"/>
        </w:rPr>
        <w:t>of </w:t>
      </w:r>
      <w:r>
        <w:rPr>
          <w:sz w:val="12"/>
        </w:rPr>
        <w:t>the inactive may appear higher than they would do over a full year.</w:t>
      </w:r>
    </w:p>
    <w:p>
      <w:pPr>
        <w:pStyle w:val="ListParagraph"/>
        <w:numPr>
          <w:ilvl w:val="0"/>
          <w:numId w:val="23"/>
        </w:numPr>
        <w:tabs>
          <w:tab w:pos="439" w:val="left" w:leader="none"/>
        </w:tabs>
        <w:spacing w:line="208" w:lineRule="auto" w:before="0" w:after="0"/>
        <w:ind w:left="438" w:right="468" w:hanging="240"/>
        <w:jc w:val="both"/>
        <w:rPr>
          <w:sz w:val="12"/>
        </w:rPr>
      </w:pPr>
      <w:r>
        <w:rPr>
          <w:sz w:val="12"/>
        </w:rPr>
        <w:t>The spring 1999 observation for the discouraged is excluded, as the </w:t>
      </w:r>
      <w:r>
        <w:rPr>
          <w:spacing w:val="-3"/>
          <w:sz w:val="12"/>
        </w:rPr>
        <w:t>sample </w:t>
      </w:r>
      <w:r>
        <w:rPr>
          <w:sz w:val="12"/>
        </w:rPr>
        <w:t>size was too small to be reliable.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9"/>
        </w:rPr>
      </w:pPr>
    </w:p>
    <w:p>
      <w:pPr>
        <w:pStyle w:val="Heading9"/>
        <w:spacing w:before="0"/>
        <w:ind w:left="185"/>
      </w:pPr>
      <w:r>
        <w:rPr>
          <w:color w:val="0093C1"/>
        </w:rPr>
        <w:t>Chart 3.9</w:t>
      </w:r>
    </w:p>
    <w:p>
      <w:pPr>
        <w:spacing w:before="10"/>
        <w:ind w:left="185" w:right="0" w:firstLine="0"/>
        <w:jc w:val="left"/>
        <w:rPr>
          <w:sz w:val="12"/>
        </w:rPr>
      </w:pPr>
      <w:r>
        <w:rPr>
          <w:b/>
          <w:color w:val="0093C1"/>
          <w:sz w:val="20"/>
        </w:rPr>
        <w:t>Measures of labour market tightness</w:t>
      </w:r>
      <w:r>
        <w:rPr>
          <w:position w:val="4"/>
          <w:sz w:val="12"/>
        </w:rPr>
        <w:t>(a)</w:t>
      </w:r>
    </w:p>
    <w:p>
      <w:pPr>
        <w:spacing w:before="112"/>
        <w:ind w:left="2192" w:right="0" w:firstLine="0"/>
        <w:jc w:val="left"/>
        <w:rPr>
          <w:sz w:val="12"/>
        </w:rPr>
      </w:pPr>
      <w:r>
        <w:rPr/>
        <w:pict>
          <v:line style="position:absolute;mso-position-horizontal-relative:page;mso-position-vertical-relative:paragraph;z-index:16102400" from="44.154999pt,13.870356pt" to="39.821999pt,13.870356pt" stroked="true" strokeweight=".5pt" strokecolor="#000000">
            <v:stroke dashstyle="solid"/>
            <w10:wrap type="none"/>
          </v:line>
        </w:pict>
      </w:r>
      <w:r>
        <w:rPr/>
        <w:pict>
          <v:line style="position:absolute;mso-position-horizontal-relative:page;mso-position-vertical-relative:paragraph;z-index:-22036992" from="201.155006pt,13.849356pt" to="196.822006pt,13.849356pt" stroked="true" strokeweight=".5pt" strokecolor="#000000">
            <v:stroke dashstyle="solid"/>
            <w10:wrap type="none"/>
          </v:line>
        </w:pict>
      </w:r>
      <w:r>
        <w:rPr>
          <w:sz w:val="12"/>
        </w:rPr>
        <w:t>Index, spring 1990 = 100</w:t>
      </w:r>
      <w:r>
        <w:rPr>
          <w:spacing w:val="20"/>
          <w:sz w:val="12"/>
        </w:rPr>
        <w:t> </w:t>
      </w:r>
      <w:r>
        <w:rPr>
          <w:position w:val="-7"/>
          <w:sz w:val="12"/>
        </w:rPr>
        <w:t>170</w:t>
      </w:r>
    </w:p>
    <w:p>
      <w:pPr>
        <w:spacing w:before="180"/>
        <w:ind w:left="0" w:right="886" w:firstLine="0"/>
        <w:jc w:val="right"/>
        <w:rPr>
          <w:sz w:val="12"/>
        </w:rPr>
      </w:pPr>
      <w:r>
        <w:rPr/>
        <w:pict>
          <v:group style="position:absolute;margin-left:49.529999pt;margin-top:16.032661pt;width:143.4pt;height:116.25pt;mso-position-horizontal-relative:page;mso-position-vertical-relative:paragraph;z-index:16101888" coordorigin="991,321" coordsize="2868,2325">
            <v:shape style="position:absolute;left:1000;top:330;width:2848;height:2305" coordorigin="1001,331" coordsize="2848,2305" path="m1001,331l1181,491m1181,491l1371,458m1371,458l1551,651m1551,651l1731,1371m1731,1371l1921,2026m1921,2026l2101,2156m2101,2156l2291,1451m2291,1451l2471,891m2471,891l2683,651m2683,651l2728,698m2728,698l2773,728m2773,728l2828,796m2828,796l2873,956m2873,956l2918,1033m2918,1033l2963,1261m2963,1261l3008,1338m3008,1338l3053,1386m3053,1386l3098,1451m3098,1451l3143,1483m3143,1483l3188,1546m3188,1546l3243,1578m3243,1578l3288,1708m3288,1708l3333,1738m3333,1738l3378,1913m3378,1913l3423,2043m3423,2043l3468,2123m3468,2123l3513,2331m3513,2331l3558,2428m3558,2428l3603,2461m3603,2461l3658,2476m3658,2476l3703,2508m3703,2508l3748,2443m3748,2443l3793,2491m3793,2491l3838,2636m3838,2636l3848,2621e" filled="false" stroked="true" strokeweight="1pt" strokecolor="#faab54">
              <v:path arrowok="t"/>
              <v:stroke dashstyle="solid"/>
            </v:shape>
            <v:shape style="position:absolute;left:1000;top:1435;width:920;height:703" coordorigin="1001,1436" coordsize="920,703" path="m1001,1436l1181,1516m1181,1516l1371,1466m1371,1466l1551,1563m1551,1563l1731,1868m1731,1868l1921,2138e" filled="false" stroked="true" strokeweight="1pt" strokecolor="#75442b">
              <v:path arrowok="t"/>
              <v:stroke dashstyle="solid"/>
            </v:shape>
            <v:line style="position:absolute" from="1911,2147" to="2111,2147" stroked="true" strokeweight="1.875pt" strokecolor="#75442b">
              <v:stroke dashstyle="solid"/>
            </v:line>
            <v:shape style="position:absolute;left:2100;top:1435;width:1323;height:720" coordorigin="2101,1436" coordsize="1323,720" path="m2101,2156l2291,1628m2291,1628l2471,1466m2471,1466l2683,1436m2683,1436l2728,1466m2728,1466l2773,1516m2773,1516l2828,1531m2828,1531l2873,1611m2873,1611l2918,1641m2918,1641l2963,1723m2963,1723l3008,1738m3008,1738l3053,1756m3053,1756l3098,1803m3098,1803l3143,1788m3143,1788l3188,1821m3188,1821l3243,1821m3243,1821l3288,1868m3288,1868l3333,1883m3333,1883l3378,1981m3378,1981l3423,2011e" filled="false" stroked="true" strokeweight="1pt" strokecolor="#75442b">
              <v:path arrowok="t"/>
              <v:stroke dashstyle="solid"/>
            </v:shape>
            <v:line style="position:absolute" from="3413,2012" to="3478,2012" stroked="true" strokeweight="1.125pt" strokecolor="#75442b">
              <v:stroke dashstyle="solid"/>
            </v:line>
            <v:shape style="position:absolute;left:3468;top:2010;width:135;height:113" coordorigin="3468,2011" coordsize="135,113" path="m3468,2011l3513,2093m3513,2093l3558,2106m3558,2106l3603,2123e" filled="false" stroked="true" strokeweight="1pt" strokecolor="#75442b">
              <v:path arrowok="t"/>
              <v:stroke dashstyle="solid"/>
            </v:shape>
            <v:shape style="position:absolute;left:3593;top:2124;width:120;height:2" coordorigin="3593,2124" coordsize="120,0" path="m3593,2124l3668,2124m3648,2124l3713,2124e" filled="false" stroked="true" strokeweight="1.125pt" strokecolor="#75442b">
              <v:path arrowok="t"/>
              <v:stroke dashstyle="solid"/>
            </v:shape>
            <v:shape style="position:absolute;left:3703;top:2093;width:145;height:125" coordorigin="3703,2093" coordsize="145,125" path="m3703,2123l3748,2093m3748,2093l3793,2123m3793,2123l3838,2218m3838,2218l3848,2203e" filled="false" stroked="true" strokeweight="1pt" strokecolor="#75442b">
              <v:path arrowok="t"/>
              <v:stroke dashstyle="solid"/>
            </v:shape>
            <v:shape style="position:absolute;left:1548;top:487;width:767;height:134" type="#_x0000_t202" filled="false" stroked="false">
              <v:textbox inset="0,0,0,0">
                <w:txbxContent>
                  <w:p>
                    <w:pPr>
                      <w:spacing w:line="133" w:lineRule="exact" w:before="0"/>
                      <w:ind w:left="0" w:right="0" w:firstLine="0"/>
                      <w:jc w:val="left"/>
                      <w:rPr>
                        <w:sz w:val="12"/>
                      </w:rPr>
                    </w:pPr>
                    <w:r>
                      <w:rPr>
                        <w:sz w:val="12"/>
                      </w:rPr>
                      <w:t>Unemployment</w:t>
                    </w:r>
                  </w:p>
                </w:txbxContent>
              </v:textbox>
              <w10:wrap type="none"/>
            </v:shape>
            <v:shape style="position:absolute;left:2256;top:1806;width:1100;height:253" type="#_x0000_t202" filled="false" stroked="false">
              <v:textbox inset="0,0,0,0">
                <w:txbxContent>
                  <w:p>
                    <w:pPr>
                      <w:spacing w:line="124" w:lineRule="exact" w:before="0"/>
                      <w:ind w:left="0" w:right="0" w:firstLine="0"/>
                      <w:jc w:val="left"/>
                      <w:rPr>
                        <w:sz w:val="12"/>
                      </w:rPr>
                    </w:pPr>
                    <w:r>
                      <w:rPr>
                        <w:sz w:val="12"/>
                      </w:rPr>
                      <w:t>Weighted</w:t>
                    </w:r>
                  </w:p>
                  <w:p>
                    <w:pPr>
                      <w:spacing w:line="129" w:lineRule="exact" w:before="0"/>
                      <w:ind w:left="90" w:right="0" w:firstLine="0"/>
                      <w:jc w:val="left"/>
                      <w:rPr>
                        <w:sz w:val="12"/>
                      </w:rPr>
                    </w:pPr>
                    <w:r>
                      <w:rPr>
                        <w:sz w:val="12"/>
                      </w:rPr>
                      <w:t>non-employment (b)</w:t>
                    </w:r>
                  </w:p>
                </w:txbxContent>
              </v:textbox>
              <w10:wrap type="none"/>
            </v:shape>
            <w10:wrap type="none"/>
          </v:group>
        </w:pict>
      </w:r>
      <w:r>
        <w:rPr/>
        <w:pict>
          <v:line style="position:absolute;mso-position-horizontal-relative:page;mso-position-vertical-relative:paragraph;z-index:16102912" from="44.154999pt,13.108662pt" to="39.821999pt,13.108662pt" stroked="true" strokeweight=".5pt" strokecolor="#000000">
            <v:stroke dashstyle="solid"/>
            <w10:wrap type="none"/>
          </v:line>
        </w:pict>
      </w:r>
      <w:r>
        <w:rPr/>
        <w:pict>
          <v:line style="position:absolute;mso-position-horizontal-relative:page;mso-position-vertical-relative:paragraph;z-index:16108544" from="201.155006pt,13.087662pt" to="196.822006pt,13.087662pt" stroked="true" strokeweight=".5pt" strokecolor="#000000">
            <v:stroke dashstyle="solid"/>
            <w10:wrap type="none"/>
          </v:line>
        </w:pict>
      </w:r>
      <w:r>
        <w:rPr>
          <w:sz w:val="12"/>
        </w:rPr>
        <w:t>160</w:t>
      </w:r>
    </w:p>
    <w:p>
      <w:pPr>
        <w:pStyle w:val="BodyText"/>
        <w:spacing w:before="4"/>
        <w:rPr>
          <w:sz w:val="15"/>
        </w:rPr>
      </w:pPr>
    </w:p>
    <w:p>
      <w:pPr>
        <w:spacing w:before="0"/>
        <w:ind w:left="0" w:right="886" w:firstLine="0"/>
        <w:jc w:val="right"/>
        <w:rPr>
          <w:sz w:val="12"/>
        </w:rPr>
      </w:pPr>
      <w:r>
        <w:rPr/>
        <w:pict>
          <v:line style="position:absolute;mso-position-horizontal-relative:page;mso-position-vertical-relative:paragraph;z-index:16107520" from="44.154999pt,4.115456pt" to="39.821999pt,4.115456pt" stroked="true" strokeweight=".5pt" strokecolor="#000000">
            <v:stroke dashstyle="solid"/>
            <w10:wrap type="none"/>
          </v:line>
        </w:pict>
      </w:r>
      <w:r>
        <w:rPr/>
        <w:pict>
          <v:line style="position:absolute;mso-position-horizontal-relative:page;mso-position-vertical-relative:paragraph;z-index:16112640" from="201.155006pt,4.094456pt" to="196.822006pt,4.094456pt" stroked="true" strokeweight=".5pt" strokecolor="#000000">
            <v:stroke dashstyle="solid"/>
            <w10:wrap type="none"/>
          </v:line>
        </w:pict>
      </w:r>
      <w:r>
        <w:rPr>
          <w:sz w:val="12"/>
        </w:rPr>
        <w:t>150</w:t>
      </w:r>
    </w:p>
    <w:p>
      <w:pPr>
        <w:pStyle w:val="BodyText"/>
        <w:spacing w:before="4"/>
        <w:rPr>
          <w:sz w:val="15"/>
        </w:rPr>
      </w:pPr>
    </w:p>
    <w:p>
      <w:pPr>
        <w:spacing w:before="0"/>
        <w:ind w:left="0" w:right="886" w:firstLine="0"/>
        <w:jc w:val="right"/>
        <w:rPr>
          <w:sz w:val="12"/>
        </w:rPr>
      </w:pPr>
      <w:r>
        <w:rPr/>
        <w:pict>
          <v:line style="position:absolute;mso-position-horizontal-relative:page;mso-position-vertical-relative:paragraph;z-index:16103424" from="44.154999pt,4.12225pt" to="39.821999pt,4.12225pt" stroked="true" strokeweight=".5pt" strokecolor="#000000">
            <v:stroke dashstyle="solid"/>
            <w10:wrap type="none"/>
          </v:line>
        </w:pict>
      </w:r>
      <w:r>
        <w:rPr/>
        <w:pict>
          <v:line style="position:absolute;mso-position-horizontal-relative:page;mso-position-vertical-relative:paragraph;z-index:16109056" from="201.155006pt,4.10125pt" to="196.822006pt,4.10125pt" stroked="true" strokeweight=".5pt" strokecolor="#000000">
            <v:stroke dashstyle="solid"/>
            <w10:wrap type="none"/>
          </v:line>
        </w:pict>
      </w:r>
      <w:r>
        <w:rPr>
          <w:sz w:val="12"/>
        </w:rPr>
        <w:t>140</w:t>
      </w:r>
    </w:p>
    <w:p>
      <w:pPr>
        <w:pStyle w:val="BodyText"/>
        <w:spacing w:before="4"/>
        <w:rPr>
          <w:sz w:val="15"/>
        </w:rPr>
      </w:pPr>
    </w:p>
    <w:p>
      <w:pPr>
        <w:spacing w:before="1"/>
        <w:ind w:left="0" w:right="886" w:firstLine="0"/>
        <w:jc w:val="right"/>
        <w:rPr>
          <w:sz w:val="12"/>
        </w:rPr>
      </w:pPr>
      <w:r>
        <w:rPr/>
        <w:pict>
          <v:line style="position:absolute;mso-position-horizontal-relative:page;mso-position-vertical-relative:paragraph;z-index:16105472" from="44.154999pt,4.179074pt" to="39.821999pt,4.179074pt" stroked="true" strokeweight=".5pt" strokecolor="#000000">
            <v:stroke dashstyle="solid"/>
            <w10:wrap type="none"/>
          </v:line>
        </w:pict>
      </w:r>
      <w:r>
        <w:rPr/>
        <w:pict>
          <v:line style="position:absolute;mso-position-horizontal-relative:page;mso-position-vertical-relative:paragraph;z-index:16111104" from="201.155006pt,4.159074pt" to="196.822006pt,4.159074pt" stroked="true" strokeweight=".5pt" strokecolor="#000000">
            <v:stroke dashstyle="solid"/>
            <w10:wrap type="none"/>
          </v:line>
        </w:pict>
      </w:r>
      <w:r>
        <w:rPr>
          <w:sz w:val="12"/>
        </w:rPr>
        <w:t>130</w:t>
      </w:r>
    </w:p>
    <w:p>
      <w:pPr>
        <w:pStyle w:val="BodyText"/>
        <w:spacing w:before="4"/>
        <w:rPr>
          <w:sz w:val="15"/>
        </w:rPr>
      </w:pPr>
    </w:p>
    <w:p>
      <w:pPr>
        <w:spacing w:before="0"/>
        <w:ind w:left="0" w:right="886" w:firstLine="0"/>
        <w:jc w:val="right"/>
        <w:rPr>
          <w:sz w:val="12"/>
        </w:rPr>
      </w:pPr>
      <w:r>
        <w:rPr/>
        <w:pict>
          <v:line style="position:absolute;mso-position-horizontal-relative:page;mso-position-vertical-relative:paragraph;z-index:16103936" from="44.154999pt,4.135868pt" to="39.821999pt,4.135868pt" stroked="true" strokeweight=".5pt" strokecolor="#000000">
            <v:stroke dashstyle="solid"/>
            <w10:wrap type="none"/>
          </v:line>
        </w:pict>
      </w:r>
      <w:r>
        <w:rPr/>
        <w:pict>
          <v:line style="position:absolute;mso-position-horizontal-relative:page;mso-position-vertical-relative:paragraph;z-index:16109568" from="201.155006pt,4.115868pt" to="196.822006pt,4.115868pt" stroked="true" strokeweight=".5pt" strokecolor="#000000">
            <v:stroke dashstyle="solid"/>
            <w10:wrap type="none"/>
          </v:line>
        </w:pict>
      </w:r>
      <w:r>
        <w:rPr>
          <w:sz w:val="12"/>
        </w:rPr>
        <w:t>120</w:t>
      </w:r>
    </w:p>
    <w:p>
      <w:pPr>
        <w:pStyle w:val="BodyText"/>
        <w:spacing w:before="4"/>
        <w:rPr>
          <w:sz w:val="15"/>
        </w:rPr>
      </w:pPr>
    </w:p>
    <w:p>
      <w:pPr>
        <w:spacing w:before="0"/>
        <w:ind w:left="0" w:right="886" w:firstLine="0"/>
        <w:jc w:val="right"/>
        <w:rPr>
          <w:sz w:val="12"/>
        </w:rPr>
      </w:pPr>
      <w:r>
        <w:rPr/>
        <w:pict>
          <v:line style="position:absolute;mso-position-horizontal-relative:page;mso-position-vertical-relative:paragraph;z-index:16105984" from="44.154999pt,4.142662pt" to="39.821999pt,4.142662pt" stroked="true" strokeweight=".5pt" strokecolor="#000000">
            <v:stroke dashstyle="solid"/>
            <w10:wrap type="none"/>
          </v:line>
        </w:pict>
      </w:r>
      <w:r>
        <w:rPr/>
        <w:pict>
          <v:line style="position:absolute;mso-position-horizontal-relative:page;mso-position-vertical-relative:paragraph;z-index:16111616" from="201.155006pt,4.122662pt" to="196.822006pt,4.122662pt" stroked="true" strokeweight=".5pt" strokecolor="#000000">
            <v:stroke dashstyle="solid"/>
            <w10:wrap type="none"/>
          </v:line>
        </w:pict>
      </w:r>
      <w:r>
        <w:rPr>
          <w:sz w:val="12"/>
        </w:rPr>
        <w:t>110</w:t>
      </w:r>
    </w:p>
    <w:p>
      <w:pPr>
        <w:pStyle w:val="BodyText"/>
        <w:spacing w:before="4"/>
        <w:rPr>
          <w:sz w:val="15"/>
        </w:rPr>
      </w:pPr>
    </w:p>
    <w:p>
      <w:pPr>
        <w:spacing w:before="0"/>
        <w:ind w:left="0" w:right="886" w:firstLine="0"/>
        <w:jc w:val="right"/>
        <w:rPr>
          <w:sz w:val="12"/>
        </w:rPr>
      </w:pPr>
      <w:r>
        <w:rPr/>
        <w:pict>
          <v:line style="position:absolute;mso-position-horizontal-relative:page;mso-position-vertical-relative:paragraph;z-index:16104448" from="44.154999pt,4.149456pt" to="39.821999pt,4.149456pt" stroked="true" strokeweight=".5pt" strokecolor="#000000">
            <v:stroke dashstyle="solid"/>
            <w10:wrap type="none"/>
          </v:line>
        </w:pict>
      </w:r>
      <w:r>
        <w:rPr/>
        <w:pict>
          <v:line style="position:absolute;mso-position-horizontal-relative:page;mso-position-vertical-relative:paragraph;z-index:16110080" from="201.155006pt,4.129456pt" to="196.822006pt,4.129456pt" stroked="true" strokeweight=".5pt" strokecolor="#000000">
            <v:stroke dashstyle="solid"/>
            <w10:wrap type="none"/>
          </v:line>
        </w:pict>
      </w:r>
      <w:r>
        <w:rPr>
          <w:sz w:val="12"/>
        </w:rPr>
        <w:t>100</w:t>
      </w:r>
    </w:p>
    <w:p>
      <w:pPr>
        <w:pStyle w:val="BodyText"/>
        <w:spacing w:before="4"/>
        <w:rPr>
          <w:sz w:val="15"/>
        </w:rPr>
      </w:pPr>
    </w:p>
    <w:p>
      <w:pPr>
        <w:spacing w:before="1"/>
        <w:ind w:left="0" w:right="886" w:firstLine="0"/>
        <w:jc w:val="right"/>
        <w:rPr>
          <w:sz w:val="12"/>
        </w:rPr>
      </w:pPr>
      <w:r>
        <w:rPr/>
        <w:pict>
          <v:line style="position:absolute;mso-position-horizontal-relative:page;mso-position-vertical-relative:paragraph;z-index:16106496" from="44.154999pt,4.206769pt" to="39.821999pt,4.206769pt" stroked="true" strokeweight=".5pt" strokecolor="#000000">
            <v:stroke dashstyle="solid"/>
            <w10:wrap type="none"/>
          </v:line>
        </w:pict>
      </w:r>
      <w:r>
        <w:rPr/>
        <w:pict>
          <v:line style="position:absolute;mso-position-horizontal-relative:page;mso-position-vertical-relative:paragraph;z-index:16112128" from="201.155006pt,4.186769pt" to="196.822006pt,4.186769pt" stroked="true" strokeweight=".5pt" strokecolor="#000000">
            <v:stroke dashstyle="solid"/>
            <w10:wrap type="none"/>
          </v:line>
        </w:pict>
      </w:r>
      <w:r>
        <w:rPr>
          <w:sz w:val="12"/>
        </w:rPr>
        <w:t>90</w:t>
      </w:r>
    </w:p>
    <w:p>
      <w:pPr>
        <w:pStyle w:val="BodyText"/>
        <w:spacing w:before="4"/>
        <w:rPr>
          <w:sz w:val="15"/>
        </w:rPr>
      </w:pPr>
    </w:p>
    <w:p>
      <w:pPr>
        <w:spacing w:line="127" w:lineRule="exact" w:before="0"/>
        <w:ind w:left="3513" w:right="0" w:firstLine="0"/>
        <w:jc w:val="left"/>
        <w:rPr>
          <w:sz w:val="12"/>
        </w:rPr>
      </w:pPr>
      <w:r>
        <w:rPr/>
        <w:pict>
          <v:line style="position:absolute;mso-position-horizontal-relative:page;mso-position-vertical-relative:paragraph;z-index:16104960" from="44.154999pt,4.163562pt" to="39.821999pt,4.163562pt" stroked="true" strokeweight=".5pt" strokecolor="#000000">
            <v:stroke dashstyle="solid"/>
            <w10:wrap type="none"/>
          </v:line>
        </w:pict>
      </w:r>
      <w:r>
        <w:rPr/>
        <w:pict>
          <v:shape style="position:absolute;margin-left:49.589001pt;margin-top:1.476563pt;width:143.4pt;height:2.7pt;mso-position-horizontal-relative:page;mso-position-vertical-relative:paragraph;z-index:16107008" coordorigin="992,30" coordsize="2868,54" path="m994,83l3859,83m992,30l992,83m1359,30l1359,83m1910,30l1910,83m3012,30l3012,83m2277,30l2277,83m3380,30l3380,83m1175,30l1175,83m1543,30l1543,83m2461,30l2461,83m3563,30l3563,83m2645,30l2645,83m1726,30l1726,83m2828,30l2828,83m2094,30l2094,83m3196,30l3196,83m3747,30l3747,83e" filled="false" stroked="true" strokeweight=".5pt" strokecolor="#000000">
            <v:path arrowok="t"/>
            <v:stroke dashstyle="solid"/>
            <w10:wrap type="none"/>
          </v:shape>
        </w:pict>
      </w:r>
      <w:r>
        <w:rPr/>
        <w:pict>
          <v:line style="position:absolute;mso-position-horizontal-relative:page;mso-position-vertical-relative:paragraph;z-index:16110592" from="201.155006pt,4.143562pt" to="196.822006pt,4.143562pt" stroked="true" strokeweight=".5pt" strokecolor="#000000">
            <v:stroke dashstyle="solid"/>
            <w10:wrap type="none"/>
          </v:line>
        </w:pict>
      </w:r>
      <w:r>
        <w:rPr>
          <w:sz w:val="12"/>
        </w:rPr>
        <w:t>80</w:t>
      </w:r>
    </w:p>
    <w:p>
      <w:pPr>
        <w:tabs>
          <w:tab w:pos="1059" w:val="left" w:leader="none"/>
          <w:tab w:pos="1416" w:val="left" w:leader="none"/>
          <w:tab w:pos="1779" w:val="left" w:leader="none"/>
          <w:tab w:pos="2162" w:val="left" w:leader="none"/>
          <w:tab w:pos="2539" w:val="left" w:leader="none"/>
          <w:tab w:pos="2862" w:val="left" w:leader="none"/>
        </w:tabs>
        <w:spacing w:line="127" w:lineRule="exact" w:before="0"/>
        <w:ind w:left="276" w:right="0" w:firstLine="0"/>
        <w:jc w:val="left"/>
        <w:rPr>
          <w:sz w:val="12"/>
        </w:rPr>
      </w:pPr>
      <w:r>
        <w:rPr>
          <w:sz w:val="12"/>
        </w:rPr>
        <w:t>1984    </w:t>
      </w:r>
      <w:r>
        <w:rPr>
          <w:spacing w:val="6"/>
          <w:sz w:val="12"/>
        </w:rPr>
        <w:t> </w:t>
      </w:r>
      <w:r>
        <w:rPr>
          <w:sz w:val="12"/>
        </w:rPr>
        <w:t>86</w:t>
        <w:tab/>
        <w:t>88</w:t>
        <w:tab/>
        <w:t>90</w:t>
        <w:tab/>
        <w:t>92</w:t>
        <w:tab/>
        <w:t>94</w:t>
        <w:tab/>
        <w:t>96</w:t>
        <w:tab/>
        <w:t>98</w:t>
      </w:r>
    </w:p>
    <w:p>
      <w:pPr>
        <w:spacing w:before="72"/>
        <w:ind w:left="185" w:right="0" w:firstLine="0"/>
        <w:jc w:val="left"/>
        <w:rPr>
          <w:sz w:val="12"/>
        </w:rPr>
      </w:pPr>
      <w:r>
        <w:rPr>
          <w:sz w:val="12"/>
        </w:rPr>
        <w:t>Sources: ONS and Bank of England.</w:t>
      </w:r>
    </w:p>
    <w:p>
      <w:pPr>
        <w:pStyle w:val="ListParagraph"/>
        <w:numPr>
          <w:ilvl w:val="0"/>
          <w:numId w:val="24"/>
        </w:numPr>
        <w:tabs>
          <w:tab w:pos="426" w:val="left" w:leader="none"/>
        </w:tabs>
        <w:spacing w:line="129" w:lineRule="exact" w:before="102" w:after="0"/>
        <w:ind w:left="425" w:right="0" w:hanging="241"/>
        <w:jc w:val="left"/>
        <w:rPr>
          <w:sz w:val="12"/>
        </w:rPr>
      </w:pPr>
      <w:r>
        <w:rPr>
          <w:sz w:val="12"/>
        </w:rPr>
        <w:t>Pre-1993 figures based on yearly observations.</w:t>
      </w:r>
    </w:p>
    <w:p>
      <w:pPr>
        <w:pStyle w:val="ListParagraph"/>
        <w:numPr>
          <w:ilvl w:val="0"/>
          <w:numId w:val="24"/>
        </w:numPr>
        <w:tabs>
          <w:tab w:pos="426" w:val="left" w:leader="none"/>
        </w:tabs>
        <w:spacing w:line="208" w:lineRule="auto" w:before="5" w:after="0"/>
        <w:ind w:left="425" w:right="911" w:hanging="240"/>
        <w:jc w:val="left"/>
        <w:rPr>
          <w:sz w:val="12"/>
        </w:rPr>
      </w:pPr>
      <w:r>
        <w:rPr>
          <w:sz w:val="12"/>
        </w:rPr>
        <w:t>The weighted non-employment series is a weighted average of </w:t>
      </w:r>
      <w:r>
        <w:rPr>
          <w:spacing w:val="-6"/>
          <w:sz w:val="12"/>
        </w:rPr>
        <w:t>the </w:t>
      </w:r>
      <w:r>
        <w:rPr>
          <w:sz w:val="12"/>
        </w:rPr>
        <w:t>number of people in the seven different categories of</w:t>
      </w:r>
    </w:p>
    <w:p>
      <w:pPr>
        <w:spacing w:line="208" w:lineRule="auto" w:before="0"/>
        <w:ind w:left="425" w:right="708" w:firstLine="0"/>
        <w:jc w:val="left"/>
        <w:rPr>
          <w:sz w:val="12"/>
        </w:rPr>
      </w:pPr>
      <w:r>
        <w:rPr>
          <w:sz w:val="12"/>
        </w:rPr>
        <w:t>non-employment listed in Table 3.C. The weights are based on the average proportion in each category who found employment in the next three months, relative to the proportion of the short-term unemployed who found employment in the next three months.</w:t>
      </w:r>
    </w:p>
    <w:p>
      <w:pPr>
        <w:pStyle w:val="Heading6"/>
        <w:spacing w:line="242" w:lineRule="auto" w:before="217"/>
        <w:ind w:left="185" w:right="185"/>
      </w:pPr>
      <w:r>
        <w:rPr/>
        <w:br w:type="column"/>
      </w:r>
      <w:r>
        <w:rPr/>
        <w:t>May) to employment during the summer quarter (June to August). The information is provided as an average and as a range, for the period 1993 to 1999. It appears that the group of people most likely to find work were those who had been unemployed for less than six months, and that the likelihood of finding work falls as the time for which the person has been unemployed increases.</w:t>
      </w:r>
    </w:p>
    <w:p>
      <w:pPr>
        <w:pStyle w:val="BodyText"/>
        <w:spacing w:before="1"/>
        <w:rPr>
          <w:sz w:val="25"/>
        </w:rPr>
      </w:pPr>
    </w:p>
    <w:p>
      <w:pPr>
        <w:spacing w:line="242" w:lineRule="auto" w:before="0"/>
        <w:ind w:left="185" w:right="185" w:firstLine="0"/>
        <w:jc w:val="left"/>
        <w:rPr>
          <w:sz w:val="24"/>
        </w:rPr>
      </w:pPr>
      <w:r>
        <w:rPr>
          <w:sz w:val="24"/>
        </w:rPr>
        <w:t>As a group, the unemployed move more readily into employment than the inactive. But a proportion of individuals in all forms of inactivity </w:t>
      </w:r>
      <w:r>
        <w:rPr>
          <w:spacing w:val="-3"/>
          <w:sz w:val="24"/>
        </w:rPr>
        <w:t>have </w:t>
      </w:r>
      <w:r>
        <w:rPr>
          <w:sz w:val="24"/>
        </w:rPr>
        <w:t>found work in the subsequent quarter, </w:t>
      </w:r>
      <w:r>
        <w:rPr>
          <w:spacing w:val="-3"/>
          <w:sz w:val="24"/>
        </w:rPr>
        <w:t>even </w:t>
      </w:r>
      <w:r>
        <w:rPr>
          <w:sz w:val="24"/>
        </w:rPr>
        <w:t>some of those who were not searching because they believed that no work was available.  As the economy continues to expand and more jobs become available, the discouraged may start to search for work again. And those people looking </w:t>
      </w:r>
      <w:r>
        <w:rPr>
          <w:spacing w:val="-4"/>
          <w:sz w:val="24"/>
        </w:rPr>
        <w:t>after </w:t>
      </w:r>
      <w:r>
        <w:rPr>
          <w:sz w:val="24"/>
        </w:rPr>
        <w:t>the family home, but who would work if the ideal job became available, may find it profitable to seek employment as job opportunities and wage rates rise. So a wide range of people classified as inactive may </w:t>
      </w:r>
      <w:r>
        <w:rPr>
          <w:spacing w:val="-3"/>
          <w:sz w:val="24"/>
        </w:rPr>
        <w:t>have </w:t>
      </w:r>
      <w:r>
        <w:rPr>
          <w:sz w:val="24"/>
        </w:rPr>
        <w:t>some influence on pay pressures.</w:t>
      </w:r>
    </w:p>
    <w:p>
      <w:pPr>
        <w:pStyle w:val="BodyText"/>
        <w:spacing w:before="9"/>
        <w:rPr>
          <w:sz w:val="25"/>
        </w:rPr>
      </w:pPr>
    </w:p>
    <w:p>
      <w:pPr>
        <w:spacing w:line="242" w:lineRule="auto" w:before="0"/>
        <w:ind w:left="185" w:right="215" w:firstLine="0"/>
        <w:jc w:val="left"/>
        <w:rPr>
          <w:sz w:val="24"/>
        </w:rPr>
      </w:pPr>
      <w:r>
        <w:rPr>
          <w:sz w:val="24"/>
        </w:rPr>
        <w:t>Chart 3.9 compares an index of LFS unemployment with an index of weighted non-employment, based on the number of individuals in each of the seven </w:t>
      </w:r>
      <w:r>
        <w:rPr>
          <w:spacing w:val="-3"/>
          <w:sz w:val="24"/>
        </w:rPr>
        <w:t>categories </w:t>
      </w:r>
      <w:r>
        <w:rPr>
          <w:sz w:val="24"/>
        </w:rPr>
        <w:t>of non-employment listed in </w:t>
      </w:r>
      <w:r>
        <w:rPr>
          <w:spacing w:val="-4"/>
          <w:sz w:val="24"/>
        </w:rPr>
        <w:t>Table </w:t>
      </w:r>
      <w:r>
        <w:rPr>
          <w:sz w:val="24"/>
        </w:rPr>
        <w:t>3.C, weighted together according to the average frequency at which they </w:t>
      </w:r>
      <w:r>
        <w:rPr>
          <w:spacing w:val="-3"/>
          <w:sz w:val="24"/>
        </w:rPr>
        <w:t>have </w:t>
      </w:r>
      <w:r>
        <w:rPr>
          <w:sz w:val="24"/>
        </w:rPr>
        <w:t>entered employment.</w:t>
      </w:r>
      <w:r>
        <w:rPr>
          <w:spacing w:val="3"/>
          <w:sz w:val="24"/>
        </w:rPr>
        <w:t> </w:t>
      </w:r>
      <w:r>
        <w:rPr>
          <w:spacing w:val="-3"/>
          <w:sz w:val="24"/>
        </w:rPr>
        <w:t>Weighted</w:t>
      </w:r>
    </w:p>
    <w:p>
      <w:pPr>
        <w:spacing w:line="242" w:lineRule="auto" w:before="8"/>
        <w:ind w:left="185" w:right="455" w:firstLine="0"/>
        <w:jc w:val="left"/>
        <w:rPr>
          <w:sz w:val="24"/>
        </w:rPr>
      </w:pPr>
      <w:r>
        <w:rPr>
          <w:sz w:val="24"/>
        </w:rPr>
        <w:t>non-employment is less cyclical than unemployment. It has fallen much less rapidly than unemployment during the present expansion, so that, during the</w:t>
      </w:r>
    </w:p>
    <w:p>
      <w:pPr>
        <w:spacing w:line="242" w:lineRule="auto" w:before="4"/>
        <w:ind w:left="185" w:right="186" w:firstLine="0"/>
        <w:jc w:val="left"/>
        <w:rPr>
          <w:sz w:val="24"/>
        </w:rPr>
      </w:pPr>
      <w:r>
        <w:rPr>
          <w:sz w:val="24"/>
        </w:rPr>
        <w:t>three months to November, weighted non-employment was close to its </w:t>
      </w:r>
      <w:r>
        <w:rPr>
          <w:spacing w:val="-3"/>
          <w:sz w:val="24"/>
        </w:rPr>
        <w:t>level </w:t>
      </w:r>
      <w:r>
        <w:rPr>
          <w:sz w:val="24"/>
        </w:rPr>
        <w:t>at the time of the most recent trough in 1990 Q2, while unemployment itself was </w:t>
      </w:r>
      <w:r>
        <w:rPr>
          <w:spacing w:val="-4"/>
          <w:sz w:val="24"/>
        </w:rPr>
        <w:t>much lower. </w:t>
      </w:r>
      <w:r>
        <w:rPr>
          <w:sz w:val="24"/>
        </w:rPr>
        <w:t>The difference in the behaviour of</w:t>
      </w:r>
      <w:r>
        <w:rPr>
          <w:spacing w:val="5"/>
          <w:sz w:val="24"/>
        </w:rPr>
        <w:t> </w:t>
      </w:r>
      <w:r>
        <w:rPr>
          <w:sz w:val="24"/>
        </w:rPr>
        <w:t>the</w:t>
      </w:r>
    </w:p>
    <w:p>
      <w:pPr>
        <w:spacing w:line="242" w:lineRule="auto" w:before="5"/>
        <w:ind w:left="185" w:right="201" w:firstLine="0"/>
        <w:jc w:val="left"/>
        <w:rPr>
          <w:sz w:val="24"/>
        </w:rPr>
      </w:pPr>
      <w:r>
        <w:rPr>
          <w:sz w:val="24"/>
        </w:rPr>
        <w:t>two series is explained partly by the fact that inactivity has risen, and partly by the fact that a greater proportion of those who are unemployed are short-term unemployed.</w:t>
      </w:r>
    </w:p>
    <w:p>
      <w:pPr>
        <w:pStyle w:val="BodyText"/>
        <w:spacing w:before="9"/>
        <w:rPr>
          <w:sz w:val="24"/>
        </w:rPr>
      </w:pPr>
    </w:p>
    <w:p>
      <w:pPr>
        <w:spacing w:line="242" w:lineRule="auto" w:before="0"/>
        <w:ind w:left="185" w:right="178" w:firstLine="0"/>
        <w:jc w:val="left"/>
        <w:rPr>
          <w:sz w:val="24"/>
        </w:rPr>
      </w:pPr>
      <w:r>
        <w:rPr>
          <w:sz w:val="24"/>
        </w:rPr>
        <w:t>An alternative approach to the assessment of labour market tightness is to ask firms directly about their own experience. The British Chambers of Commerce reported that recruitment difficulties last year were higher than on average during the ten-year lifetime of </w:t>
      </w:r>
      <w:r>
        <w:rPr>
          <w:spacing w:val="-6"/>
          <w:sz w:val="24"/>
        </w:rPr>
        <w:t>the </w:t>
      </w:r>
      <w:r>
        <w:rPr>
          <w:spacing w:val="-4"/>
          <w:sz w:val="24"/>
        </w:rPr>
        <w:t>survey, </w:t>
      </w:r>
      <w:r>
        <w:rPr>
          <w:sz w:val="24"/>
        </w:rPr>
        <w:t>though lower than they had been in the middle of 1998. A longer run of data is available, for the manufacturing sector alone, from the Confederation of British Industry. They found that, while skilled labour shortages rose last year, they remained well below the historic peaks of the early 1970s and the mid to late</w:t>
      </w:r>
    </w:p>
    <w:p>
      <w:pPr>
        <w:spacing w:after="0" w:line="242" w:lineRule="auto"/>
        <w:jc w:val="left"/>
        <w:rPr>
          <w:sz w:val="24"/>
        </w:rPr>
        <w:sectPr>
          <w:type w:val="continuous"/>
          <w:pgSz w:w="11900" w:h="16840"/>
          <w:pgMar w:top="1220" w:bottom="280" w:left="620" w:right="640"/>
          <w:cols w:num="2" w:equalWidth="0">
            <w:col w:w="4522" w:space="263"/>
            <w:col w:w="5855"/>
          </w:cols>
        </w:sectPr>
      </w:pPr>
    </w:p>
    <w:p>
      <w:pPr>
        <w:pStyle w:val="BodyText"/>
        <w:rPr>
          <w:sz w:val="20"/>
        </w:rPr>
      </w:pPr>
    </w:p>
    <w:p>
      <w:pPr>
        <w:spacing w:after="0"/>
        <w:rPr>
          <w:sz w:val="20"/>
        </w:rPr>
        <w:sectPr>
          <w:pgSz w:w="11900" w:h="16840"/>
          <w:pgMar w:header="586" w:footer="597" w:top="780" w:bottom="780" w:left="620" w:right="640"/>
        </w:sectPr>
      </w:pPr>
    </w:p>
    <w:p>
      <w:pPr>
        <w:pStyle w:val="BodyText"/>
        <w:spacing w:before="9"/>
      </w:pPr>
    </w:p>
    <w:p>
      <w:pPr>
        <w:pStyle w:val="Heading9"/>
        <w:spacing w:before="0"/>
      </w:pPr>
      <w:bookmarkStart w:name="Earnings and settlements" w:id="50"/>
      <w:bookmarkEnd w:id="50"/>
      <w:r>
        <w:rPr>
          <w:b w:val="0"/>
        </w:rPr>
      </w:r>
      <w:bookmarkStart w:name="_bookmark19" w:id="51"/>
      <w:bookmarkEnd w:id="51"/>
      <w:r>
        <w:rPr>
          <w:b w:val="0"/>
        </w:rPr>
      </w:r>
      <w:r>
        <w:rPr>
          <w:color w:val="0093C1"/>
        </w:rPr>
        <w:t>Chart 3.10</w:t>
      </w:r>
    </w:p>
    <w:p>
      <w:pPr>
        <w:spacing w:before="10"/>
        <w:ind w:left="190" w:right="0" w:firstLine="0"/>
        <w:jc w:val="left"/>
        <w:rPr>
          <w:b/>
          <w:sz w:val="20"/>
        </w:rPr>
      </w:pPr>
      <w:r>
        <w:rPr>
          <w:b/>
          <w:color w:val="0093C1"/>
          <w:sz w:val="20"/>
        </w:rPr>
        <w:t>Skill shortages and recruitment difficulties</w:t>
      </w:r>
    </w:p>
    <w:p>
      <w:pPr>
        <w:spacing w:line="242" w:lineRule="auto" w:before="207"/>
        <w:ind w:left="190" w:right="151" w:firstLine="0"/>
        <w:jc w:val="left"/>
        <w:rPr>
          <w:sz w:val="24"/>
        </w:rPr>
      </w:pPr>
      <w:r>
        <w:rPr/>
        <w:br w:type="column"/>
      </w:r>
      <w:r>
        <w:rPr>
          <w:sz w:val="24"/>
        </w:rPr>
        <w:t>1980s (see Chart 3.10). According to the Recruitment and Employment Confederation (REC),</w:t>
      </w:r>
      <w:r>
        <w:rPr>
          <w:position w:val="5"/>
          <w:sz w:val="16"/>
        </w:rPr>
        <w:t>(1) </w:t>
      </w:r>
      <w:r>
        <w:rPr>
          <w:sz w:val="24"/>
        </w:rPr>
        <w:t>the availability</w:t>
      </w:r>
    </w:p>
    <w:p>
      <w:pPr>
        <w:spacing w:after="0" w:line="242" w:lineRule="auto"/>
        <w:jc w:val="left"/>
        <w:rPr>
          <w:sz w:val="24"/>
        </w:rPr>
        <w:sectPr>
          <w:type w:val="continuous"/>
          <w:pgSz w:w="11900" w:h="16840"/>
          <w:pgMar w:top="1220" w:bottom="280" w:left="620" w:right="640"/>
          <w:cols w:num="2" w:equalWidth="0">
            <w:col w:w="3875" w:space="925"/>
            <w:col w:w="5840"/>
          </w:cols>
        </w:sectPr>
      </w:pPr>
    </w:p>
    <w:p>
      <w:pPr>
        <w:spacing w:line="127" w:lineRule="exact" w:before="0"/>
        <w:ind w:left="174" w:right="0" w:firstLine="0"/>
        <w:jc w:val="left"/>
        <w:rPr>
          <w:b/>
          <w:sz w:val="12"/>
        </w:rPr>
      </w:pPr>
      <w:r>
        <w:rPr>
          <w:b/>
          <w:sz w:val="12"/>
        </w:rPr>
        <w:t>BCC survey</w:t>
      </w:r>
    </w:p>
    <w:p>
      <w:pPr>
        <w:pStyle w:val="BodyText"/>
        <w:spacing w:before="8"/>
        <w:rPr>
          <w:b/>
          <w:sz w:val="2"/>
        </w:rPr>
      </w:pPr>
    </w:p>
    <w:p>
      <w:pPr>
        <w:pStyle w:val="BodyText"/>
        <w:spacing w:line="20" w:lineRule="exact"/>
        <w:ind w:left="174"/>
        <w:rPr>
          <w:sz w:val="2"/>
        </w:rPr>
      </w:pPr>
      <w:r>
        <w:rPr>
          <w:sz w:val="2"/>
        </w:rPr>
        <w:drawing>
          <wp:inline distT="0" distB="0" distL="0" distR="0">
            <wp:extent cx="54491" cy="6286"/>
            <wp:effectExtent l="0" t="0" r="0" b="0"/>
            <wp:docPr id="37" name="image10.png"/>
            <wp:cNvGraphicFramePr>
              <a:graphicFrameLocks noChangeAspect="1"/>
            </wp:cNvGraphicFramePr>
            <a:graphic>
              <a:graphicData uri="http://schemas.openxmlformats.org/drawingml/2006/picture">
                <pic:pic>
                  <pic:nvPicPr>
                    <pic:cNvPr id="38" name="image10.png"/>
                    <pic:cNvPicPr/>
                  </pic:nvPicPr>
                  <pic:blipFill>
                    <a:blip r:embed="rId45" cstate="print"/>
                    <a:stretch>
                      <a:fillRect/>
                    </a:stretch>
                  </pic:blipFill>
                  <pic:spPr>
                    <a:xfrm>
                      <a:off x="0" y="0"/>
                      <a:ext cx="54491" cy="6286"/>
                    </a:xfrm>
                    <a:prstGeom prst="rect">
                      <a:avLst/>
                    </a:prstGeom>
                  </pic:spPr>
                </pic:pic>
              </a:graphicData>
            </a:graphic>
          </wp:inline>
        </w:drawing>
      </w:r>
      <w:r>
        <w:rPr>
          <w:sz w:val="2"/>
        </w:rPr>
      </w:r>
    </w:p>
    <w:p>
      <w:pPr>
        <w:pStyle w:val="BodyText"/>
        <w:spacing w:before="11"/>
        <w:rPr>
          <w:b/>
          <w:sz w:val="10"/>
        </w:rPr>
      </w:pPr>
      <w:r>
        <w:rPr/>
        <w:drawing>
          <wp:anchor distT="0" distB="0" distL="0" distR="0" allowOverlap="1" layoutInCell="1" locked="0" behindDoc="0" simplePos="0" relativeHeight="751">
            <wp:simplePos x="0" y="0"/>
            <wp:positionH relativeFrom="page">
              <wp:posOffset>504291</wp:posOffset>
            </wp:positionH>
            <wp:positionV relativeFrom="paragraph">
              <wp:posOffset>104968</wp:posOffset>
            </wp:positionV>
            <wp:extent cx="55317" cy="6381"/>
            <wp:effectExtent l="0" t="0" r="0" b="0"/>
            <wp:wrapTopAndBottom/>
            <wp:docPr id="39" name="image53.png"/>
            <wp:cNvGraphicFramePr>
              <a:graphicFrameLocks noChangeAspect="1"/>
            </wp:cNvGraphicFramePr>
            <a:graphic>
              <a:graphicData uri="http://schemas.openxmlformats.org/drawingml/2006/picture">
                <pic:pic>
                  <pic:nvPicPr>
                    <pic:cNvPr id="40" name="image53.png"/>
                    <pic:cNvPicPr/>
                  </pic:nvPicPr>
                  <pic:blipFill>
                    <a:blip r:embed="rId115"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52">
            <wp:simplePos x="0" y="0"/>
            <wp:positionH relativeFrom="page">
              <wp:posOffset>504291</wp:posOffset>
            </wp:positionH>
            <wp:positionV relativeFrom="paragraph">
              <wp:posOffset>222176</wp:posOffset>
            </wp:positionV>
            <wp:extent cx="55317" cy="6381"/>
            <wp:effectExtent l="0" t="0" r="0" b="0"/>
            <wp:wrapTopAndBottom/>
            <wp:docPr id="41" name="image53.png"/>
            <wp:cNvGraphicFramePr>
              <a:graphicFrameLocks noChangeAspect="1"/>
            </wp:cNvGraphicFramePr>
            <a:graphic>
              <a:graphicData uri="http://schemas.openxmlformats.org/drawingml/2006/picture">
                <pic:pic>
                  <pic:nvPicPr>
                    <pic:cNvPr id="42" name="image53.png"/>
                    <pic:cNvPicPr/>
                  </pic:nvPicPr>
                  <pic:blipFill>
                    <a:blip r:embed="rId115"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53">
            <wp:simplePos x="0" y="0"/>
            <wp:positionH relativeFrom="page">
              <wp:posOffset>504291</wp:posOffset>
            </wp:positionH>
            <wp:positionV relativeFrom="paragraph">
              <wp:posOffset>339371</wp:posOffset>
            </wp:positionV>
            <wp:extent cx="55317" cy="6381"/>
            <wp:effectExtent l="0" t="0" r="0" b="0"/>
            <wp:wrapTopAndBottom/>
            <wp:docPr id="43" name="image53.png"/>
            <wp:cNvGraphicFramePr>
              <a:graphicFrameLocks noChangeAspect="1"/>
            </wp:cNvGraphicFramePr>
            <a:graphic>
              <a:graphicData uri="http://schemas.openxmlformats.org/drawingml/2006/picture">
                <pic:pic>
                  <pic:nvPicPr>
                    <pic:cNvPr id="44" name="image53.png"/>
                    <pic:cNvPicPr/>
                  </pic:nvPicPr>
                  <pic:blipFill>
                    <a:blip r:embed="rId115"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54">
            <wp:simplePos x="0" y="0"/>
            <wp:positionH relativeFrom="page">
              <wp:posOffset>504291</wp:posOffset>
            </wp:positionH>
            <wp:positionV relativeFrom="paragraph">
              <wp:posOffset>456567</wp:posOffset>
            </wp:positionV>
            <wp:extent cx="55317" cy="6381"/>
            <wp:effectExtent l="0" t="0" r="0" b="0"/>
            <wp:wrapTopAndBottom/>
            <wp:docPr id="45" name="image53.png"/>
            <wp:cNvGraphicFramePr>
              <a:graphicFrameLocks noChangeAspect="1"/>
            </wp:cNvGraphicFramePr>
            <a:graphic>
              <a:graphicData uri="http://schemas.openxmlformats.org/drawingml/2006/picture">
                <pic:pic>
                  <pic:nvPicPr>
                    <pic:cNvPr id="46" name="image53.png"/>
                    <pic:cNvPicPr/>
                  </pic:nvPicPr>
                  <pic:blipFill>
                    <a:blip r:embed="rId115"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55">
            <wp:simplePos x="0" y="0"/>
            <wp:positionH relativeFrom="page">
              <wp:posOffset>504291</wp:posOffset>
            </wp:positionH>
            <wp:positionV relativeFrom="paragraph">
              <wp:posOffset>573775</wp:posOffset>
            </wp:positionV>
            <wp:extent cx="54491" cy="6286"/>
            <wp:effectExtent l="0" t="0" r="0" b="0"/>
            <wp:wrapTopAndBottom/>
            <wp:docPr id="47" name="image10.png"/>
            <wp:cNvGraphicFramePr>
              <a:graphicFrameLocks noChangeAspect="1"/>
            </wp:cNvGraphicFramePr>
            <a:graphic>
              <a:graphicData uri="http://schemas.openxmlformats.org/drawingml/2006/picture">
                <pic:pic>
                  <pic:nvPicPr>
                    <pic:cNvPr id="48" name="image10.png"/>
                    <pic:cNvPicPr/>
                  </pic:nvPicPr>
                  <pic:blipFill>
                    <a:blip r:embed="rId45"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756">
            <wp:simplePos x="0" y="0"/>
            <wp:positionH relativeFrom="page">
              <wp:posOffset>504291</wp:posOffset>
            </wp:positionH>
            <wp:positionV relativeFrom="paragraph">
              <wp:posOffset>690971</wp:posOffset>
            </wp:positionV>
            <wp:extent cx="55317" cy="6381"/>
            <wp:effectExtent l="0" t="0" r="0" b="0"/>
            <wp:wrapTopAndBottom/>
            <wp:docPr id="49" name="image53.png"/>
            <wp:cNvGraphicFramePr>
              <a:graphicFrameLocks noChangeAspect="1"/>
            </wp:cNvGraphicFramePr>
            <a:graphic>
              <a:graphicData uri="http://schemas.openxmlformats.org/drawingml/2006/picture">
                <pic:pic>
                  <pic:nvPicPr>
                    <pic:cNvPr id="50" name="image53.png"/>
                    <pic:cNvPicPr/>
                  </pic:nvPicPr>
                  <pic:blipFill>
                    <a:blip r:embed="rId115"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57">
            <wp:simplePos x="0" y="0"/>
            <wp:positionH relativeFrom="page">
              <wp:posOffset>504291</wp:posOffset>
            </wp:positionH>
            <wp:positionV relativeFrom="paragraph">
              <wp:posOffset>808179</wp:posOffset>
            </wp:positionV>
            <wp:extent cx="55317" cy="6381"/>
            <wp:effectExtent l="0" t="0" r="0" b="0"/>
            <wp:wrapTopAndBottom/>
            <wp:docPr id="51" name="image53.png"/>
            <wp:cNvGraphicFramePr>
              <a:graphicFrameLocks noChangeAspect="1"/>
            </wp:cNvGraphicFramePr>
            <a:graphic>
              <a:graphicData uri="http://schemas.openxmlformats.org/drawingml/2006/picture">
                <pic:pic>
                  <pic:nvPicPr>
                    <pic:cNvPr id="52" name="image53.png"/>
                    <pic:cNvPicPr/>
                  </pic:nvPicPr>
                  <pic:blipFill>
                    <a:blip r:embed="rId115"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58">
            <wp:simplePos x="0" y="0"/>
            <wp:positionH relativeFrom="page">
              <wp:posOffset>504291</wp:posOffset>
            </wp:positionH>
            <wp:positionV relativeFrom="paragraph">
              <wp:posOffset>926988</wp:posOffset>
            </wp:positionV>
            <wp:extent cx="55317" cy="6381"/>
            <wp:effectExtent l="0" t="0" r="0" b="0"/>
            <wp:wrapTopAndBottom/>
            <wp:docPr id="53" name="image53.png"/>
            <wp:cNvGraphicFramePr>
              <a:graphicFrameLocks noChangeAspect="1"/>
            </wp:cNvGraphicFramePr>
            <a:graphic>
              <a:graphicData uri="http://schemas.openxmlformats.org/drawingml/2006/picture">
                <pic:pic>
                  <pic:nvPicPr>
                    <pic:cNvPr id="54" name="image53.png"/>
                    <pic:cNvPicPr/>
                  </pic:nvPicPr>
                  <pic:blipFill>
                    <a:blip r:embed="rId115" cstate="print"/>
                    <a:stretch>
                      <a:fillRect/>
                    </a:stretch>
                  </pic:blipFill>
                  <pic:spPr>
                    <a:xfrm>
                      <a:off x="0" y="0"/>
                      <a:ext cx="55317" cy="6381"/>
                    </a:xfrm>
                    <a:prstGeom prst="rect">
                      <a:avLst/>
                    </a:prstGeom>
                  </pic:spPr>
                </pic:pic>
              </a:graphicData>
            </a:graphic>
          </wp:anchor>
        </w:drawing>
      </w:r>
    </w:p>
    <w:p>
      <w:pPr>
        <w:pStyle w:val="BodyText"/>
        <w:spacing w:before="3"/>
        <w:rPr>
          <w:b/>
          <w:sz w:val="9"/>
        </w:rPr>
      </w:pPr>
    </w:p>
    <w:p>
      <w:pPr>
        <w:pStyle w:val="BodyText"/>
        <w:spacing w:before="3"/>
        <w:rPr>
          <w:b/>
          <w:sz w:val="9"/>
        </w:rPr>
      </w:pPr>
    </w:p>
    <w:p>
      <w:pPr>
        <w:pStyle w:val="BodyText"/>
        <w:spacing w:before="3"/>
        <w:rPr>
          <w:b/>
          <w:sz w:val="9"/>
        </w:rPr>
      </w:pPr>
    </w:p>
    <w:p>
      <w:pPr>
        <w:pStyle w:val="BodyText"/>
        <w:spacing w:before="3"/>
        <w:rPr>
          <w:b/>
          <w:sz w:val="9"/>
        </w:rPr>
      </w:pPr>
    </w:p>
    <w:p>
      <w:pPr>
        <w:pStyle w:val="BodyText"/>
        <w:spacing w:before="3"/>
        <w:rPr>
          <w:b/>
          <w:sz w:val="9"/>
        </w:rPr>
      </w:pPr>
    </w:p>
    <w:p>
      <w:pPr>
        <w:pStyle w:val="BodyText"/>
        <w:spacing w:before="3"/>
        <w:rPr>
          <w:b/>
          <w:sz w:val="9"/>
        </w:rPr>
      </w:pPr>
    </w:p>
    <w:p>
      <w:pPr>
        <w:pStyle w:val="BodyText"/>
        <w:spacing w:before="5"/>
        <w:rPr>
          <w:b/>
          <w:sz w:val="9"/>
        </w:rPr>
      </w:pPr>
    </w:p>
    <w:p>
      <w:pPr>
        <w:pStyle w:val="BodyText"/>
        <w:spacing w:before="9"/>
        <w:rPr>
          <w:b/>
          <w:sz w:val="17"/>
        </w:rPr>
      </w:pPr>
      <w:r>
        <w:rPr/>
        <w:br w:type="column"/>
      </w:r>
      <w:r>
        <w:rPr>
          <w:b/>
          <w:sz w:val="17"/>
        </w:rPr>
      </w:r>
    </w:p>
    <w:p>
      <w:pPr>
        <w:spacing w:line="208" w:lineRule="auto" w:before="0"/>
        <w:ind w:left="177" w:right="20" w:hanging="60"/>
        <w:jc w:val="left"/>
        <w:rPr>
          <w:sz w:val="12"/>
        </w:rPr>
      </w:pPr>
      <w:r>
        <w:rPr>
          <w:sz w:val="12"/>
        </w:rPr>
        <w:t>Manufacturing recruitment difficulties (a)</w:t>
      </w:r>
    </w:p>
    <w:p>
      <w:pPr>
        <w:pStyle w:val="BodyText"/>
        <w:rPr>
          <w:sz w:val="12"/>
        </w:rPr>
      </w:pPr>
    </w:p>
    <w:p>
      <w:pPr>
        <w:pStyle w:val="BodyText"/>
        <w:rPr>
          <w:sz w:val="12"/>
        </w:rPr>
      </w:pPr>
    </w:p>
    <w:p>
      <w:pPr>
        <w:pStyle w:val="BodyText"/>
        <w:rPr>
          <w:sz w:val="14"/>
        </w:rPr>
      </w:pPr>
    </w:p>
    <w:p>
      <w:pPr>
        <w:spacing w:line="208" w:lineRule="auto" w:before="0"/>
        <w:ind w:left="104" w:right="400" w:hanging="60"/>
        <w:jc w:val="left"/>
        <w:rPr>
          <w:sz w:val="12"/>
        </w:rPr>
      </w:pPr>
      <w:r>
        <w:rPr>
          <w:sz w:val="12"/>
        </w:rPr>
        <w:t>Services recruitment difficulties (a)</w:t>
      </w:r>
    </w:p>
    <w:p>
      <w:pPr>
        <w:spacing w:line="107" w:lineRule="exact" w:before="0"/>
        <w:ind w:left="174" w:right="0" w:firstLine="0"/>
        <w:jc w:val="left"/>
        <w:rPr>
          <w:sz w:val="12"/>
        </w:rPr>
      </w:pPr>
      <w:r>
        <w:rPr/>
        <w:br w:type="column"/>
      </w:r>
      <w:r>
        <w:rPr>
          <w:sz w:val="12"/>
        </w:rPr>
        <w:t>Per cent</w:t>
      </w:r>
    </w:p>
    <w:p>
      <w:pPr>
        <w:spacing w:line="117" w:lineRule="exact" w:before="0"/>
        <w:ind w:left="0" w:right="38" w:firstLine="0"/>
        <w:jc w:val="right"/>
        <w:rPr>
          <w:sz w:val="12"/>
        </w:rPr>
      </w:pPr>
      <w:r>
        <w:rPr/>
        <w:drawing>
          <wp:anchor distT="0" distB="0" distL="0" distR="0" allowOverlap="1" layoutInCell="1" locked="0" behindDoc="1" simplePos="0" relativeHeight="481300480">
            <wp:simplePos x="0" y="0"/>
            <wp:positionH relativeFrom="page">
              <wp:posOffset>1587500</wp:posOffset>
            </wp:positionH>
            <wp:positionV relativeFrom="paragraph">
              <wp:posOffset>33851</wp:posOffset>
            </wp:positionV>
            <wp:extent cx="958850" cy="709942"/>
            <wp:effectExtent l="0" t="0" r="0" b="0"/>
            <wp:wrapNone/>
            <wp:docPr id="55" name="image54.png"/>
            <wp:cNvGraphicFramePr>
              <a:graphicFrameLocks noChangeAspect="1"/>
            </wp:cNvGraphicFramePr>
            <a:graphic>
              <a:graphicData uri="http://schemas.openxmlformats.org/drawingml/2006/picture">
                <pic:pic>
                  <pic:nvPicPr>
                    <pic:cNvPr id="56" name="image54.png"/>
                    <pic:cNvPicPr/>
                  </pic:nvPicPr>
                  <pic:blipFill>
                    <a:blip r:embed="rId116" cstate="print"/>
                    <a:stretch>
                      <a:fillRect/>
                    </a:stretch>
                  </pic:blipFill>
                  <pic:spPr>
                    <a:xfrm>
                      <a:off x="0" y="0"/>
                      <a:ext cx="958850" cy="709942"/>
                    </a:xfrm>
                    <a:prstGeom prst="rect">
                      <a:avLst/>
                    </a:prstGeom>
                  </pic:spPr>
                </pic:pic>
              </a:graphicData>
            </a:graphic>
          </wp:anchor>
        </w:drawing>
      </w:r>
      <w:r>
        <w:rPr>
          <w:sz w:val="12"/>
        </w:rPr>
        <w:t>80</w:t>
      </w:r>
    </w:p>
    <w:p>
      <w:pPr>
        <w:spacing w:before="42"/>
        <w:ind w:left="0" w:right="38" w:firstLine="0"/>
        <w:jc w:val="right"/>
        <w:rPr>
          <w:sz w:val="12"/>
        </w:rPr>
      </w:pPr>
      <w:r>
        <w:rPr>
          <w:sz w:val="12"/>
        </w:rPr>
        <w:t>70</w:t>
      </w:r>
    </w:p>
    <w:p>
      <w:pPr>
        <w:spacing w:before="54"/>
        <w:ind w:left="0" w:right="38" w:firstLine="0"/>
        <w:jc w:val="right"/>
        <w:rPr>
          <w:sz w:val="12"/>
        </w:rPr>
      </w:pPr>
      <w:r>
        <w:rPr>
          <w:sz w:val="12"/>
        </w:rPr>
        <w:t>60</w:t>
      </w:r>
    </w:p>
    <w:p>
      <w:pPr>
        <w:spacing w:before="43"/>
        <w:ind w:left="0" w:right="38" w:firstLine="0"/>
        <w:jc w:val="right"/>
        <w:rPr>
          <w:sz w:val="12"/>
        </w:rPr>
      </w:pPr>
      <w:r>
        <w:rPr>
          <w:sz w:val="12"/>
        </w:rPr>
        <w:t>50</w:t>
      </w:r>
    </w:p>
    <w:p>
      <w:pPr>
        <w:spacing w:before="45"/>
        <w:ind w:left="0" w:right="38" w:firstLine="0"/>
        <w:jc w:val="right"/>
        <w:rPr>
          <w:sz w:val="12"/>
        </w:rPr>
      </w:pPr>
      <w:r>
        <w:rPr>
          <w:sz w:val="12"/>
        </w:rPr>
        <w:t>40</w:t>
      </w:r>
    </w:p>
    <w:p>
      <w:pPr>
        <w:spacing w:before="40"/>
        <w:ind w:left="0" w:right="38" w:firstLine="0"/>
        <w:jc w:val="right"/>
        <w:rPr>
          <w:sz w:val="12"/>
        </w:rPr>
      </w:pPr>
      <w:r>
        <w:rPr>
          <w:sz w:val="12"/>
        </w:rPr>
        <w:t>30</w:t>
      </w:r>
    </w:p>
    <w:p>
      <w:pPr>
        <w:spacing w:before="54"/>
        <w:ind w:left="0" w:right="38" w:firstLine="0"/>
        <w:jc w:val="right"/>
        <w:rPr>
          <w:sz w:val="12"/>
        </w:rPr>
      </w:pPr>
      <w:r>
        <w:rPr>
          <w:sz w:val="12"/>
        </w:rPr>
        <w:t>20</w:t>
      </w:r>
    </w:p>
    <w:p>
      <w:pPr>
        <w:spacing w:before="40"/>
        <w:ind w:left="0" w:right="38" w:firstLine="0"/>
        <w:jc w:val="right"/>
        <w:rPr>
          <w:sz w:val="12"/>
        </w:rPr>
      </w:pPr>
      <w:r>
        <w:rPr/>
        <w:drawing>
          <wp:anchor distT="0" distB="0" distL="0" distR="0" allowOverlap="1" layoutInCell="1" locked="0" behindDoc="0" simplePos="0" relativeHeight="16131072">
            <wp:simplePos x="0" y="0"/>
            <wp:positionH relativeFrom="page">
              <wp:posOffset>2491320</wp:posOffset>
            </wp:positionH>
            <wp:positionV relativeFrom="paragraph">
              <wp:posOffset>77083</wp:posOffset>
            </wp:positionV>
            <wp:extent cx="55029" cy="6350"/>
            <wp:effectExtent l="0" t="0" r="0" b="0"/>
            <wp:wrapNone/>
            <wp:docPr id="57" name="image12.png"/>
            <wp:cNvGraphicFramePr>
              <a:graphicFrameLocks noChangeAspect="1"/>
            </wp:cNvGraphicFramePr>
            <a:graphic>
              <a:graphicData uri="http://schemas.openxmlformats.org/drawingml/2006/picture">
                <pic:pic>
                  <pic:nvPicPr>
                    <pic:cNvPr id="58" name="image12.png"/>
                    <pic:cNvPicPr/>
                  </pic:nvPicPr>
                  <pic:blipFill>
                    <a:blip r:embed="rId47" cstate="print"/>
                    <a:stretch>
                      <a:fillRect/>
                    </a:stretch>
                  </pic:blipFill>
                  <pic:spPr>
                    <a:xfrm>
                      <a:off x="0" y="0"/>
                      <a:ext cx="55029" cy="6350"/>
                    </a:xfrm>
                    <a:prstGeom prst="rect">
                      <a:avLst/>
                    </a:prstGeom>
                  </pic:spPr>
                </pic:pic>
              </a:graphicData>
            </a:graphic>
          </wp:anchor>
        </w:drawing>
      </w:r>
      <w:r>
        <w:rPr>
          <w:sz w:val="12"/>
        </w:rPr>
        <w:t>10</w:t>
      </w:r>
    </w:p>
    <w:p>
      <w:pPr>
        <w:spacing w:line="125" w:lineRule="exact" w:before="60"/>
        <w:ind w:left="0" w:right="38" w:firstLine="0"/>
        <w:jc w:val="right"/>
        <w:rPr>
          <w:sz w:val="12"/>
        </w:rPr>
      </w:pPr>
      <w:r>
        <w:rPr/>
        <w:drawing>
          <wp:anchor distT="0" distB="0" distL="0" distR="0" allowOverlap="1" layoutInCell="1" locked="0" behindDoc="0" simplePos="0" relativeHeight="16135680">
            <wp:simplePos x="0" y="0"/>
            <wp:positionH relativeFrom="page">
              <wp:posOffset>2491320</wp:posOffset>
            </wp:positionH>
            <wp:positionV relativeFrom="paragraph">
              <wp:posOffset>83153</wp:posOffset>
            </wp:positionV>
            <wp:extent cx="55029" cy="6350"/>
            <wp:effectExtent l="0" t="0" r="0" b="0"/>
            <wp:wrapNone/>
            <wp:docPr id="59" name="image12.png"/>
            <wp:cNvGraphicFramePr>
              <a:graphicFrameLocks noChangeAspect="1"/>
            </wp:cNvGraphicFramePr>
            <a:graphic>
              <a:graphicData uri="http://schemas.openxmlformats.org/drawingml/2006/picture">
                <pic:pic>
                  <pic:nvPicPr>
                    <pic:cNvPr id="60" name="image12.png"/>
                    <pic:cNvPicPr/>
                  </pic:nvPicPr>
                  <pic:blipFill>
                    <a:blip r:embed="rId47" cstate="print"/>
                    <a:stretch>
                      <a:fillRect/>
                    </a:stretch>
                  </pic:blipFill>
                  <pic:spPr>
                    <a:xfrm>
                      <a:off x="0" y="0"/>
                      <a:ext cx="55029" cy="6350"/>
                    </a:xfrm>
                    <a:prstGeom prst="rect">
                      <a:avLst/>
                    </a:prstGeom>
                  </pic:spPr>
                </pic:pic>
              </a:graphicData>
            </a:graphic>
          </wp:anchor>
        </w:drawing>
      </w:r>
      <w:r>
        <w:rPr>
          <w:color w:val="231F20"/>
          <w:sz w:val="12"/>
        </w:rPr>
        <w:t>0</w:t>
      </w:r>
    </w:p>
    <w:p>
      <w:pPr>
        <w:pStyle w:val="Heading6"/>
        <w:spacing w:line="242" w:lineRule="auto" w:before="3"/>
        <w:ind w:left="174" w:right="298"/>
      </w:pPr>
      <w:r>
        <w:rPr/>
        <w:br w:type="column"/>
      </w:r>
      <w:r>
        <w:rPr/>
        <w:t>of both permanent and temporary (or contract) staff has been falling since last June. Reports from the Bank’s regional Agents, based on discussions with a range of business contacts, paint a similar picture. There was an increase in skill shortages across much of the country during the second half of last year. Shortages remain</w:t>
      </w:r>
    </w:p>
    <w:p>
      <w:pPr>
        <w:spacing w:after="0" w:line="242" w:lineRule="auto"/>
        <w:sectPr>
          <w:type w:val="continuous"/>
          <w:pgSz w:w="11900" w:h="16840"/>
          <w:pgMar w:top="1220" w:bottom="280" w:left="620" w:right="640"/>
          <w:cols w:num="4" w:equalWidth="0">
            <w:col w:w="798" w:space="40"/>
            <w:col w:w="1454" w:space="534"/>
            <w:col w:w="781" w:space="1209"/>
            <w:col w:w="5824"/>
          </w:cols>
        </w:sectPr>
      </w:pPr>
    </w:p>
    <w:p>
      <w:pPr>
        <w:tabs>
          <w:tab w:pos="3000" w:val="left" w:leader="none"/>
        </w:tabs>
        <w:spacing w:line="114" w:lineRule="exact" w:before="102"/>
        <w:ind w:left="174" w:right="0" w:firstLine="0"/>
        <w:jc w:val="left"/>
        <w:rPr>
          <w:sz w:val="12"/>
        </w:rPr>
      </w:pPr>
      <w:r>
        <w:rPr>
          <w:b/>
          <w:sz w:val="12"/>
        </w:rPr>
        <w:t>CBI survey</w:t>
        <w:tab/>
      </w:r>
      <w:r>
        <w:rPr>
          <w:sz w:val="12"/>
        </w:rPr>
        <w:t>Per cent</w:t>
      </w:r>
    </w:p>
    <w:p>
      <w:pPr>
        <w:spacing w:line="114" w:lineRule="exact" w:before="0"/>
        <w:ind w:left="3446" w:right="0" w:firstLine="0"/>
        <w:jc w:val="left"/>
        <w:rPr>
          <w:sz w:val="12"/>
        </w:rPr>
      </w:pPr>
      <w:r>
        <w:rPr/>
        <w:drawing>
          <wp:anchor distT="0" distB="0" distL="0" distR="0" allowOverlap="1" layoutInCell="1" locked="0" behindDoc="0" simplePos="0" relativeHeight="16134144">
            <wp:simplePos x="0" y="0"/>
            <wp:positionH relativeFrom="page">
              <wp:posOffset>504291</wp:posOffset>
            </wp:positionH>
            <wp:positionV relativeFrom="paragraph">
              <wp:posOffset>31333</wp:posOffset>
            </wp:positionV>
            <wp:extent cx="55041" cy="6350"/>
            <wp:effectExtent l="0" t="0" r="0" b="0"/>
            <wp:wrapNone/>
            <wp:docPr id="61" name="image10.png"/>
            <wp:cNvGraphicFramePr>
              <a:graphicFrameLocks noChangeAspect="1"/>
            </wp:cNvGraphicFramePr>
            <a:graphic>
              <a:graphicData uri="http://schemas.openxmlformats.org/drawingml/2006/picture">
                <pic:pic>
                  <pic:nvPicPr>
                    <pic:cNvPr id="62" name="image10.png"/>
                    <pic:cNvPicPr/>
                  </pic:nvPicPr>
                  <pic:blipFill>
                    <a:blip r:embed="rId45"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35168">
            <wp:simplePos x="0" y="0"/>
            <wp:positionH relativeFrom="page">
              <wp:posOffset>2491320</wp:posOffset>
            </wp:positionH>
            <wp:positionV relativeFrom="paragraph">
              <wp:posOffset>32121</wp:posOffset>
            </wp:positionV>
            <wp:extent cx="55029" cy="6350"/>
            <wp:effectExtent l="0" t="0" r="0" b="0"/>
            <wp:wrapNone/>
            <wp:docPr id="63" name="image19.png"/>
            <wp:cNvGraphicFramePr>
              <a:graphicFrameLocks noChangeAspect="1"/>
            </wp:cNvGraphicFramePr>
            <a:graphic>
              <a:graphicData uri="http://schemas.openxmlformats.org/drawingml/2006/picture">
                <pic:pic>
                  <pic:nvPicPr>
                    <pic:cNvPr id="64" name="image19.png"/>
                    <pic:cNvPicPr/>
                  </pic:nvPicPr>
                  <pic:blipFill>
                    <a:blip r:embed="rId54" cstate="print"/>
                    <a:stretch>
                      <a:fillRect/>
                    </a:stretch>
                  </pic:blipFill>
                  <pic:spPr>
                    <a:xfrm>
                      <a:off x="0" y="0"/>
                      <a:ext cx="55029" cy="6350"/>
                    </a:xfrm>
                    <a:prstGeom prst="rect">
                      <a:avLst/>
                    </a:prstGeom>
                  </pic:spPr>
                </pic:pic>
              </a:graphicData>
            </a:graphic>
          </wp:anchor>
        </w:drawing>
      </w:r>
      <w:r>
        <w:rPr>
          <w:sz w:val="12"/>
        </w:rPr>
        <w:t>60</w:t>
      </w:r>
    </w:p>
    <w:p>
      <w:pPr>
        <w:spacing w:before="107"/>
        <w:ind w:left="0" w:right="301" w:firstLine="0"/>
        <w:jc w:val="right"/>
        <w:rPr>
          <w:sz w:val="12"/>
        </w:rPr>
      </w:pPr>
      <w:r>
        <w:rPr/>
        <w:pict>
          <v:group style="position:absolute;margin-left:47.875pt;margin-top:3.841006pt;width:152.65pt;height:70.95pt;mso-position-horizontal-relative:page;mso-position-vertical-relative:paragraph;z-index:16130560" coordorigin="958,77" coordsize="3053,1419">
            <v:shape style="position:absolute;left:957;top:150;width:3053;height:1346" type="#_x0000_t75" stroked="false">
              <v:imagedata r:id="rId117" o:title=""/>
            </v:shape>
            <v:shape style="position:absolute;left:1190;top:76;width:1084;height:254" type="#_x0000_t202" filled="false" stroked="false">
              <v:textbox inset="0,0,0,0">
                <w:txbxContent>
                  <w:p>
                    <w:pPr>
                      <w:spacing w:line="208" w:lineRule="auto" w:before="9"/>
                      <w:ind w:left="60" w:right="0" w:hanging="60"/>
                      <w:jc w:val="left"/>
                      <w:rPr>
                        <w:sz w:val="12"/>
                      </w:rPr>
                    </w:pPr>
                    <w:r>
                      <w:rPr>
                        <w:sz w:val="12"/>
                      </w:rPr>
                      <w:t>Manufacturing skilled labour shortages (b)</w:t>
                    </w:r>
                  </w:p>
                </w:txbxContent>
              </v:textbox>
              <w10:wrap type="none"/>
            </v:shape>
            <v:shape style="position:absolute;left:2518;top:251;width:1204;height:254" type="#_x0000_t202" filled="false" stroked="false">
              <v:textbox inset="0,0,0,0">
                <w:txbxContent>
                  <w:p>
                    <w:pPr>
                      <w:spacing w:line="208" w:lineRule="auto" w:before="9"/>
                      <w:ind w:left="60" w:right="0" w:hanging="60"/>
                      <w:jc w:val="left"/>
                      <w:rPr>
                        <w:sz w:val="12"/>
                      </w:rPr>
                    </w:pPr>
                    <w:r>
                      <w:rPr>
                        <w:sz w:val="12"/>
                      </w:rPr>
                      <w:t>Manufacturing unskilled labour shortages (b)</w:t>
                    </w:r>
                  </w:p>
                </w:txbxContent>
              </v:textbox>
              <w10:wrap type="none"/>
            </v:shape>
            <w10:wrap type="none"/>
          </v:group>
        </w:pict>
      </w:r>
      <w:r>
        <w:rPr/>
        <w:drawing>
          <wp:anchor distT="0" distB="0" distL="0" distR="0" allowOverlap="1" layoutInCell="1" locked="0" behindDoc="0" simplePos="0" relativeHeight="16131584">
            <wp:simplePos x="0" y="0"/>
            <wp:positionH relativeFrom="page">
              <wp:posOffset>504291</wp:posOffset>
            </wp:positionH>
            <wp:positionV relativeFrom="paragraph">
              <wp:posOffset>112990</wp:posOffset>
            </wp:positionV>
            <wp:extent cx="55041" cy="6350"/>
            <wp:effectExtent l="0" t="0" r="0" b="0"/>
            <wp:wrapNone/>
            <wp:docPr id="65" name="image53.png"/>
            <wp:cNvGraphicFramePr>
              <a:graphicFrameLocks noChangeAspect="1"/>
            </wp:cNvGraphicFramePr>
            <a:graphic>
              <a:graphicData uri="http://schemas.openxmlformats.org/drawingml/2006/picture">
                <pic:pic>
                  <pic:nvPicPr>
                    <pic:cNvPr id="66" name="image53.png"/>
                    <pic:cNvPicPr/>
                  </pic:nvPicPr>
                  <pic:blipFill>
                    <a:blip r:embed="rId115" cstate="print"/>
                    <a:stretch>
                      <a:fillRect/>
                    </a:stretch>
                  </pic:blipFill>
                  <pic:spPr>
                    <a:xfrm>
                      <a:off x="0" y="0"/>
                      <a:ext cx="55041" cy="6350"/>
                    </a:xfrm>
                    <a:prstGeom prst="rect">
                      <a:avLst/>
                    </a:prstGeom>
                  </pic:spPr>
                </pic:pic>
              </a:graphicData>
            </a:graphic>
          </wp:anchor>
        </w:drawing>
      </w:r>
      <w:r>
        <w:rPr>
          <w:sz w:val="12"/>
        </w:rPr>
        <w:t>50</w:t>
      </w:r>
    </w:p>
    <w:p>
      <w:pPr>
        <w:spacing w:before="107"/>
        <w:ind w:left="0" w:right="301" w:firstLine="0"/>
        <w:jc w:val="right"/>
        <w:rPr>
          <w:sz w:val="12"/>
        </w:rPr>
      </w:pPr>
      <w:r>
        <w:rPr/>
        <w:drawing>
          <wp:anchor distT="0" distB="0" distL="0" distR="0" allowOverlap="1" layoutInCell="1" locked="0" behindDoc="0" simplePos="0" relativeHeight="16132608">
            <wp:simplePos x="0" y="0"/>
            <wp:positionH relativeFrom="page">
              <wp:posOffset>504291</wp:posOffset>
            </wp:positionH>
            <wp:positionV relativeFrom="paragraph">
              <wp:posOffset>111222</wp:posOffset>
            </wp:positionV>
            <wp:extent cx="55041" cy="6350"/>
            <wp:effectExtent l="0" t="0" r="0" b="0"/>
            <wp:wrapNone/>
            <wp:docPr id="67" name="image53.png"/>
            <wp:cNvGraphicFramePr>
              <a:graphicFrameLocks noChangeAspect="1"/>
            </wp:cNvGraphicFramePr>
            <a:graphic>
              <a:graphicData uri="http://schemas.openxmlformats.org/drawingml/2006/picture">
                <pic:pic>
                  <pic:nvPicPr>
                    <pic:cNvPr id="68" name="image53.png"/>
                    <pic:cNvPicPr/>
                  </pic:nvPicPr>
                  <pic:blipFill>
                    <a:blip r:embed="rId115" cstate="print"/>
                    <a:stretch>
                      <a:fillRect/>
                    </a:stretch>
                  </pic:blipFill>
                  <pic:spPr>
                    <a:xfrm>
                      <a:off x="0" y="0"/>
                      <a:ext cx="55041" cy="6350"/>
                    </a:xfrm>
                    <a:prstGeom prst="rect">
                      <a:avLst/>
                    </a:prstGeom>
                  </pic:spPr>
                </pic:pic>
              </a:graphicData>
            </a:graphic>
          </wp:anchor>
        </w:drawing>
      </w:r>
      <w:r>
        <w:rPr>
          <w:sz w:val="12"/>
        </w:rPr>
        <w:t>40</w:t>
      </w:r>
    </w:p>
    <w:p>
      <w:pPr>
        <w:spacing w:before="100"/>
        <w:ind w:left="0" w:right="301" w:firstLine="0"/>
        <w:jc w:val="right"/>
        <w:rPr>
          <w:sz w:val="12"/>
        </w:rPr>
      </w:pPr>
      <w:r>
        <w:rPr/>
        <w:drawing>
          <wp:anchor distT="0" distB="0" distL="0" distR="0" allowOverlap="1" layoutInCell="1" locked="0" behindDoc="0" simplePos="0" relativeHeight="16132096">
            <wp:simplePos x="0" y="0"/>
            <wp:positionH relativeFrom="page">
              <wp:posOffset>504291</wp:posOffset>
            </wp:positionH>
            <wp:positionV relativeFrom="paragraph">
              <wp:posOffset>109771</wp:posOffset>
            </wp:positionV>
            <wp:extent cx="55041" cy="6350"/>
            <wp:effectExtent l="0" t="0" r="0" b="0"/>
            <wp:wrapNone/>
            <wp:docPr id="69" name="image53.png"/>
            <wp:cNvGraphicFramePr>
              <a:graphicFrameLocks noChangeAspect="1"/>
            </wp:cNvGraphicFramePr>
            <a:graphic>
              <a:graphicData uri="http://schemas.openxmlformats.org/drawingml/2006/picture">
                <pic:pic>
                  <pic:nvPicPr>
                    <pic:cNvPr id="70" name="image53.png"/>
                    <pic:cNvPicPr/>
                  </pic:nvPicPr>
                  <pic:blipFill>
                    <a:blip r:embed="rId115" cstate="print"/>
                    <a:stretch>
                      <a:fillRect/>
                    </a:stretch>
                  </pic:blipFill>
                  <pic:spPr>
                    <a:xfrm>
                      <a:off x="0" y="0"/>
                      <a:ext cx="55041" cy="6350"/>
                    </a:xfrm>
                    <a:prstGeom prst="rect">
                      <a:avLst/>
                    </a:prstGeom>
                  </pic:spPr>
                </pic:pic>
              </a:graphicData>
            </a:graphic>
          </wp:anchor>
        </w:drawing>
      </w:r>
      <w:r>
        <w:rPr>
          <w:sz w:val="12"/>
        </w:rPr>
        <w:t>30</w:t>
      </w:r>
    </w:p>
    <w:p>
      <w:pPr>
        <w:spacing w:before="97"/>
        <w:ind w:left="0" w:right="301" w:firstLine="0"/>
        <w:jc w:val="right"/>
        <w:rPr>
          <w:sz w:val="12"/>
        </w:rPr>
      </w:pPr>
      <w:r>
        <w:rPr/>
        <w:drawing>
          <wp:anchor distT="0" distB="0" distL="0" distR="0" allowOverlap="1" layoutInCell="1" locked="0" behindDoc="0" simplePos="0" relativeHeight="16134656">
            <wp:simplePos x="0" y="0"/>
            <wp:positionH relativeFrom="page">
              <wp:posOffset>504291</wp:posOffset>
            </wp:positionH>
            <wp:positionV relativeFrom="paragraph">
              <wp:posOffset>112454</wp:posOffset>
            </wp:positionV>
            <wp:extent cx="55041" cy="6350"/>
            <wp:effectExtent l="0" t="0" r="0" b="0"/>
            <wp:wrapNone/>
            <wp:docPr id="71" name="image10.png"/>
            <wp:cNvGraphicFramePr>
              <a:graphicFrameLocks noChangeAspect="1"/>
            </wp:cNvGraphicFramePr>
            <a:graphic>
              <a:graphicData uri="http://schemas.openxmlformats.org/drawingml/2006/picture">
                <pic:pic>
                  <pic:nvPicPr>
                    <pic:cNvPr id="72" name="image10.png"/>
                    <pic:cNvPicPr/>
                  </pic:nvPicPr>
                  <pic:blipFill>
                    <a:blip r:embed="rId45" cstate="print"/>
                    <a:stretch>
                      <a:fillRect/>
                    </a:stretch>
                  </pic:blipFill>
                  <pic:spPr>
                    <a:xfrm>
                      <a:off x="0" y="0"/>
                      <a:ext cx="55041" cy="6350"/>
                    </a:xfrm>
                    <a:prstGeom prst="rect">
                      <a:avLst/>
                    </a:prstGeom>
                  </pic:spPr>
                </pic:pic>
              </a:graphicData>
            </a:graphic>
          </wp:anchor>
        </w:drawing>
      </w:r>
      <w:r>
        <w:rPr>
          <w:sz w:val="12"/>
        </w:rPr>
        <w:t>20</w:t>
      </w:r>
    </w:p>
    <w:p>
      <w:pPr>
        <w:pStyle w:val="BodyText"/>
        <w:spacing w:before="8"/>
        <w:rPr>
          <w:sz w:val="9"/>
        </w:rPr>
      </w:pPr>
    </w:p>
    <w:p>
      <w:pPr>
        <w:spacing w:before="0"/>
        <w:ind w:left="0" w:right="301" w:firstLine="0"/>
        <w:jc w:val="right"/>
        <w:rPr>
          <w:sz w:val="12"/>
        </w:rPr>
      </w:pPr>
      <w:r>
        <w:rPr/>
        <w:drawing>
          <wp:anchor distT="0" distB="0" distL="0" distR="0" allowOverlap="1" layoutInCell="1" locked="0" behindDoc="0" simplePos="0" relativeHeight="16133632">
            <wp:simplePos x="0" y="0"/>
            <wp:positionH relativeFrom="page">
              <wp:posOffset>504291</wp:posOffset>
            </wp:positionH>
            <wp:positionV relativeFrom="paragraph">
              <wp:posOffset>45921</wp:posOffset>
            </wp:positionV>
            <wp:extent cx="55041" cy="6350"/>
            <wp:effectExtent l="0" t="0" r="0" b="0"/>
            <wp:wrapNone/>
            <wp:docPr id="73" name="image53.png"/>
            <wp:cNvGraphicFramePr>
              <a:graphicFrameLocks noChangeAspect="1"/>
            </wp:cNvGraphicFramePr>
            <a:graphic>
              <a:graphicData uri="http://schemas.openxmlformats.org/drawingml/2006/picture">
                <pic:pic>
                  <pic:nvPicPr>
                    <pic:cNvPr id="74" name="image53.png"/>
                    <pic:cNvPicPr/>
                  </pic:nvPicPr>
                  <pic:blipFill>
                    <a:blip r:embed="rId115" cstate="print"/>
                    <a:stretch>
                      <a:fillRect/>
                    </a:stretch>
                  </pic:blipFill>
                  <pic:spPr>
                    <a:xfrm>
                      <a:off x="0" y="0"/>
                      <a:ext cx="55041" cy="6350"/>
                    </a:xfrm>
                    <a:prstGeom prst="rect">
                      <a:avLst/>
                    </a:prstGeom>
                  </pic:spPr>
                </pic:pic>
              </a:graphicData>
            </a:graphic>
          </wp:anchor>
        </w:drawing>
      </w:r>
      <w:r>
        <w:rPr>
          <w:sz w:val="12"/>
        </w:rPr>
        <w:t>10</w:t>
      </w:r>
    </w:p>
    <w:p>
      <w:pPr>
        <w:spacing w:before="107"/>
        <w:ind w:left="0" w:right="301" w:firstLine="0"/>
        <w:jc w:val="right"/>
        <w:rPr>
          <w:sz w:val="12"/>
        </w:rPr>
      </w:pPr>
      <w:r>
        <w:rPr/>
        <w:drawing>
          <wp:anchor distT="0" distB="0" distL="0" distR="0" allowOverlap="1" layoutInCell="1" locked="0" behindDoc="0" simplePos="0" relativeHeight="16133120">
            <wp:simplePos x="0" y="0"/>
            <wp:positionH relativeFrom="page">
              <wp:posOffset>504291</wp:posOffset>
            </wp:positionH>
            <wp:positionV relativeFrom="paragraph">
              <wp:posOffset>112097</wp:posOffset>
            </wp:positionV>
            <wp:extent cx="55041" cy="6350"/>
            <wp:effectExtent l="0" t="0" r="0" b="0"/>
            <wp:wrapNone/>
            <wp:docPr id="75" name="image53.png"/>
            <wp:cNvGraphicFramePr>
              <a:graphicFrameLocks noChangeAspect="1"/>
            </wp:cNvGraphicFramePr>
            <a:graphic>
              <a:graphicData uri="http://schemas.openxmlformats.org/drawingml/2006/picture">
                <pic:pic>
                  <pic:nvPicPr>
                    <pic:cNvPr id="76" name="image53.png"/>
                    <pic:cNvPicPr/>
                  </pic:nvPicPr>
                  <pic:blipFill>
                    <a:blip r:embed="rId115" cstate="print"/>
                    <a:stretch>
                      <a:fillRect/>
                    </a:stretch>
                  </pic:blipFill>
                  <pic:spPr>
                    <a:xfrm>
                      <a:off x="0" y="0"/>
                      <a:ext cx="55041" cy="6350"/>
                    </a:xfrm>
                    <a:prstGeom prst="rect">
                      <a:avLst/>
                    </a:prstGeom>
                  </pic:spPr>
                </pic:pic>
              </a:graphicData>
            </a:graphic>
          </wp:anchor>
        </w:drawing>
      </w:r>
      <w:r>
        <w:rPr>
          <w:sz w:val="12"/>
        </w:rPr>
        <w:t>0</w:t>
      </w:r>
    </w:p>
    <w:p>
      <w:pPr>
        <w:spacing w:before="73"/>
        <w:ind w:left="220" w:right="0" w:firstLine="0"/>
        <w:jc w:val="left"/>
        <w:rPr>
          <w:sz w:val="12"/>
        </w:rPr>
      </w:pPr>
      <w:r>
        <w:rPr>
          <w:sz w:val="12"/>
        </w:rPr>
        <w:t>1971 73 75 77 79 81 83 85 87 89 91 93 95 97 99</w:t>
      </w:r>
    </w:p>
    <w:p>
      <w:pPr>
        <w:spacing w:line="208" w:lineRule="auto" w:before="83"/>
        <w:ind w:left="670" w:right="350" w:hanging="480"/>
        <w:jc w:val="left"/>
        <w:rPr>
          <w:sz w:val="12"/>
        </w:rPr>
      </w:pPr>
      <w:r>
        <w:rPr>
          <w:sz w:val="12"/>
        </w:rPr>
        <w:t>Sources: British Chambers of Commerce and Confederation of British Industry.</w:t>
      </w:r>
    </w:p>
    <w:p>
      <w:pPr>
        <w:pStyle w:val="BodyText"/>
        <w:spacing w:before="5"/>
        <w:rPr>
          <w:sz w:val="10"/>
        </w:rPr>
      </w:pPr>
    </w:p>
    <w:p>
      <w:pPr>
        <w:pStyle w:val="ListParagraph"/>
        <w:numPr>
          <w:ilvl w:val="0"/>
          <w:numId w:val="25"/>
        </w:numPr>
        <w:tabs>
          <w:tab w:pos="430" w:val="left" w:leader="none"/>
        </w:tabs>
        <w:spacing w:line="208" w:lineRule="auto" w:before="0" w:after="0"/>
        <w:ind w:left="430" w:right="201" w:hanging="240"/>
        <w:jc w:val="left"/>
        <w:rPr>
          <w:sz w:val="12"/>
        </w:rPr>
      </w:pPr>
      <w:r>
        <w:rPr>
          <w:sz w:val="12"/>
        </w:rPr>
        <w:t>Question: ‘Did you experience any difficulties over the past three months in finding staff in the following categories: skilled </w:t>
      </w:r>
      <w:r>
        <w:rPr>
          <w:spacing w:val="-3"/>
          <w:sz w:val="12"/>
        </w:rPr>
        <w:t>manual, </w:t>
      </w:r>
      <w:r>
        <w:rPr>
          <w:sz w:val="12"/>
        </w:rPr>
        <w:t>technical/professional, managerial/clerical and un/semi-skilled?’.</w:t>
      </w:r>
    </w:p>
    <w:p>
      <w:pPr>
        <w:pStyle w:val="ListParagraph"/>
        <w:numPr>
          <w:ilvl w:val="0"/>
          <w:numId w:val="25"/>
        </w:numPr>
        <w:tabs>
          <w:tab w:pos="431" w:val="left" w:leader="none"/>
        </w:tabs>
        <w:spacing w:line="208" w:lineRule="auto" w:before="0" w:after="0"/>
        <w:ind w:left="430" w:right="234" w:hanging="240"/>
        <w:jc w:val="left"/>
        <w:rPr>
          <w:sz w:val="12"/>
        </w:rPr>
      </w:pPr>
      <w:r>
        <w:rPr>
          <w:sz w:val="12"/>
        </w:rPr>
        <w:t>Question: ‘Are shortages of skilled/unskilled labour likely to </w:t>
      </w:r>
      <w:r>
        <w:rPr>
          <w:spacing w:val="-4"/>
          <w:sz w:val="12"/>
        </w:rPr>
        <w:t>limit </w:t>
      </w:r>
      <w:r>
        <w:rPr>
          <w:sz w:val="12"/>
        </w:rPr>
        <w:t>output during the next four months?’.</w:t>
      </w:r>
    </w:p>
    <w:p>
      <w:pPr>
        <w:pStyle w:val="BodyText"/>
        <w:rPr>
          <w:sz w:val="12"/>
        </w:rPr>
      </w:pPr>
    </w:p>
    <w:p>
      <w:pPr>
        <w:pStyle w:val="Heading9"/>
        <w:spacing w:before="70"/>
        <w:ind w:left="220"/>
      </w:pPr>
      <w:r>
        <w:rPr>
          <w:color w:val="0093C1"/>
        </w:rPr>
        <w:t>Chart 3.11</w:t>
      </w:r>
    </w:p>
    <w:p>
      <w:pPr>
        <w:spacing w:before="10"/>
        <w:ind w:left="220" w:right="0" w:firstLine="0"/>
        <w:jc w:val="left"/>
        <w:rPr>
          <w:sz w:val="12"/>
        </w:rPr>
      </w:pPr>
      <w:r>
        <w:rPr>
          <w:b/>
          <w:color w:val="0093C1"/>
          <w:sz w:val="20"/>
        </w:rPr>
        <w:t>Average duration of Jobcentre vacancies</w:t>
      </w:r>
      <w:r>
        <w:rPr>
          <w:position w:val="4"/>
          <w:sz w:val="12"/>
        </w:rPr>
        <w:t>(a)</w:t>
      </w:r>
    </w:p>
    <w:p>
      <w:pPr>
        <w:spacing w:line="100" w:lineRule="exact" w:before="94"/>
        <w:ind w:left="2530" w:right="0" w:firstLine="0"/>
        <w:jc w:val="left"/>
        <w:rPr>
          <w:sz w:val="12"/>
        </w:rPr>
      </w:pPr>
      <w:r>
        <w:rPr/>
        <w:drawing>
          <wp:anchor distT="0" distB="0" distL="0" distR="0" allowOverlap="1" layoutInCell="1" locked="0" behindDoc="0" simplePos="0" relativeHeight="16136704">
            <wp:simplePos x="0" y="0"/>
            <wp:positionH relativeFrom="page">
              <wp:posOffset>2520950</wp:posOffset>
            </wp:positionH>
            <wp:positionV relativeFrom="paragraph">
              <wp:posOffset>160404</wp:posOffset>
            </wp:positionV>
            <wp:extent cx="55029" cy="6350"/>
            <wp:effectExtent l="0" t="0" r="0" b="0"/>
            <wp:wrapNone/>
            <wp:docPr id="77" name="image19.png"/>
            <wp:cNvGraphicFramePr>
              <a:graphicFrameLocks noChangeAspect="1"/>
            </wp:cNvGraphicFramePr>
            <a:graphic>
              <a:graphicData uri="http://schemas.openxmlformats.org/drawingml/2006/picture">
                <pic:pic>
                  <pic:nvPicPr>
                    <pic:cNvPr id="78" name="image19.png"/>
                    <pic:cNvPicPr/>
                  </pic:nvPicPr>
                  <pic:blipFill>
                    <a:blip r:embed="rId54" cstate="print"/>
                    <a:stretch>
                      <a:fillRect/>
                    </a:stretch>
                  </pic:blipFill>
                  <pic:spPr>
                    <a:xfrm>
                      <a:off x="0" y="0"/>
                      <a:ext cx="55029" cy="6350"/>
                    </a:xfrm>
                    <a:prstGeom prst="rect">
                      <a:avLst/>
                    </a:prstGeom>
                  </pic:spPr>
                </pic:pic>
              </a:graphicData>
            </a:graphic>
          </wp:anchor>
        </w:drawing>
      </w:r>
      <w:r>
        <w:rPr>
          <w:sz w:val="12"/>
        </w:rPr>
        <w:t>Number of months</w:t>
      </w:r>
    </w:p>
    <w:p>
      <w:pPr>
        <w:pStyle w:val="Heading6"/>
        <w:spacing w:line="242" w:lineRule="auto"/>
        <w:ind w:left="174" w:right="171"/>
      </w:pPr>
      <w:r>
        <w:rPr/>
        <w:br w:type="column"/>
      </w:r>
      <w:r>
        <w:rPr/>
        <w:t>more acute in the South than elsewhere, and there is some variation by industrial sector, with vacancies in IT, engineering and construction particularly hard to fill.</w:t>
      </w:r>
    </w:p>
    <w:p>
      <w:pPr>
        <w:pStyle w:val="BodyText"/>
        <w:spacing w:before="9"/>
        <w:rPr>
          <w:sz w:val="23"/>
        </w:rPr>
      </w:pPr>
    </w:p>
    <w:p>
      <w:pPr>
        <w:spacing w:line="242" w:lineRule="auto" w:before="0"/>
        <w:ind w:left="174" w:right="171" w:firstLine="0"/>
        <w:jc w:val="left"/>
        <w:rPr>
          <w:sz w:val="24"/>
        </w:rPr>
      </w:pPr>
      <w:r>
        <w:rPr>
          <w:sz w:val="24"/>
        </w:rPr>
        <w:t>Chart 3.11 shows that the average time taken to fill Jobcentre vacancies rose further in 1999 Q4. It is possible that some of the rise in average duration could have occurred if a greater proportion of people now find work in other ways, by responding to newspaper advertisements for example, or by visiting private recruitment agencies. Nevertheless, some of the rise is likely to reflect a general increase in the difficulty faced by firms in filling vacancies by whatever means.</w:t>
      </w:r>
    </w:p>
    <w:p>
      <w:pPr>
        <w:spacing w:after="0" w:line="242" w:lineRule="auto"/>
        <w:jc w:val="left"/>
        <w:rPr>
          <w:sz w:val="24"/>
        </w:rPr>
        <w:sectPr>
          <w:type w:val="continuous"/>
          <w:pgSz w:w="11900" w:h="16840"/>
          <w:pgMar w:top="1220" w:bottom="280" w:left="620" w:right="640"/>
          <w:cols w:num="2" w:equalWidth="0">
            <w:col w:w="3870" w:space="946"/>
            <w:col w:w="5824"/>
          </w:cols>
        </w:sectPr>
      </w:pPr>
    </w:p>
    <w:p>
      <w:pPr>
        <w:pStyle w:val="BodyText"/>
        <w:spacing w:before="2"/>
        <w:rPr>
          <w:sz w:val="5"/>
        </w:rPr>
      </w:pPr>
    </w:p>
    <w:p>
      <w:pPr>
        <w:pStyle w:val="BodyText"/>
        <w:spacing w:line="20" w:lineRule="exact"/>
        <w:ind w:left="210"/>
        <w:rPr>
          <w:sz w:val="2"/>
        </w:rPr>
      </w:pPr>
      <w:r>
        <w:rPr>
          <w:sz w:val="2"/>
        </w:rPr>
        <w:drawing>
          <wp:inline distT="0" distB="0" distL="0" distR="0">
            <wp:extent cx="55304" cy="6381"/>
            <wp:effectExtent l="0" t="0" r="0" b="0"/>
            <wp:docPr id="79" name="image53.png"/>
            <wp:cNvGraphicFramePr>
              <a:graphicFrameLocks noChangeAspect="1"/>
            </wp:cNvGraphicFramePr>
            <a:graphic>
              <a:graphicData uri="http://schemas.openxmlformats.org/drawingml/2006/picture">
                <pic:pic>
                  <pic:nvPicPr>
                    <pic:cNvPr id="80" name="image53.png"/>
                    <pic:cNvPicPr/>
                  </pic:nvPicPr>
                  <pic:blipFill>
                    <a:blip r:embed="rId115" cstate="print"/>
                    <a:stretch>
                      <a:fillRect/>
                    </a:stretch>
                  </pic:blipFill>
                  <pic:spPr>
                    <a:xfrm>
                      <a:off x="0" y="0"/>
                      <a:ext cx="55304" cy="6381"/>
                    </a:xfrm>
                    <a:prstGeom prst="rect">
                      <a:avLst/>
                    </a:prstGeom>
                  </pic:spPr>
                </pic:pic>
              </a:graphicData>
            </a:graphic>
          </wp:inline>
        </w:drawing>
      </w:r>
      <w:r>
        <w:rPr>
          <w:sz w:val="2"/>
        </w:rPr>
      </w:r>
    </w:p>
    <w:p>
      <w:pPr>
        <w:pStyle w:val="BodyText"/>
        <w:spacing w:before="2"/>
        <w:rPr>
          <w:sz w:val="29"/>
        </w:rPr>
      </w:pPr>
      <w:r>
        <w:rPr/>
        <w:drawing>
          <wp:anchor distT="0" distB="0" distL="0" distR="0" allowOverlap="1" layoutInCell="1" locked="0" behindDoc="0" simplePos="0" relativeHeight="759">
            <wp:simplePos x="0" y="0"/>
            <wp:positionH relativeFrom="page">
              <wp:posOffset>527621</wp:posOffset>
            </wp:positionH>
            <wp:positionV relativeFrom="paragraph">
              <wp:posOffset>237859</wp:posOffset>
            </wp:positionV>
            <wp:extent cx="55304" cy="6381"/>
            <wp:effectExtent l="0" t="0" r="0" b="0"/>
            <wp:wrapTopAndBottom/>
            <wp:docPr id="81" name="image53.png"/>
            <wp:cNvGraphicFramePr>
              <a:graphicFrameLocks noChangeAspect="1"/>
            </wp:cNvGraphicFramePr>
            <a:graphic>
              <a:graphicData uri="http://schemas.openxmlformats.org/drawingml/2006/picture">
                <pic:pic>
                  <pic:nvPicPr>
                    <pic:cNvPr id="82" name="image53.png"/>
                    <pic:cNvPicPr/>
                  </pic:nvPicPr>
                  <pic:blipFill>
                    <a:blip r:embed="rId115"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760">
            <wp:simplePos x="0" y="0"/>
            <wp:positionH relativeFrom="page">
              <wp:posOffset>527621</wp:posOffset>
            </wp:positionH>
            <wp:positionV relativeFrom="paragraph">
              <wp:posOffset>488138</wp:posOffset>
            </wp:positionV>
            <wp:extent cx="55304" cy="6381"/>
            <wp:effectExtent l="0" t="0" r="0" b="0"/>
            <wp:wrapTopAndBottom/>
            <wp:docPr id="83" name="image53.png"/>
            <wp:cNvGraphicFramePr>
              <a:graphicFrameLocks noChangeAspect="1"/>
            </wp:cNvGraphicFramePr>
            <a:graphic>
              <a:graphicData uri="http://schemas.openxmlformats.org/drawingml/2006/picture">
                <pic:pic>
                  <pic:nvPicPr>
                    <pic:cNvPr id="84" name="image53.png"/>
                    <pic:cNvPicPr/>
                  </pic:nvPicPr>
                  <pic:blipFill>
                    <a:blip r:embed="rId115"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761">
            <wp:simplePos x="0" y="0"/>
            <wp:positionH relativeFrom="page">
              <wp:posOffset>527621</wp:posOffset>
            </wp:positionH>
            <wp:positionV relativeFrom="paragraph">
              <wp:posOffset>738417</wp:posOffset>
            </wp:positionV>
            <wp:extent cx="54478" cy="6286"/>
            <wp:effectExtent l="0" t="0" r="0" b="0"/>
            <wp:wrapTopAndBottom/>
            <wp:docPr id="85" name="image10.png"/>
            <wp:cNvGraphicFramePr>
              <a:graphicFrameLocks noChangeAspect="1"/>
            </wp:cNvGraphicFramePr>
            <a:graphic>
              <a:graphicData uri="http://schemas.openxmlformats.org/drawingml/2006/picture">
                <pic:pic>
                  <pic:nvPicPr>
                    <pic:cNvPr id="86" name="image10.png"/>
                    <pic:cNvPicPr/>
                  </pic:nvPicPr>
                  <pic:blipFill>
                    <a:blip r:embed="rId45"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762">
            <wp:simplePos x="0" y="0"/>
            <wp:positionH relativeFrom="page">
              <wp:posOffset>527621</wp:posOffset>
            </wp:positionH>
            <wp:positionV relativeFrom="paragraph">
              <wp:posOffset>988696</wp:posOffset>
            </wp:positionV>
            <wp:extent cx="55304" cy="6381"/>
            <wp:effectExtent l="0" t="0" r="0" b="0"/>
            <wp:wrapTopAndBottom/>
            <wp:docPr id="87" name="image53.png"/>
            <wp:cNvGraphicFramePr>
              <a:graphicFrameLocks noChangeAspect="1"/>
            </wp:cNvGraphicFramePr>
            <a:graphic>
              <a:graphicData uri="http://schemas.openxmlformats.org/drawingml/2006/picture">
                <pic:pic>
                  <pic:nvPicPr>
                    <pic:cNvPr id="88" name="image53.png"/>
                    <pic:cNvPicPr/>
                  </pic:nvPicPr>
                  <pic:blipFill>
                    <a:blip r:embed="rId115"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763">
            <wp:simplePos x="0" y="0"/>
            <wp:positionH relativeFrom="page">
              <wp:posOffset>527621</wp:posOffset>
            </wp:positionH>
            <wp:positionV relativeFrom="paragraph">
              <wp:posOffset>1238974</wp:posOffset>
            </wp:positionV>
            <wp:extent cx="54478" cy="6286"/>
            <wp:effectExtent l="0" t="0" r="0" b="0"/>
            <wp:wrapTopAndBottom/>
            <wp:docPr id="89" name="image10.png"/>
            <wp:cNvGraphicFramePr>
              <a:graphicFrameLocks noChangeAspect="1"/>
            </wp:cNvGraphicFramePr>
            <a:graphic>
              <a:graphicData uri="http://schemas.openxmlformats.org/drawingml/2006/picture">
                <pic:pic>
                  <pic:nvPicPr>
                    <pic:cNvPr id="90" name="image10.png"/>
                    <pic:cNvPicPr/>
                  </pic:nvPicPr>
                  <pic:blipFill>
                    <a:blip r:embed="rId45"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764">
            <wp:simplePos x="0" y="0"/>
            <wp:positionH relativeFrom="page">
              <wp:posOffset>527621</wp:posOffset>
            </wp:positionH>
            <wp:positionV relativeFrom="paragraph">
              <wp:posOffset>1489253</wp:posOffset>
            </wp:positionV>
            <wp:extent cx="55304" cy="6381"/>
            <wp:effectExtent l="0" t="0" r="0" b="0"/>
            <wp:wrapTopAndBottom/>
            <wp:docPr id="91" name="image53.png"/>
            <wp:cNvGraphicFramePr>
              <a:graphicFrameLocks noChangeAspect="1"/>
            </wp:cNvGraphicFramePr>
            <a:graphic>
              <a:graphicData uri="http://schemas.openxmlformats.org/drawingml/2006/picture">
                <pic:pic>
                  <pic:nvPicPr>
                    <pic:cNvPr id="92" name="image53.png"/>
                    <pic:cNvPicPr/>
                  </pic:nvPicPr>
                  <pic:blipFill>
                    <a:blip r:embed="rId115" cstate="print"/>
                    <a:stretch>
                      <a:fillRect/>
                    </a:stretch>
                  </pic:blipFill>
                  <pic:spPr>
                    <a:xfrm>
                      <a:off x="0" y="0"/>
                      <a:ext cx="55304" cy="6381"/>
                    </a:xfrm>
                    <a:prstGeom prst="rect">
                      <a:avLst/>
                    </a:prstGeom>
                  </pic:spPr>
                </pic:pic>
              </a:graphicData>
            </a:graphic>
          </wp:anchor>
        </w:drawing>
      </w:r>
    </w:p>
    <w:p>
      <w:pPr>
        <w:pStyle w:val="BodyText"/>
        <w:spacing w:before="5"/>
        <w:rPr>
          <w:sz w:val="27"/>
        </w:rPr>
      </w:pPr>
    </w:p>
    <w:p>
      <w:pPr>
        <w:pStyle w:val="BodyText"/>
        <w:spacing w:before="5"/>
        <w:rPr>
          <w:sz w:val="27"/>
        </w:rPr>
      </w:pPr>
    </w:p>
    <w:p>
      <w:pPr>
        <w:pStyle w:val="BodyText"/>
        <w:spacing w:before="5"/>
        <w:rPr>
          <w:sz w:val="27"/>
        </w:rPr>
      </w:pPr>
    </w:p>
    <w:p>
      <w:pPr>
        <w:pStyle w:val="BodyText"/>
        <w:spacing w:before="5"/>
        <w:rPr>
          <w:sz w:val="27"/>
        </w:rPr>
      </w:pPr>
    </w:p>
    <w:p>
      <w:pPr>
        <w:pStyle w:val="BodyText"/>
        <w:spacing w:before="5"/>
        <w:rPr>
          <w:sz w:val="27"/>
        </w:rPr>
      </w:pPr>
    </w:p>
    <w:p>
      <w:pPr>
        <w:pStyle w:val="BodyText"/>
        <w:rPr>
          <w:sz w:val="12"/>
        </w:rPr>
      </w:pPr>
    </w:p>
    <w:p>
      <w:pPr>
        <w:pStyle w:val="BodyText"/>
        <w:rPr>
          <w:sz w:val="12"/>
        </w:rPr>
      </w:pPr>
    </w:p>
    <w:p>
      <w:pPr>
        <w:pStyle w:val="BodyText"/>
        <w:rPr>
          <w:sz w:val="12"/>
        </w:rPr>
      </w:pPr>
    </w:p>
    <w:p>
      <w:pPr>
        <w:spacing w:before="89"/>
        <w:ind w:left="333" w:right="0" w:firstLine="0"/>
        <w:jc w:val="left"/>
        <w:rPr>
          <w:sz w:val="12"/>
        </w:rPr>
      </w:pPr>
      <w:r>
        <w:rPr>
          <w:sz w:val="12"/>
        </w:rPr>
        <w:t>1980 82 84 86 88 90 92 94 96 98</w:t>
      </w:r>
    </w:p>
    <w:p>
      <w:pPr>
        <w:spacing w:line="133" w:lineRule="exact" w:before="0"/>
        <w:ind w:left="345" w:right="0" w:firstLine="0"/>
        <w:jc w:val="left"/>
        <w:rPr>
          <w:sz w:val="12"/>
        </w:rPr>
      </w:pPr>
      <w:r>
        <w:rPr/>
        <w:br w:type="column"/>
      </w:r>
      <w:r>
        <w:rPr>
          <w:sz w:val="12"/>
        </w:rPr>
        <w:t>1.8</w:t>
      </w:r>
    </w:p>
    <w:p>
      <w:pPr>
        <w:pStyle w:val="BodyText"/>
        <w:rPr>
          <w:sz w:val="12"/>
        </w:rPr>
      </w:pPr>
    </w:p>
    <w:p>
      <w:pPr>
        <w:pStyle w:val="BodyText"/>
        <w:spacing w:before="2"/>
        <w:rPr>
          <w:sz w:val="10"/>
        </w:rPr>
      </w:pPr>
    </w:p>
    <w:p>
      <w:pPr>
        <w:spacing w:before="0"/>
        <w:ind w:left="345" w:right="0" w:firstLine="0"/>
        <w:jc w:val="left"/>
        <w:rPr>
          <w:sz w:val="12"/>
        </w:rPr>
      </w:pPr>
      <w:r>
        <w:rPr/>
        <w:drawing>
          <wp:anchor distT="0" distB="0" distL="0" distR="0" allowOverlap="1" layoutInCell="1" locked="0" behindDoc="0" simplePos="0" relativeHeight="16136192">
            <wp:simplePos x="0" y="0"/>
            <wp:positionH relativeFrom="page">
              <wp:posOffset>642937</wp:posOffset>
            </wp:positionH>
            <wp:positionV relativeFrom="paragraph">
              <wp:posOffset>94690</wp:posOffset>
            </wp:positionV>
            <wp:extent cx="1933041" cy="1303566"/>
            <wp:effectExtent l="0" t="0" r="0" b="0"/>
            <wp:wrapNone/>
            <wp:docPr id="93" name="image56.png"/>
            <wp:cNvGraphicFramePr>
              <a:graphicFrameLocks noChangeAspect="1"/>
            </wp:cNvGraphicFramePr>
            <a:graphic>
              <a:graphicData uri="http://schemas.openxmlformats.org/drawingml/2006/picture">
                <pic:pic>
                  <pic:nvPicPr>
                    <pic:cNvPr id="94" name="image56.png"/>
                    <pic:cNvPicPr/>
                  </pic:nvPicPr>
                  <pic:blipFill>
                    <a:blip r:embed="rId118" cstate="print"/>
                    <a:stretch>
                      <a:fillRect/>
                    </a:stretch>
                  </pic:blipFill>
                  <pic:spPr>
                    <a:xfrm>
                      <a:off x="0" y="0"/>
                      <a:ext cx="1933041" cy="1303566"/>
                    </a:xfrm>
                    <a:prstGeom prst="rect">
                      <a:avLst/>
                    </a:prstGeom>
                  </pic:spPr>
                </pic:pic>
              </a:graphicData>
            </a:graphic>
          </wp:anchor>
        </w:drawing>
      </w:r>
      <w:r>
        <w:rPr/>
        <w:drawing>
          <wp:anchor distT="0" distB="0" distL="0" distR="0" allowOverlap="1" layoutInCell="1" locked="0" behindDoc="0" simplePos="0" relativeHeight="16137216">
            <wp:simplePos x="0" y="0"/>
            <wp:positionH relativeFrom="page">
              <wp:posOffset>2520950</wp:posOffset>
            </wp:positionH>
            <wp:positionV relativeFrom="paragraph">
              <wp:posOffset>41223</wp:posOffset>
            </wp:positionV>
            <wp:extent cx="55029" cy="6350"/>
            <wp:effectExtent l="0" t="0" r="0" b="0"/>
            <wp:wrapNone/>
            <wp:docPr id="95" name="image12.png"/>
            <wp:cNvGraphicFramePr>
              <a:graphicFrameLocks noChangeAspect="1"/>
            </wp:cNvGraphicFramePr>
            <a:graphic>
              <a:graphicData uri="http://schemas.openxmlformats.org/drawingml/2006/picture">
                <pic:pic>
                  <pic:nvPicPr>
                    <pic:cNvPr id="96" name="image12.png"/>
                    <pic:cNvPicPr/>
                  </pic:nvPicPr>
                  <pic:blipFill>
                    <a:blip r:embed="rId47" cstate="print"/>
                    <a:stretch>
                      <a:fillRect/>
                    </a:stretch>
                  </pic:blipFill>
                  <pic:spPr>
                    <a:xfrm>
                      <a:off x="0" y="0"/>
                      <a:ext cx="55029" cy="6350"/>
                    </a:xfrm>
                    <a:prstGeom prst="rect">
                      <a:avLst/>
                    </a:prstGeom>
                  </pic:spPr>
                </pic:pic>
              </a:graphicData>
            </a:graphic>
          </wp:anchor>
        </w:drawing>
      </w:r>
      <w:r>
        <w:rPr>
          <w:sz w:val="12"/>
        </w:rPr>
        <w:t>1.6</w:t>
      </w:r>
    </w:p>
    <w:p>
      <w:pPr>
        <w:pStyle w:val="BodyText"/>
        <w:rPr>
          <w:sz w:val="12"/>
        </w:rPr>
      </w:pPr>
    </w:p>
    <w:p>
      <w:pPr>
        <w:pStyle w:val="BodyText"/>
        <w:spacing w:before="2"/>
        <w:rPr>
          <w:sz w:val="10"/>
        </w:rPr>
      </w:pPr>
    </w:p>
    <w:p>
      <w:pPr>
        <w:spacing w:before="0"/>
        <w:ind w:left="345" w:right="0" w:firstLine="0"/>
        <w:jc w:val="left"/>
        <w:rPr>
          <w:sz w:val="12"/>
        </w:rPr>
      </w:pPr>
      <w:r>
        <w:rPr>
          <w:sz w:val="12"/>
        </w:rPr>
        <w:t>1.4</w:t>
      </w:r>
    </w:p>
    <w:p>
      <w:pPr>
        <w:pStyle w:val="BodyText"/>
        <w:rPr>
          <w:sz w:val="12"/>
        </w:rPr>
      </w:pPr>
    </w:p>
    <w:p>
      <w:pPr>
        <w:pStyle w:val="BodyText"/>
        <w:spacing w:before="2"/>
        <w:rPr>
          <w:sz w:val="10"/>
        </w:rPr>
      </w:pPr>
    </w:p>
    <w:p>
      <w:pPr>
        <w:spacing w:before="0"/>
        <w:ind w:left="345" w:right="0" w:firstLine="0"/>
        <w:jc w:val="left"/>
        <w:rPr>
          <w:sz w:val="12"/>
        </w:rPr>
      </w:pPr>
      <w:r>
        <w:rPr>
          <w:sz w:val="12"/>
        </w:rPr>
        <w:t>1.2</w:t>
      </w:r>
    </w:p>
    <w:p>
      <w:pPr>
        <w:pStyle w:val="BodyText"/>
        <w:rPr>
          <w:sz w:val="12"/>
        </w:rPr>
      </w:pPr>
    </w:p>
    <w:p>
      <w:pPr>
        <w:pStyle w:val="BodyText"/>
        <w:spacing w:before="2"/>
        <w:rPr>
          <w:sz w:val="10"/>
        </w:rPr>
      </w:pPr>
    </w:p>
    <w:p>
      <w:pPr>
        <w:spacing w:before="1"/>
        <w:ind w:left="345" w:right="0" w:firstLine="0"/>
        <w:jc w:val="left"/>
        <w:rPr>
          <w:sz w:val="12"/>
        </w:rPr>
      </w:pPr>
      <w:r>
        <w:rPr>
          <w:sz w:val="12"/>
        </w:rPr>
        <w:t>1.0</w:t>
      </w:r>
    </w:p>
    <w:p>
      <w:pPr>
        <w:pStyle w:val="BodyText"/>
        <w:rPr>
          <w:sz w:val="12"/>
        </w:rPr>
      </w:pPr>
    </w:p>
    <w:p>
      <w:pPr>
        <w:pStyle w:val="BodyText"/>
        <w:spacing w:before="2"/>
        <w:rPr>
          <w:sz w:val="10"/>
        </w:rPr>
      </w:pPr>
    </w:p>
    <w:p>
      <w:pPr>
        <w:spacing w:before="0"/>
        <w:ind w:left="345" w:right="0" w:firstLine="0"/>
        <w:jc w:val="left"/>
        <w:rPr>
          <w:sz w:val="12"/>
        </w:rPr>
      </w:pPr>
      <w:r>
        <w:rPr>
          <w:sz w:val="12"/>
        </w:rPr>
        <w:t>0.8</w:t>
      </w:r>
    </w:p>
    <w:p>
      <w:pPr>
        <w:pStyle w:val="BodyText"/>
        <w:rPr>
          <w:sz w:val="12"/>
        </w:rPr>
      </w:pPr>
    </w:p>
    <w:p>
      <w:pPr>
        <w:pStyle w:val="BodyText"/>
        <w:spacing w:before="2"/>
        <w:rPr>
          <w:sz w:val="10"/>
        </w:rPr>
      </w:pPr>
    </w:p>
    <w:p>
      <w:pPr>
        <w:spacing w:before="0"/>
        <w:ind w:left="345" w:right="0" w:firstLine="0"/>
        <w:jc w:val="left"/>
        <w:rPr>
          <w:sz w:val="12"/>
        </w:rPr>
      </w:pPr>
      <w:r>
        <w:rPr>
          <w:sz w:val="12"/>
        </w:rPr>
        <w:t>0.6</w:t>
      </w:r>
    </w:p>
    <w:p>
      <w:pPr>
        <w:pStyle w:val="BodyText"/>
        <w:rPr>
          <w:sz w:val="12"/>
        </w:rPr>
      </w:pPr>
    </w:p>
    <w:p>
      <w:pPr>
        <w:pStyle w:val="BodyText"/>
        <w:spacing w:before="2"/>
        <w:rPr>
          <w:sz w:val="10"/>
        </w:rPr>
      </w:pPr>
    </w:p>
    <w:p>
      <w:pPr>
        <w:spacing w:line="126" w:lineRule="exact" w:before="0"/>
        <w:ind w:left="345" w:right="0" w:firstLine="0"/>
        <w:jc w:val="left"/>
        <w:rPr>
          <w:sz w:val="12"/>
        </w:rPr>
      </w:pPr>
      <w:r>
        <w:rPr/>
        <w:drawing>
          <wp:anchor distT="0" distB="0" distL="0" distR="0" allowOverlap="1" layoutInCell="1" locked="0" behindDoc="0" simplePos="0" relativeHeight="16137728">
            <wp:simplePos x="0" y="0"/>
            <wp:positionH relativeFrom="page">
              <wp:posOffset>527050</wp:posOffset>
            </wp:positionH>
            <wp:positionV relativeFrom="paragraph">
              <wp:posOffset>44927</wp:posOffset>
            </wp:positionV>
            <wp:extent cx="2062962" cy="84886"/>
            <wp:effectExtent l="0" t="0" r="0" b="0"/>
            <wp:wrapNone/>
            <wp:docPr id="97" name="image57.png"/>
            <wp:cNvGraphicFramePr>
              <a:graphicFrameLocks noChangeAspect="1"/>
            </wp:cNvGraphicFramePr>
            <a:graphic>
              <a:graphicData uri="http://schemas.openxmlformats.org/drawingml/2006/picture">
                <pic:pic>
                  <pic:nvPicPr>
                    <pic:cNvPr id="98" name="image57.png"/>
                    <pic:cNvPicPr/>
                  </pic:nvPicPr>
                  <pic:blipFill>
                    <a:blip r:embed="rId119" cstate="print"/>
                    <a:stretch>
                      <a:fillRect/>
                    </a:stretch>
                  </pic:blipFill>
                  <pic:spPr>
                    <a:xfrm>
                      <a:off x="0" y="0"/>
                      <a:ext cx="2062962" cy="84886"/>
                    </a:xfrm>
                    <a:prstGeom prst="rect">
                      <a:avLst/>
                    </a:prstGeom>
                  </pic:spPr>
                </pic:pic>
              </a:graphicData>
            </a:graphic>
          </wp:anchor>
        </w:drawing>
      </w:r>
      <w:r>
        <w:rPr>
          <w:sz w:val="12"/>
        </w:rPr>
        <w:t>0.4</w:t>
      </w:r>
    </w:p>
    <w:p>
      <w:pPr>
        <w:spacing w:line="126" w:lineRule="exact" w:before="0"/>
        <w:ind w:left="345" w:right="0" w:firstLine="0"/>
        <w:jc w:val="left"/>
        <w:rPr>
          <w:sz w:val="12"/>
        </w:rPr>
      </w:pPr>
      <w:r>
        <w:rPr>
          <w:color w:val="231F20"/>
          <w:sz w:val="12"/>
        </w:rPr>
        <w:t>0.0</w:t>
      </w:r>
    </w:p>
    <w:p>
      <w:pPr>
        <w:pStyle w:val="Heading3"/>
        <w:numPr>
          <w:ilvl w:val="1"/>
          <w:numId w:val="19"/>
        </w:numPr>
        <w:tabs>
          <w:tab w:pos="2477" w:val="left" w:leader="none"/>
          <w:tab w:pos="2478" w:val="left" w:leader="none"/>
        </w:tabs>
        <w:spacing w:line="240" w:lineRule="auto" w:before="40" w:after="0"/>
        <w:ind w:left="2477" w:right="0" w:hanging="2268"/>
        <w:jc w:val="left"/>
        <w:rPr>
          <w:color w:val="009483"/>
        </w:rPr>
      </w:pPr>
      <w:r>
        <w:rPr>
          <w:color w:val="009483"/>
        </w:rPr>
        <w:br w:type="column"/>
        <w:t>Earnings and</w:t>
      </w:r>
      <w:r>
        <w:rPr>
          <w:color w:val="009483"/>
          <w:spacing w:val="-2"/>
        </w:rPr>
        <w:t> </w:t>
      </w:r>
      <w:r>
        <w:rPr>
          <w:color w:val="009483"/>
        </w:rPr>
        <w:t>settlements</w:t>
      </w:r>
    </w:p>
    <w:p>
      <w:pPr>
        <w:pStyle w:val="BodyText"/>
        <w:spacing w:line="40" w:lineRule="exact"/>
        <w:ind w:left="190"/>
        <w:rPr>
          <w:sz w:val="4"/>
        </w:rPr>
      </w:pPr>
      <w:r>
        <w:rPr>
          <w:position w:val="0"/>
          <w:sz w:val="4"/>
        </w:rPr>
        <w:pict>
          <v:group style="width:275pt;height:2pt;mso-position-horizontal-relative:char;mso-position-vertical-relative:line" coordorigin="0,0" coordsize="5500,40">
            <v:line style="position:absolute" from="0,20" to="5500,20" stroked="true" strokeweight="2pt" strokecolor="#0093c1">
              <v:stroke dashstyle="solid"/>
            </v:line>
          </v:group>
        </w:pict>
      </w:r>
      <w:r>
        <w:rPr>
          <w:position w:val="0"/>
          <w:sz w:val="4"/>
        </w:rPr>
      </w:r>
    </w:p>
    <w:p>
      <w:pPr>
        <w:pStyle w:val="Heading6"/>
        <w:spacing w:line="242" w:lineRule="auto" w:before="235"/>
        <w:ind w:left="210" w:right="198"/>
      </w:pPr>
      <w:r>
        <w:rPr/>
        <w:t>Earnings growth, as measured by the </w:t>
      </w:r>
      <w:r>
        <w:rPr>
          <w:spacing w:val="-4"/>
        </w:rPr>
        <w:t>Average </w:t>
      </w:r>
      <w:r>
        <w:rPr/>
        <w:t>Earnings Index (AEI), has been stronger than expected. In the November central projection for inflation, the Committee had assumed that growth in the AEI would fall during the fourth quarter, partly because it was thought that some of the strength in the third quarter </w:t>
      </w:r>
      <w:r>
        <w:rPr>
          <w:spacing w:val="-8"/>
        </w:rPr>
        <w:t>was </w:t>
      </w:r>
      <w:r>
        <w:rPr/>
        <w:t>erratic. </w:t>
      </w:r>
      <w:r>
        <w:rPr>
          <w:spacing w:val="-4"/>
        </w:rPr>
        <w:t>However, </w:t>
      </w:r>
      <w:r>
        <w:rPr/>
        <w:t>in November the headline annual increase in the AEI was still 4.9%, the same as the August figure (which had been the latest available</w:t>
      </w:r>
      <w:r>
        <w:rPr>
          <w:spacing w:val="-14"/>
        </w:rPr>
        <w:t> </w:t>
      </w:r>
      <w:r>
        <w:rPr/>
        <w:t>when</w:t>
      </w:r>
    </w:p>
    <w:p>
      <w:pPr>
        <w:spacing w:after="0" w:line="242" w:lineRule="auto"/>
        <w:sectPr>
          <w:type w:val="continuous"/>
          <w:pgSz w:w="11900" w:h="16840"/>
          <w:pgMar w:top="1220" w:bottom="280" w:left="620" w:right="640"/>
          <w:cols w:num="3" w:equalWidth="0">
            <w:col w:w="3135" w:space="40"/>
            <w:col w:w="536" w:space="1068"/>
            <w:col w:w="5861"/>
          </w:cols>
        </w:sectPr>
      </w:pPr>
    </w:p>
    <w:p>
      <w:pPr>
        <w:spacing w:line="208" w:lineRule="auto" w:before="36"/>
        <w:ind w:left="460" w:right="0" w:hanging="240"/>
        <w:jc w:val="left"/>
        <w:rPr>
          <w:sz w:val="12"/>
        </w:rPr>
      </w:pPr>
      <w:r>
        <w:rPr>
          <w:sz w:val="12"/>
        </w:rPr>
        <w:t>(a) Defined as the stock of Jobcentre vacancies divided by monthly outflows.</w:t>
      </w:r>
    </w:p>
    <w:p>
      <w:pPr>
        <w:pStyle w:val="BodyText"/>
        <w:rPr>
          <w:sz w:val="12"/>
        </w:rPr>
      </w:pPr>
    </w:p>
    <w:p>
      <w:pPr>
        <w:pStyle w:val="BodyText"/>
        <w:rPr>
          <w:sz w:val="11"/>
        </w:rPr>
      </w:pPr>
    </w:p>
    <w:p>
      <w:pPr>
        <w:pStyle w:val="Heading9"/>
        <w:spacing w:before="0"/>
        <w:ind w:left="200"/>
      </w:pPr>
      <w:r>
        <w:rPr>
          <w:color w:val="0093C1"/>
        </w:rPr>
        <w:t>Chart 3.12</w:t>
      </w:r>
    </w:p>
    <w:p>
      <w:pPr>
        <w:spacing w:before="10"/>
        <w:ind w:left="200" w:right="0" w:firstLine="0"/>
        <w:jc w:val="left"/>
        <w:rPr>
          <w:sz w:val="12"/>
        </w:rPr>
      </w:pPr>
      <w:r>
        <w:rPr>
          <w:b/>
          <w:color w:val="0093C1"/>
          <w:sz w:val="20"/>
        </w:rPr>
        <w:t>Headline growth in nominal</w:t>
      </w:r>
      <w:r>
        <w:rPr>
          <w:b/>
          <w:color w:val="0093C1"/>
          <w:spacing w:val="-1"/>
          <w:sz w:val="20"/>
        </w:rPr>
        <w:t> </w:t>
      </w:r>
      <w:r>
        <w:rPr>
          <w:b/>
          <w:color w:val="0093C1"/>
          <w:sz w:val="20"/>
        </w:rPr>
        <w:t>earnings</w:t>
      </w:r>
      <w:r>
        <w:rPr>
          <w:position w:val="4"/>
          <w:sz w:val="12"/>
        </w:rPr>
        <w:t>(a)</w:t>
      </w:r>
    </w:p>
    <w:p>
      <w:pPr>
        <w:spacing w:before="73"/>
        <w:ind w:left="1660" w:right="0" w:firstLine="0"/>
        <w:jc w:val="left"/>
        <w:rPr>
          <w:sz w:val="12"/>
        </w:rPr>
      </w:pPr>
      <w:r>
        <w:rPr/>
        <w:drawing>
          <wp:anchor distT="0" distB="0" distL="0" distR="0" allowOverlap="1" layoutInCell="1" locked="0" behindDoc="0" simplePos="0" relativeHeight="16123392">
            <wp:simplePos x="0" y="0"/>
            <wp:positionH relativeFrom="page">
              <wp:posOffset>514921</wp:posOffset>
            </wp:positionH>
            <wp:positionV relativeFrom="paragraph">
              <wp:posOffset>150651</wp:posOffset>
            </wp:positionV>
            <wp:extent cx="55029" cy="6350"/>
            <wp:effectExtent l="0" t="0" r="0" b="0"/>
            <wp:wrapNone/>
            <wp:docPr id="99" name="image19.png"/>
            <wp:cNvGraphicFramePr>
              <a:graphicFrameLocks noChangeAspect="1"/>
            </wp:cNvGraphicFramePr>
            <a:graphic>
              <a:graphicData uri="http://schemas.openxmlformats.org/drawingml/2006/picture">
                <pic:pic>
                  <pic:nvPicPr>
                    <pic:cNvPr id="100" name="image19.png"/>
                    <pic:cNvPicPr/>
                  </pic:nvPicPr>
                  <pic:blipFill>
                    <a:blip r:embed="rId54"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1296384">
            <wp:simplePos x="0" y="0"/>
            <wp:positionH relativeFrom="page">
              <wp:posOffset>2504020</wp:posOffset>
            </wp:positionH>
            <wp:positionV relativeFrom="paragraph">
              <wp:posOffset>150651</wp:posOffset>
            </wp:positionV>
            <wp:extent cx="55029" cy="6350"/>
            <wp:effectExtent l="0" t="0" r="0" b="0"/>
            <wp:wrapNone/>
            <wp:docPr id="101" name="image10.png"/>
            <wp:cNvGraphicFramePr>
              <a:graphicFrameLocks noChangeAspect="1"/>
            </wp:cNvGraphicFramePr>
            <a:graphic>
              <a:graphicData uri="http://schemas.openxmlformats.org/drawingml/2006/picture">
                <pic:pic>
                  <pic:nvPicPr>
                    <pic:cNvPr id="102" name="image10.png"/>
                    <pic:cNvPicPr/>
                  </pic:nvPicPr>
                  <pic:blipFill>
                    <a:blip r:embed="rId45" cstate="print"/>
                    <a:stretch>
                      <a:fillRect/>
                    </a:stretch>
                  </pic:blipFill>
                  <pic:spPr>
                    <a:xfrm>
                      <a:off x="0" y="0"/>
                      <a:ext cx="55029" cy="6350"/>
                    </a:xfrm>
                    <a:prstGeom prst="rect">
                      <a:avLst/>
                    </a:prstGeom>
                  </pic:spPr>
                </pic:pic>
              </a:graphicData>
            </a:graphic>
          </wp:anchor>
        </w:drawing>
      </w:r>
      <w:r>
        <w:rPr>
          <w:sz w:val="12"/>
        </w:rPr>
        <w:t>Percentage changes on a year earlier</w:t>
      </w:r>
      <w:r>
        <w:rPr>
          <w:spacing w:val="21"/>
          <w:sz w:val="12"/>
        </w:rPr>
        <w:t> </w:t>
      </w:r>
      <w:r>
        <w:rPr>
          <w:position w:val="-7"/>
          <w:sz w:val="12"/>
        </w:rPr>
        <w:t>7</w:t>
      </w:r>
    </w:p>
    <w:p>
      <w:pPr>
        <w:pStyle w:val="BodyText"/>
        <w:spacing w:before="2"/>
        <w:rPr>
          <w:sz w:val="24"/>
        </w:rPr>
      </w:pPr>
    </w:p>
    <w:p>
      <w:pPr>
        <w:spacing w:before="0"/>
        <w:ind w:left="0" w:right="38" w:firstLine="0"/>
        <w:jc w:val="right"/>
        <w:rPr>
          <w:sz w:val="12"/>
        </w:rPr>
      </w:pPr>
      <w:r>
        <w:rPr/>
        <w:drawing>
          <wp:anchor distT="0" distB="0" distL="0" distR="0" allowOverlap="1" layoutInCell="1" locked="0" behindDoc="1" simplePos="0" relativeHeight="481294336">
            <wp:simplePos x="0" y="0"/>
            <wp:positionH relativeFrom="page">
              <wp:posOffset>618591</wp:posOffset>
            </wp:positionH>
            <wp:positionV relativeFrom="paragraph">
              <wp:posOffset>71716</wp:posOffset>
            </wp:positionV>
            <wp:extent cx="1838325" cy="1031875"/>
            <wp:effectExtent l="0" t="0" r="0" b="0"/>
            <wp:wrapNone/>
            <wp:docPr id="103" name="image58.png"/>
            <wp:cNvGraphicFramePr>
              <a:graphicFrameLocks noChangeAspect="1"/>
            </wp:cNvGraphicFramePr>
            <a:graphic>
              <a:graphicData uri="http://schemas.openxmlformats.org/drawingml/2006/picture">
                <pic:pic>
                  <pic:nvPicPr>
                    <pic:cNvPr id="104" name="image58.png"/>
                    <pic:cNvPicPr/>
                  </pic:nvPicPr>
                  <pic:blipFill>
                    <a:blip r:embed="rId120" cstate="print"/>
                    <a:stretch>
                      <a:fillRect/>
                    </a:stretch>
                  </pic:blipFill>
                  <pic:spPr>
                    <a:xfrm>
                      <a:off x="0" y="0"/>
                      <a:ext cx="1838325" cy="1031875"/>
                    </a:xfrm>
                    <a:prstGeom prst="rect">
                      <a:avLst/>
                    </a:prstGeom>
                  </pic:spPr>
                </pic:pic>
              </a:graphicData>
            </a:graphic>
          </wp:anchor>
        </w:drawing>
      </w:r>
      <w:r>
        <w:rPr/>
        <w:drawing>
          <wp:anchor distT="0" distB="0" distL="0" distR="0" allowOverlap="1" layoutInCell="1" locked="0" behindDoc="0" simplePos="0" relativeHeight="16123904">
            <wp:simplePos x="0" y="0"/>
            <wp:positionH relativeFrom="page">
              <wp:posOffset>514921</wp:posOffset>
            </wp:positionH>
            <wp:positionV relativeFrom="paragraph">
              <wp:posOffset>51269</wp:posOffset>
            </wp:positionV>
            <wp:extent cx="55029" cy="6350"/>
            <wp:effectExtent l="0" t="0" r="0" b="0"/>
            <wp:wrapNone/>
            <wp:docPr id="105" name="image19.png"/>
            <wp:cNvGraphicFramePr>
              <a:graphicFrameLocks noChangeAspect="1"/>
            </wp:cNvGraphicFramePr>
            <a:graphic>
              <a:graphicData uri="http://schemas.openxmlformats.org/drawingml/2006/picture">
                <pic:pic>
                  <pic:nvPicPr>
                    <pic:cNvPr id="106" name="image19.png"/>
                    <pic:cNvPicPr/>
                  </pic:nvPicPr>
                  <pic:blipFill>
                    <a:blip r:embed="rId54"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25440">
            <wp:simplePos x="0" y="0"/>
            <wp:positionH relativeFrom="page">
              <wp:posOffset>2504020</wp:posOffset>
            </wp:positionH>
            <wp:positionV relativeFrom="paragraph">
              <wp:posOffset>51269</wp:posOffset>
            </wp:positionV>
            <wp:extent cx="55029" cy="6350"/>
            <wp:effectExtent l="0" t="0" r="0" b="0"/>
            <wp:wrapNone/>
            <wp:docPr id="107" name="image10.png"/>
            <wp:cNvGraphicFramePr>
              <a:graphicFrameLocks noChangeAspect="1"/>
            </wp:cNvGraphicFramePr>
            <a:graphic>
              <a:graphicData uri="http://schemas.openxmlformats.org/drawingml/2006/picture">
                <pic:pic>
                  <pic:nvPicPr>
                    <pic:cNvPr id="108" name="image10.png"/>
                    <pic:cNvPicPr/>
                  </pic:nvPicPr>
                  <pic:blipFill>
                    <a:blip r:embed="rId45" cstate="print"/>
                    <a:stretch>
                      <a:fillRect/>
                    </a:stretch>
                  </pic:blipFill>
                  <pic:spPr>
                    <a:xfrm>
                      <a:off x="0" y="0"/>
                      <a:ext cx="55029" cy="6350"/>
                    </a:xfrm>
                    <a:prstGeom prst="rect">
                      <a:avLst/>
                    </a:prstGeom>
                  </pic:spPr>
                </pic:pic>
              </a:graphicData>
            </a:graphic>
          </wp:anchor>
        </w:drawing>
      </w:r>
      <w:r>
        <w:rPr>
          <w:sz w:val="12"/>
        </w:rPr>
        <w:t>6</w:t>
      </w:r>
    </w:p>
    <w:p>
      <w:pPr>
        <w:pStyle w:val="BodyText"/>
        <w:spacing w:before="8"/>
        <w:rPr>
          <w:sz w:val="15"/>
        </w:rPr>
      </w:pPr>
    </w:p>
    <w:p>
      <w:pPr>
        <w:spacing w:line="84" w:lineRule="exact" w:before="0"/>
        <w:ind w:left="521" w:right="0" w:firstLine="0"/>
        <w:jc w:val="left"/>
        <w:rPr>
          <w:sz w:val="12"/>
        </w:rPr>
      </w:pPr>
      <w:r>
        <w:rPr>
          <w:sz w:val="12"/>
        </w:rPr>
        <w:t>Manufacturing</w:t>
      </w:r>
    </w:p>
    <w:p>
      <w:pPr>
        <w:pStyle w:val="Heading6"/>
        <w:spacing w:line="242" w:lineRule="auto" w:before="12"/>
        <w:ind w:right="45"/>
      </w:pPr>
      <w:r>
        <w:rPr/>
        <w:br w:type="column"/>
      </w:r>
      <w:r>
        <w:rPr/>
        <w:t>the previous </w:t>
      </w:r>
      <w:r>
        <w:rPr>
          <w:i/>
        </w:rPr>
        <w:t>Report </w:t>
      </w:r>
      <w:r>
        <w:rPr/>
        <w:t>was published). So high rates of earnings growth have persisted. Chart 3.12 shows that, since last summer, earnings growth has risen in both manufacturing and service sector firms. However, the breakdown by public and private sectors is not so even. All of the recent increase in earnings growth was accounted for by the private sector, with public sector</w:t>
      </w:r>
    </w:p>
    <w:p>
      <w:pPr>
        <w:spacing w:after="0" w:line="242" w:lineRule="auto"/>
        <w:sectPr>
          <w:type w:val="continuous"/>
          <w:pgSz w:w="11900" w:h="16840"/>
          <w:pgMar w:top="1220" w:bottom="280" w:left="620" w:right="640"/>
          <w:cols w:num="2" w:equalWidth="0">
            <w:col w:w="3563" w:space="1236"/>
            <w:col w:w="5841"/>
          </w:cols>
        </w:sectPr>
      </w:pPr>
    </w:p>
    <w:p>
      <w:pPr>
        <w:pStyle w:val="BodyText"/>
        <w:spacing w:before="11"/>
        <w:rPr>
          <w:sz w:val="7"/>
        </w:rPr>
      </w:pPr>
    </w:p>
    <w:p>
      <w:pPr>
        <w:pStyle w:val="BodyText"/>
        <w:spacing w:line="20" w:lineRule="exact"/>
        <w:ind w:left="190"/>
        <w:rPr>
          <w:sz w:val="2"/>
        </w:rPr>
      </w:pPr>
      <w:r>
        <w:rPr>
          <w:sz w:val="2"/>
        </w:rPr>
        <w:drawing>
          <wp:inline distT="0" distB="0" distL="0" distR="0">
            <wp:extent cx="54478" cy="6286"/>
            <wp:effectExtent l="0" t="0" r="0" b="0"/>
            <wp:docPr id="109" name="image19.png"/>
            <wp:cNvGraphicFramePr>
              <a:graphicFrameLocks noChangeAspect="1"/>
            </wp:cNvGraphicFramePr>
            <a:graphic>
              <a:graphicData uri="http://schemas.openxmlformats.org/drawingml/2006/picture">
                <pic:pic>
                  <pic:nvPicPr>
                    <pic:cNvPr id="110" name="image19.png"/>
                    <pic:cNvPicPr/>
                  </pic:nvPicPr>
                  <pic:blipFill>
                    <a:blip r:embed="rId54" cstate="print"/>
                    <a:stretch>
                      <a:fillRect/>
                    </a:stretch>
                  </pic:blipFill>
                  <pic:spPr>
                    <a:xfrm>
                      <a:off x="0" y="0"/>
                      <a:ext cx="54478" cy="6286"/>
                    </a:xfrm>
                    <a:prstGeom prst="rect">
                      <a:avLst/>
                    </a:prstGeom>
                  </pic:spPr>
                </pic:pic>
              </a:graphicData>
            </a:graphic>
          </wp:inline>
        </w:drawing>
      </w:r>
      <w:r>
        <w:rPr>
          <w:sz w:val="2"/>
        </w:rPr>
      </w:r>
    </w:p>
    <w:p>
      <w:pPr>
        <w:pStyle w:val="BodyText"/>
        <w:rPr>
          <w:sz w:val="20"/>
        </w:rPr>
      </w:pPr>
    </w:p>
    <w:p>
      <w:pPr>
        <w:pStyle w:val="BodyText"/>
        <w:spacing w:before="8"/>
        <w:rPr>
          <w:sz w:val="10"/>
        </w:rPr>
      </w:pPr>
      <w:r>
        <w:rPr/>
        <w:drawing>
          <wp:anchor distT="0" distB="0" distL="0" distR="0" allowOverlap="1" layoutInCell="1" locked="0" behindDoc="0" simplePos="0" relativeHeight="766">
            <wp:simplePos x="0" y="0"/>
            <wp:positionH relativeFrom="page">
              <wp:posOffset>514921</wp:posOffset>
            </wp:positionH>
            <wp:positionV relativeFrom="paragraph">
              <wp:posOffset>103165</wp:posOffset>
            </wp:positionV>
            <wp:extent cx="54478" cy="6286"/>
            <wp:effectExtent l="0" t="0" r="0" b="0"/>
            <wp:wrapTopAndBottom/>
            <wp:docPr id="111" name="image19.png"/>
            <wp:cNvGraphicFramePr>
              <a:graphicFrameLocks noChangeAspect="1"/>
            </wp:cNvGraphicFramePr>
            <a:graphic>
              <a:graphicData uri="http://schemas.openxmlformats.org/drawingml/2006/picture">
                <pic:pic>
                  <pic:nvPicPr>
                    <pic:cNvPr id="112" name="image19.png"/>
                    <pic:cNvPicPr/>
                  </pic:nvPicPr>
                  <pic:blipFill>
                    <a:blip r:embed="rId5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767">
            <wp:simplePos x="0" y="0"/>
            <wp:positionH relativeFrom="page">
              <wp:posOffset>514921</wp:posOffset>
            </wp:positionH>
            <wp:positionV relativeFrom="paragraph">
              <wp:posOffset>365026</wp:posOffset>
            </wp:positionV>
            <wp:extent cx="54478" cy="6286"/>
            <wp:effectExtent l="0" t="0" r="0" b="0"/>
            <wp:wrapTopAndBottom/>
            <wp:docPr id="113" name="image19.png"/>
            <wp:cNvGraphicFramePr>
              <a:graphicFrameLocks noChangeAspect="1"/>
            </wp:cNvGraphicFramePr>
            <a:graphic>
              <a:graphicData uri="http://schemas.openxmlformats.org/drawingml/2006/picture">
                <pic:pic>
                  <pic:nvPicPr>
                    <pic:cNvPr id="114" name="image19.png"/>
                    <pic:cNvPicPr/>
                  </pic:nvPicPr>
                  <pic:blipFill>
                    <a:blip r:embed="rId5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768">
            <wp:simplePos x="0" y="0"/>
            <wp:positionH relativeFrom="page">
              <wp:posOffset>514921</wp:posOffset>
            </wp:positionH>
            <wp:positionV relativeFrom="paragraph">
              <wp:posOffset>626887</wp:posOffset>
            </wp:positionV>
            <wp:extent cx="54478" cy="6286"/>
            <wp:effectExtent l="0" t="0" r="0" b="0"/>
            <wp:wrapTopAndBottom/>
            <wp:docPr id="115" name="image19.png"/>
            <wp:cNvGraphicFramePr>
              <a:graphicFrameLocks noChangeAspect="1"/>
            </wp:cNvGraphicFramePr>
            <a:graphic>
              <a:graphicData uri="http://schemas.openxmlformats.org/drawingml/2006/picture">
                <pic:pic>
                  <pic:nvPicPr>
                    <pic:cNvPr id="116" name="image19.png"/>
                    <pic:cNvPicPr/>
                  </pic:nvPicPr>
                  <pic:blipFill>
                    <a:blip r:embed="rId54" cstate="print"/>
                    <a:stretch>
                      <a:fillRect/>
                    </a:stretch>
                  </pic:blipFill>
                  <pic:spPr>
                    <a:xfrm>
                      <a:off x="0" y="0"/>
                      <a:ext cx="54478" cy="6286"/>
                    </a:xfrm>
                    <a:prstGeom prst="rect">
                      <a:avLst/>
                    </a:prstGeom>
                  </pic:spPr>
                </pic:pic>
              </a:graphicData>
            </a:graphic>
          </wp:anchor>
        </w:drawing>
      </w:r>
    </w:p>
    <w:p>
      <w:pPr>
        <w:pStyle w:val="BodyText"/>
        <w:spacing w:before="1"/>
        <w:rPr>
          <w:sz w:val="29"/>
        </w:rPr>
      </w:pPr>
    </w:p>
    <w:p>
      <w:pPr>
        <w:pStyle w:val="BodyText"/>
        <w:spacing w:before="1"/>
        <w:rPr>
          <w:sz w:val="29"/>
        </w:rPr>
      </w:pPr>
    </w:p>
    <w:p>
      <w:pPr>
        <w:spacing w:before="0"/>
        <w:ind w:left="740" w:right="0" w:firstLine="0"/>
        <w:jc w:val="left"/>
        <w:rPr>
          <w:sz w:val="12"/>
        </w:rPr>
      </w:pPr>
      <w:r>
        <w:rPr>
          <w:sz w:val="12"/>
        </w:rPr>
        <w:t>Services</w:t>
      </w:r>
    </w:p>
    <w:p>
      <w:pPr>
        <w:pStyle w:val="BodyText"/>
        <w:spacing w:after="39"/>
        <w:rPr>
          <w:sz w:val="21"/>
        </w:rPr>
      </w:pPr>
    </w:p>
    <w:p>
      <w:pPr>
        <w:pStyle w:val="BodyText"/>
        <w:spacing w:line="20" w:lineRule="exact"/>
        <w:ind w:left="190"/>
        <w:rPr>
          <w:sz w:val="2"/>
        </w:rPr>
      </w:pPr>
      <w:r>
        <w:rPr>
          <w:sz w:val="2"/>
        </w:rPr>
        <w:drawing>
          <wp:inline distT="0" distB="0" distL="0" distR="0">
            <wp:extent cx="54478" cy="6286"/>
            <wp:effectExtent l="0" t="0" r="0" b="0"/>
            <wp:docPr id="117" name="image19.png"/>
            <wp:cNvGraphicFramePr>
              <a:graphicFrameLocks noChangeAspect="1"/>
            </wp:cNvGraphicFramePr>
            <a:graphic>
              <a:graphicData uri="http://schemas.openxmlformats.org/drawingml/2006/picture">
                <pic:pic>
                  <pic:nvPicPr>
                    <pic:cNvPr id="118" name="image19.png"/>
                    <pic:cNvPicPr/>
                  </pic:nvPicPr>
                  <pic:blipFill>
                    <a:blip r:embed="rId54" cstate="print"/>
                    <a:stretch>
                      <a:fillRect/>
                    </a:stretch>
                  </pic:blipFill>
                  <pic:spPr>
                    <a:xfrm>
                      <a:off x="0" y="0"/>
                      <a:ext cx="54478" cy="6286"/>
                    </a:xfrm>
                    <a:prstGeom prst="rect">
                      <a:avLst/>
                    </a:prstGeom>
                  </pic:spPr>
                </pic:pic>
              </a:graphicData>
            </a:graphic>
          </wp:inline>
        </w:drawing>
      </w:r>
      <w:r>
        <w:rPr>
          <w:sz w:val="2"/>
        </w:rPr>
      </w:r>
    </w:p>
    <w:p>
      <w:pPr>
        <w:pStyle w:val="BodyText"/>
        <w:rPr>
          <w:sz w:val="20"/>
        </w:rPr>
      </w:pPr>
    </w:p>
    <w:p>
      <w:pPr>
        <w:pStyle w:val="BodyText"/>
        <w:spacing w:before="8"/>
        <w:rPr>
          <w:sz w:val="10"/>
        </w:rPr>
      </w:pPr>
      <w:r>
        <w:rPr/>
        <w:drawing>
          <wp:anchor distT="0" distB="0" distL="0" distR="0" allowOverlap="1" layoutInCell="1" locked="0" behindDoc="0" simplePos="0" relativeHeight="769">
            <wp:simplePos x="0" y="0"/>
            <wp:positionH relativeFrom="page">
              <wp:posOffset>514921</wp:posOffset>
            </wp:positionH>
            <wp:positionV relativeFrom="paragraph">
              <wp:posOffset>103123</wp:posOffset>
            </wp:positionV>
            <wp:extent cx="54478" cy="6286"/>
            <wp:effectExtent l="0" t="0" r="0" b="0"/>
            <wp:wrapTopAndBottom/>
            <wp:docPr id="119" name="image19.png"/>
            <wp:cNvGraphicFramePr>
              <a:graphicFrameLocks noChangeAspect="1"/>
            </wp:cNvGraphicFramePr>
            <a:graphic>
              <a:graphicData uri="http://schemas.openxmlformats.org/drawingml/2006/picture">
                <pic:pic>
                  <pic:nvPicPr>
                    <pic:cNvPr id="120" name="image19.png"/>
                    <pic:cNvPicPr/>
                  </pic:nvPicPr>
                  <pic:blipFill>
                    <a:blip r:embed="rId54" cstate="print"/>
                    <a:stretch>
                      <a:fillRect/>
                    </a:stretch>
                  </pic:blipFill>
                  <pic:spPr>
                    <a:xfrm>
                      <a:off x="0" y="0"/>
                      <a:ext cx="54478" cy="6286"/>
                    </a:xfrm>
                    <a:prstGeom prst="rect">
                      <a:avLst/>
                    </a:prstGeom>
                  </pic:spPr>
                </pic:pic>
              </a:graphicData>
            </a:graphic>
          </wp:anchor>
        </w:drawing>
      </w:r>
    </w:p>
    <w:p>
      <w:pPr>
        <w:spacing w:before="11"/>
        <w:ind w:left="0" w:right="38" w:firstLine="0"/>
        <w:jc w:val="right"/>
        <w:rPr>
          <w:sz w:val="12"/>
        </w:rPr>
      </w:pPr>
      <w:r>
        <w:rPr/>
        <w:br w:type="column"/>
      </w:r>
      <w:r>
        <w:rPr>
          <w:sz w:val="12"/>
        </w:rPr>
        <w:t>5</w:t>
      </w:r>
    </w:p>
    <w:p>
      <w:pPr>
        <w:pStyle w:val="BodyText"/>
        <w:rPr>
          <w:sz w:val="12"/>
        </w:rPr>
      </w:pPr>
    </w:p>
    <w:p>
      <w:pPr>
        <w:pStyle w:val="BodyText"/>
        <w:spacing w:before="11"/>
        <w:rPr>
          <w:sz w:val="11"/>
        </w:rPr>
      </w:pPr>
    </w:p>
    <w:p>
      <w:pPr>
        <w:spacing w:before="0"/>
        <w:ind w:left="0" w:right="38" w:firstLine="0"/>
        <w:jc w:val="right"/>
        <w:rPr>
          <w:sz w:val="12"/>
        </w:rPr>
      </w:pPr>
      <w:r>
        <w:rPr/>
        <w:drawing>
          <wp:anchor distT="0" distB="0" distL="0" distR="0" allowOverlap="1" layoutInCell="1" locked="0" behindDoc="0" simplePos="0" relativeHeight="16125952">
            <wp:simplePos x="0" y="0"/>
            <wp:positionH relativeFrom="page">
              <wp:posOffset>2504020</wp:posOffset>
            </wp:positionH>
            <wp:positionV relativeFrom="paragraph">
              <wp:posOffset>-211643</wp:posOffset>
            </wp:positionV>
            <wp:extent cx="55029" cy="6350"/>
            <wp:effectExtent l="0" t="0" r="0" b="0"/>
            <wp:wrapNone/>
            <wp:docPr id="121" name="image10.png"/>
            <wp:cNvGraphicFramePr>
              <a:graphicFrameLocks noChangeAspect="1"/>
            </wp:cNvGraphicFramePr>
            <a:graphic>
              <a:graphicData uri="http://schemas.openxmlformats.org/drawingml/2006/picture">
                <pic:pic>
                  <pic:nvPicPr>
                    <pic:cNvPr id="122" name="image10.png"/>
                    <pic:cNvPicPr/>
                  </pic:nvPicPr>
                  <pic:blipFill>
                    <a:blip r:embed="rId45"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28000">
            <wp:simplePos x="0" y="0"/>
            <wp:positionH relativeFrom="page">
              <wp:posOffset>2504020</wp:posOffset>
            </wp:positionH>
            <wp:positionV relativeFrom="paragraph">
              <wp:posOffset>50217</wp:posOffset>
            </wp:positionV>
            <wp:extent cx="55029" cy="6350"/>
            <wp:effectExtent l="0" t="0" r="0" b="0"/>
            <wp:wrapNone/>
            <wp:docPr id="123" name="image10.png"/>
            <wp:cNvGraphicFramePr>
              <a:graphicFrameLocks noChangeAspect="1"/>
            </wp:cNvGraphicFramePr>
            <a:graphic>
              <a:graphicData uri="http://schemas.openxmlformats.org/drawingml/2006/picture">
                <pic:pic>
                  <pic:nvPicPr>
                    <pic:cNvPr id="124" name="image10.png"/>
                    <pic:cNvPicPr/>
                  </pic:nvPicPr>
                  <pic:blipFill>
                    <a:blip r:embed="rId45" cstate="print"/>
                    <a:stretch>
                      <a:fillRect/>
                    </a:stretch>
                  </pic:blipFill>
                  <pic:spPr>
                    <a:xfrm>
                      <a:off x="0" y="0"/>
                      <a:ext cx="55029" cy="6350"/>
                    </a:xfrm>
                    <a:prstGeom prst="rect">
                      <a:avLst/>
                    </a:prstGeom>
                  </pic:spPr>
                </pic:pic>
              </a:graphicData>
            </a:graphic>
          </wp:anchor>
        </w:drawing>
      </w:r>
      <w:r>
        <w:rPr>
          <w:sz w:val="12"/>
        </w:rPr>
        <w:t>4</w:t>
      </w:r>
    </w:p>
    <w:p>
      <w:pPr>
        <w:pStyle w:val="BodyText"/>
        <w:rPr>
          <w:sz w:val="12"/>
        </w:rPr>
      </w:pPr>
    </w:p>
    <w:p>
      <w:pPr>
        <w:pStyle w:val="BodyText"/>
        <w:spacing w:before="11"/>
        <w:rPr>
          <w:sz w:val="11"/>
        </w:rPr>
      </w:pPr>
    </w:p>
    <w:p>
      <w:pPr>
        <w:spacing w:before="0"/>
        <w:ind w:left="0" w:right="38" w:firstLine="0"/>
        <w:jc w:val="right"/>
        <w:rPr>
          <w:sz w:val="12"/>
        </w:rPr>
      </w:pPr>
      <w:r>
        <w:rPr/>
        <w:drawing>
          <wp:anchor distT="0" distB="0" distL="0" distR="0" allowOverlap="1" layoutInCell="1" locked="0" behindDoc="0" simplePos="0" relativeHeight="16126464">
            <wp:simplePos x="0" y="0"/>
            <wp:positionH relativeFrom="page">
              <wp:posOffset>2504020</wp:posOffset>
            </wp:positionH>
            <wp:positionV relativeFrom="paragraph">
              <wp:posOffset>49692</wp:posOffset>
            </wp:positionV>
            <wp:extent cx="55029" cy="6350"/>
            <wp:effectExtent l="0" t="0" r="0" b="0"/>
            <wp:wrapNone/>
            <wp:docPr id="125" name="image10.png"/>
            <wp:cNvGraphicFramePr>
              <a:graphicFrameLocks noChangeAspect="1"/>
            </wp:cNvGraphicFramePr>
            <a:graphic>
              <a:graphicData uri="http://schemas.openxmlformats.org/drawingml/2006/picture">
                <pic:pic>
                  <pic:nvPicPr>
                    <pic:cNvPr id="126" name="image10.png"/>
                    <pic:cNvPicPr/>
                  </pic:nvPicPr>
                  <pic:blipFill>
                    <a:blip r:embed="rId45" cstate="print"/>
                    <a:stretch>
                      <a:fillRect/>
                    </a:stretch>
                  </pic:blipFill>
                  <pic:spPr>
                    <a:xfrm>
                      <a:off x="0" y="0"/>
                      <a:ext cx="55029" cy="6350"/>
                    </a:xfrm>
                    <a:prstGeom prst="rect">
                      <a:avLst/>
                    </a:prstGeom>
                  </pic:spPr>
                </pic:pic>
              </a:graphicData>
            </a:graphic>
          </wp:anchor>
        </w:drawing>
      </w:r>
      <w:r>
        <w:rPr>
          <w:sz w:val="12"/>
        </w:rPr>
        <w:t>3</w:t>
      </w:r>
    </w:p>
    <w:p>
      <w:pPr>
        <w:tabs>
          <w:tab w:pos="2329" w:val="right" w:leader="none"/>
        </w:tabs>
        <w:spacing w:before="225"/>
        <w:ind w:left="190" w:right="0" w:firstLine="0"/>
        <w:jc w:val="left"/>
        <w:rPr>
          <w:sz w:val="12"/>
        </w:rPr>
      </w:pPr>
      <w:r>
        <w:rPr/>
        <w:drawing>
          <wp:anchor distT="0" distB="0" distL="0" distR="0" allowOverlap="1" layoutInCell="1" locked="0" behindDoc="1" simplePos="0" relativeHeight="481299968">
            <wp:simplePos x="0" y="0"/>
            <wp:positionH relativeFrom="page">
              <wp:posOffset>2504020</wp:posOffset>
            </wp:positionH>
            <wp:positionV relativeFrom="paragraph">
              <wp:posOffset>223520</wp:posOffset>
            </wp:positionV>
            <wp:extent cx="55029" cy="6350"/>
            <wp:effectExtent l="0" t="0" r="0" b="0"/>
            <wp:wrapNone/>
            <wp:docPr id="127" name="image10.png"/>
            <wp:cNvGraphicFramePr>
              <a:graphicFrameLocks noChangeAspect="1"/>
            </wp:cNvGraphicFramePr>
            <a:graphic>
              <a:graphicData uri="http://schemas.openxmlformats.org/drawingml/2006/picture">
                <pic:pic>
                  <pic:nvPicPr>
                    <pic:cNvPr id="128" name="image10.png"/>
                    <pic:cNvPicPr/>
                  </pic:nvPicPr>
                  <pic:blipFill>
                    <a:blip r:embed="rId45" cstate="print"/>
                    <a:stretch>
                      <a:fillRect/>
                    </a:stretch>
                  </pic:blipFill>
                  <pic:spPr>
                    <a:xfrm>
                      <a:off x="0" y="0"/>
                      <a:ext cx="55029" cy="6350"/>
                    </a:xfrm>
                    <a:prstGeom prst="rect">
                      <a:avLst/>
                    </a:prstGeom>
                  </pic:spPr>
                </pic:pic>
              </a:graphicData>
            </a:graphic>
          </wp:anchor>
        </w:drawing>
      </w:r>
      <w:r>
        <w:rPr>
          <w:sz w:val="12"/>
        </w:rPr>
        <w:t>Whole economy</w:t>
        <w:tab/>
      </w:r>
      <w:r>
        <w:rPr>
          <w:position w:val="-4"/>
          <w:sz w:val="12"/>
        </w:rPr>
        <w:t>2</w:t>
      </w:r>
    </w:p>
    <w:p>
      <w:pPr>
        <w:spacing w:before="275"/>
        <w:ind w:left="0" w:right="38" w:firstLine="0"/>
        <w:jc w:val="right"/>
        <w:rPr>
          <w:sz w:val="12"/>
        </w:rPr>
      </w:pPr>
      <w:r>
        <w:rPr/>
        <w:drawing>
          <wp:anchor distT="0" distB="0" distL="0" distR="0" allowOverlap="1" layoutInCell="1" locked="0" behindDoc="0" simplePos="0" relativeHeight="16126976">
            <wp:simplePos x="0" y="0"/>
            <wp:positionH relativeFrom="page">
              <wp:posOffset>2504020</wp:posOffset>
            </wp:positionH>
            <wp:positionV relativeFrom="paragraph">
              <wp:posOffset>223265</wp:posOffset>
            </wp:positionV>
            <wp:extent cx="55029" cy="6350"/>
            <wp:effectExtent l="0" t="0" r="0" b="0"/>
            <wp:wrapNone/>
            <wp:docPr id="129" name="image10.png"/>
            <wp:cNvGraphicFramePr>
              <a:graphicFrameLocks noChangeAspect="1"/>
            </wp:cNvGraphicFramePr>
            <a:graphic>
              <a:graphicData uri="http://schemas.openxmlformats.org/drawingml/2006/picture">
                <pic:pic>
                  <pic:nvPicPr>
                    <pic:cNvPr id="130" name="image10.png"/>
                    <pic:cNvPicPr/>
                  </pic:nvPicPr>
                  <pic:blipFill>
                    <a:blip r:embed="rId45" cstate="print"/>
                    <a:stretch>
                      <a:fillRect/>
                    </a:stretch>
                  </pic:blipFill>
                  <pic:spPr>
                    <a:xfrm>
                      <a:off x="0" y="0"/>
                      <a:ext cx="55029" cy="6350"/>
                    </a:xfrm>
                    <a:prstGeom prst="rect">
                      <a:avLst/>
                    </a:prstGeom>
                  </pic:spPr>
                </pic:pic>
              </a:graphicData>
            </a:graphic>
          </wp:anchor>
        </w:drawing>
      </w:r>
      <w:r>
        <w:rPr>
          <w:sz w:val="12"/>
        </w:rPr>
        <w:t>1</w:t>
      </w:r>
    </w:p>
    <w:p>
      <w:pPr>
        <w:spacing w:line="127" w:lineRule="exact" w:before="275"/>
        <w:ind w:left="0" w:right="38" w:firstLine="0"/>
        <w:jc w:val="right"/>
        <w:rPr>
          <w:sz w:val="12"/>
        </w:rPr>
      </w:pPr>
      <w:r>
        <w:rPr/>
        <w:drawing>
          <wp:anchor distT="0" distB="0" distL="0" distR="0" allowOverlap="1" layoutInCell="1" locked="0" behindDoc="0" simplePos="0" relativeHeight="16124416">
            <wp:simplePos x="0" y="0"/>
            <wp:positionH relativeFrom="page">
              <wp:posOffset>627278</wp:posOffset>
            </wp:positionH>
            <wp:positionV relativeFrom="paragraph">
              <wp:posOffset>162160</wp:posOffset>
            </wp:positionV>
            <wp:extent cx="1827123" cy="66941"/>
            <wp:effectExtent l="0" t="0" r="0" b="0"/>
            <wp:wrapNone/>
            <wp:docPr id="131" name="image59.png"/>
            <wp:cNvGraphicFramePr>
              <a:graphicFrameLocks noChangeAspect="1"/>
            </wp:cNvGraphicFramePr>
            <a:graphic>
              <a:graphicData uri="http://schemas.openxmlformats.org/drawingml/2006/picture">
                <pic:pic>
                  <pic:nvPicPr>
                    <pic:cNvPr id="132" name="image59.png"/>
                    <pic:cNvPicPr/>
                  </pic:nvPicPr>
                  <pic:blipFill>
                    <a:blip r:embed="rId121" cstate="print"/>
                    <a:stretch>
                      <a:fillRect/>
                    </a:stretch>
                  </pic:blipFill>
                  <pic:spPr>
                    <a:xfrm>
                      <a:off x="0" y="0"/>
                      <a:ext cx="1827123" cy="66941"/>
                    </a:xfrm>
                    <a:prstGeom prst="rect">
                      <a:avLst/>
                    </a:prstGeom>
                  </pic:spPr>
                </pic:pic>
              </a:graphicData>
            </a:graphic>
          </wp:anchor>
        </w:drawing>
      </w:r>
      <w:r>
        <w:rPr/>
        <w:drawing>
          <wp:anchor distT="0" distB="0" distL="0" distR="0" allowOverlap="1" layoutInCell="1" locked="0" behindDoc="0" simplePos="0" relativeHeight="16127488">
            <wp:simplePos x="0" y="0"/>
            <wp:positionH relativeFrom="page">
              <wp:posOffset>2504020</wp:posOffset>
            </wp:positionH>
            <wp:positionV relativeFrom="paragraph">
              <wp:posOffset>222739</wp:posOffset>
            </wp:positionV>
            <wp:extent cx="55029" cy="6350"/>
            <wp:effectExtent l="0" t="0" r="0" b="0"/>
            <wp:wrapNone/>
            <wp:docPr id="133" name="image10.png"/>
            <wp:cNvGraphicFramePr>
              <a:graphicFrameLocks noChangeAspect="1"/>
            </wp:cNvGraphicFramePr>
            <a:graphic>
              <a:graphicData uri="http://schemas.openxmlformats.org/drawingml/2006/picture">
                <pic:pic>
                  <pic:nvPicPr>
                    <pic:cNvPr id="134" name="image10.png"/>
                    <pic:cNvPicPr/>
                  </pic:nvPicPr>
                  <pic:blipFill>
                    <a:blip r:embed="rId45" cstate="print"/>
                    <a:stretch>
                      <a:fillRect/>
                    </a:stretch>
                  </pic:blipFill>
                  <pic:spPr>
                    <a:xfrm>
                      <a:off x="0" y="0"/>
                      <a:ext cx="55029" cy="6350"/>
                    </a:xfrm>
                    <a:prstGeom prst="rect">
                      <a:avLst/>
                    </a:prstGeom>
                  </pic:spPr>
                </pic:pic>
              </a:graphicData>
            </a:graphic>
          </wp:anchor>
        </w:drawing>
      </w:r>
      <w:r>
        <w:rPr>
          <w:sz w:val="12"/>
        </w:rPr>
        <w:t>0</w:t>
      </w:r>
    </w:p>
    <w:p>
      <w:pPr>
        <w:pStyle w:val="Heading6"/>
        <w:spacing w:line="242" w:lineRule="auto"/>
        <w:ind w:right="415"/>
      </w:pPr>
      <w:r>
        <w:rPr/>
        <w:br w:type="column"/>
      </w:r>
      <w:r>
        <w:rPr/>
        <w:t>earnings growth falling from 4.8% in June to 3.9% in November.</w:t>
      </w:r>
    </w:p>
    <w:p>
      <w:pPr>
        <w:spacing w:line="242" w:lineRule="auto" w:before="272"/>
        <w:ind w:left="190" w:right="232" w:firstLine="0"/>
        <w:jc w:val="left"/>
        <w:rPr>
          <w:sz w:val="24"/>
        </w:rPr>
      </w:pPr>
      <w:r>
        <w:rPr>
          <w:sz w:val="24"/>
        </w:rPr>
        <w:t>The AEI provides a comprehensive measure of employees’ earnings, but other measures of earnings are available. Information on wages and salaries paid to the households sector is published quarterly with the National Accounts. While the AEI is based on a sample</w:t>
      </w:r>
    </w:p>
    <w:p>
      <w:pPr>
        <w:spacing w:after="0" w:line="242" w:lineRule="auto"/>
        <w:jc w:val="left"/>
        <w:rPr>
          <w:sz w:val="24"/>
        </w:rPr>
        <w:sectPr>
          <w:type w:val="continuous"/>
          <w:pgSz w:w="11900" w:h="16840"/>
          <w:pgMar w:top="1220" w:bottom="280" w:left="620" w:right="640"/>
          <w:cols w:num="3" w:equalWidth="0">
            <w:col w:w="1148" w:space="44"/>
            <w:col w:w="2371" w:space="1237"/>
            <w:col w:w="5840"/>
          </w:cols>
        </w:sectPr>
      </w:pPr>
    </w:p>
    <w:p>
      <w:pPr>
        <w:tabs>
          <w:tab w:pos="1196" w:val="left" w:leader="none"/>
          <w:tab w:pos="1811" w:val="left" w:leader="none"/>
          <w:tab w:pos="2399" w:val="left" w:leader="none"/>
          <w:tab w:pos="2941" w:val="left" w:leader="none"/>
        </w:tabs>
        <w:spacing w:line="114" w:lineRule="exact" w:before="0"/>
        <w:ind w:left="534" w:right="0" w:firstLine="0"/>
        <w:jc w:val="left"/>
        <w:rPr>
          <w:sz w:val="12"/>
        </w:rPr>
      </w:pPr>
      <w:r>
        <w:rPr>
          <w:sz w:val="12"/>
        </w:rPr>
        <w:t>1995</w:t>
        <w:tab/>
        <w:t>96</w:t>
        <w:tab/>
        <w:t>97</w:t>
        <w:tab/>
        <w:t>98</w:t>
        <w:tab/>
        <w:t>99</w:t>
      </w:r>
    </w:p>
    <w:p>
      <w:pPr>
        <w:pStyle w:val="ListParagraph"/>
        <w:numPr>
          <w:ilvl w:val="0"/>
          <w:numId w:val="26"/>
        </w:numPr>
        <w:tabs>
          <w:tab w:pos="440" w:val="left" w:leader="none"/>
        </w:tabs>
        <w:spacing w:line="240" w:lineRule="auto" w:before="42" w:after="0"/>
        <w:ind w:left="439" w:right="0" w:hanging="240"/>
        <w:jc w:val="left"/>
        <w:rPr>
          <w:sz w:val="12"/>
        </w:rPr>
      </w:pPr>
      <w:r>
        <w:rPr>
          <w:sz w:val="12"/>
        </w:rPr>
        <w:t>Annual growth in backward-looking three-month average of the AEI.</w:t>
      </w:r>
    </w:p>
    <w:p>
      <w:pPr>
        <w:pStyle w:val="Heading6"/>
        <w:spacing w:before="7"/>
        <w:ind w:left="200"/>
      </w:pPr>
      <w:r>
        <w:rPr/>
        <w:br w:type="column"/>
      </w:r>
      <w:r>
        <w:rPr/>
        <w:t>of employers, final estimates of wages and salaries data</w:t>
      </w:r>
    </w:p>
    <w:p>
      <w:pPr>
        <w:spacing w:after="0"/>
        <w:sectPr>
          <w:type w:val="continuous"/>
          <w:pgSz w:w="11900" w:h="16840"/>
          <w:pgMar w:top="1220" w:bottom="280" w:left="620" w:right="640"/>
          <w:cols w:num="2" w:equalWidth="0">
            <w:col w:w="3816" w:space="974"/>
            <w:col w:w="5850"/>
          </w:cols>
        </w:sectPr>
      </w:pPr>
    </w:p>
    <w:p>
      <w:pPr>
        <w:pStyle w:val="ListParagraph"/>
        <w:numPr>
          <w:ilvl w:val="1"/>
          <w:numId w:val="26"/>
        </w:numPr>
        <w:tabs>
          <w:tab w:pos="5261" w:val="left" w:leader="none"/>
        </w:tabs>
        <w:spacing w:line="208" w:lineRule="auto" w:before="271" w:after="0"/>
        <w:ind w:left="5260" w:right="676" w:hanging="240"/>
        <w:jc w:val="left"/>
        <w:rPr>
          <w:sz w:val="16"/>
        </w:rPr>
      </w:pPr>
      <w:r>
        <w:rPr/>
        <w:pict>
          <v:line style="position:absolute;mso-position-horizontal-relative:page;mso-position-vertical-relative:paragraph;z-index:16138240" from="280pt,9.457816pt" to="556pt,9.457816pt" stroked="true" strokeweight=".125pt" strokecolor="#000000">
            <v:stroke dashstyle="solid"/>
            <w10:wrap type="none"/>
          </v:line>
        </w:pict>
      </w:r>
      <w:r>
        <w:rPr>
          <w:sz w:val="16"/>
        </w:rPr>
        <w:t>Formed by the merger of the Federation of Recruitment and Employment Services and the Institute of Employment Consultants.</w:t>
      </w:r>
    </w:p>
    <w:p>
      <w:pPr>
        <w:spacing w:after="0" w:line="208" w:lineRule="auto"/>
        <w:jc w:val="left"/>
        <w:rPr>
          <w:sz w:val="16"/>
        </w:rPr>
        <w:sectPr>
          <w:type w:val="continuous"/>
          <w:pgSz w:w="11900" w:h="16840"/>
          <w:pgMar w:top="1220" w:bottom="280" w:left="620" w:right="640"/>
        </w:sectPr>
      </w:pPr>
    </w:p>
    <w:p>
      <w:pPr>
        <w:pStyle w:val="BodyText"/>
        <w:rPr>
          <w:sz w:val="20"/>
        </w:rPr>
      </w:pPr>
    </w:p>
    <w:p>
      <w:pPr>
        <w:spacing w:after="0"/>
        <w:rPr>
          <w:sz w:val="20"/>
        </w:rPr>
        <w:sectPr>
          <w:pgSz w:w="11900" w:h="16840"/>
          <w:pgMar w:header="586" w:footer="617" w:top="780" w:bottom="800" w:left="62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27"/>
        </w:rPr>
      </w:pPr>
    </w:p>
    <w:p>
      <w:pPr>
        <w:pStyle w:val="Heading9"/>
        <w:spacing w:before="0"/>
        <w:ind w:left="160"/>
      </w:pPr>
      <w:r>
        <w:rPr>
          <w:color w:val="0093C1"/>
        </w:rPr>
        <w:t>Chart 3.13</w:t>
      </w:r>
    </w:p>
    <w:p>
      <w:pPr>
        <w:spacing w:line="249" w:lineRule="auto" w:before="10"/>
        <w:ind w:left="160" w:right="155" w:firstLine="0"/>
        <w:jc w:val="left"/>
        <w:rPr>
          <w:b/>
          <w:sz w:val="20"/>
        </w:rPr>
      </w:pPr>
      <w:r>
        <w:rPr>
          <w:b/>
          <w:color w:val="0093C1"/>
          <w:sz w:val="20"/>
        </w:rPr>
        <w:t>Settlements, nominal earnings growth and wage drift</w:t>
      </w:r>
    </w:p>
    <w:p>
      <w:pPr>
        <w:spacing w:line="118" w:lineRule="exact" w:before="102"/>
        <w:ind w:left="0" w:right="128" w:firstLine="0"/>
        <w:jc w:val="right"/>
        <w:rPr>
          <w:sz w:val="12"/>
        </w:rPr>
      </w:pPr>
      <w:r>
        <w:rPr>
          <w:color w:val="231F20"/>
          <w:sz w:val="12"/>
        </w:rPr>
        <w:t>Per ce</w:t>
      </w:r>
      <w:r>
        <w:rPr>
          <w:color w:val="231F20"/>
          <w:sz w:val="12"/>
          <w:u w:val="single" w:color="231F20"/>
        </w:rPr>
        <w:t>n</w:t>
      </w:r>
      <w:r>
        <w:rPr>
          <w:color w:val="231F20"/>
          <w:sz w:val="12"/>
        </w:rPr>
        <w:t>t</w:t>
      </w:r>
    </w:p>
    <w:p>
      <w:pPr>
        <w:spacing w:line="118" w:lineRule="exact" w:before="0"/>
        <w:ind w:left="0" w:right="38" w:firstLine="0"/>
        <w:jc w:val="right"/>
        <w:rPr>
          <w:sz w:val="12"/>
        </w:rPr>
      </w:pPr>
      <w:r>
        <w:rPr/>
        <w:pict>
          <v:line style="position:absolute;mso-position-horizontal-relative:page;mso-position-vertical-relative:paragraph;z-index:16141824" from="42.875pt,2.005565pt" to="38.542pt,2.005565pt" stroked="true" strokeweight=".5pt" strokecolor="#231f20">
            <v:stroke dashstyle="solid"/>
            <w10:wrap type="none"/>
          </v:line>
        </w:pict>
      </w:r>
      <w:r>
        <w:rPr>
          <w:color w:val="231F20"/>
          <w:sz w:val="12"/>
        </w:rPr>
        <w:t>7</w:t>
      </w:r>
    </w:p>
    <w:p>
      <w:pPr>
        <w:pStyle w:val="BodyText"/>
        <w:rPr>
          <w:sz w:val="12"/>
        </w:rPr>
      </w:pPr>
    </w:p>
    <w:p>
      <w:pPr>
        <w:spacing w:before="85"/>
        <w:ind w:left="0" w:right="38" w:firstLine="0"/>
        <w:jc w:val="right"/>
        <w:rPr>
          <w:sz w:val="12"/>
        </w:rPr>
      </w:pPr>
      <w:r>
        <w:rPr/>
        <w:pict>
          <v:group style="position:absolute;margin-left:47.5pt;margin-top:5.179398pt;width:146pt;height:118.6pt;mso-position-horizontal-relative:page;mso-position-vertical-relative:paragraph;z-index:16141312" coordorigin="950,104" coordsize="2920,2372">
            <v:rect style="position:absolute;left:955;top:2009;width:33;height:313" filled="true" fillcolor="#008256" stroked="false">
              <v:fill type="solid"/>
            </v:rect>
            <v:rect style="position:absolute;left:955;top:2009;width:33;height:313" filled="false" stroked="true" strokeweight=".5pt" strokecolor="#231f20">
              <v:stroke dashstyle="solid"/>
            </v:rect>
            <v:rect style="position:absolute;left:994;top:1957;width:33;height:365" filled="true" fillcolor="#008256" stroked="false">
              <v:fill type="solid"/>
            </v:rect>
            <v:rect style="position:absolute;left:994;top:1957;width:33;height:365" filled="false" stroked="true" strokeweight=".5pt" strokecolor="#231f20">
              <v:stroke dashstyle="solid"/>
            </v:rect>
            <v:rect style="position:absolute;left:1034;top:1782;width:33;height:540" filled="true" fillcolor="#008256" stroked="false">
              <v:fill type="solid"/>
            </v:rect>
            <v:rect style="position:absolute;left:1034;top:1782;width:33;height:540" filled="false" stroked="true" strokeweight=".5pt" strokecolor="#231f20">
              <v:stroke dashstyle="solid"/>
            </v:rect>
            <v:rect style="position:absolute;left:1073;top:1822;width:33;height:500" filled="true" fillcolor="#008256" stroked="false">
              <v:fill type="solid"/>
            </v:rect>
            <v:rect style="position:absolute;left:1073;top:1822;width:33;height:500" filled="false" stroked="true" strokeweight=".5pt" strokecolor="#231f20">
              <v:stroke dashstyle="solid"/>
            </v:rect>
            <v:rect style="position:absolute;left:1113;top:1889;width:33;height:433" filled="true" fillcolor="#008256" stroked="false">
              <v:fill type="solid"/>
            </v:rect>
            <v:rect style="position:absolute;left:1113;top:1889;width:33;height:433" filled="false" stroked="true" strokeweight=".5pt" strokecolor="#231f20">
              <v:stroke dashstyle="solid"/>
            </v:rect>
            <v:rect style="position:absolute;left:1152;top:1929;width:33;height:393" filled="true" fillcolor="#008256" stroked="false">
              <v:fill type="solid"/>
            </v:rect>
            <v:rect style="position:absolute;left:1152;top:1929;width:33;height:393" filled="false" stroked="true" strokeweight=".5pt" strokecolor="#231f20">
              <v:stroke dashstyle="solid"/>
            </v:rect>
            <v:rect style="position:absolute;left:1192;top:1902;width:33;height:420" filled="true" fillcolor="#008256" stroked="false">
              <v:fill type="solid"/>
            </v:rect>
            <v:rect style="position:absolute;left:1192;top:1902;width:33;height:420" filled="false" stroked="true" strokeweight=".5pt" strokecolor="#231f20">
              <v:stroke dashstyle="solid"/>
            </v:rect>
            <v:rect style="position:absolute;left:1231;top:1849;width:33;height:473" filled="true" fillcolor="#008256" stroked="false">
              <v:fill type="solid"/>
            </v:rect>
            <v:rect style="position:absolute;left:1231;top:1849;width:33;height:473" filled="false" stroked="true" strokeweight=".5pt" strokecolor="#231f20">
              <v:stroke dashstyle="solid"/>
            </v:rect>
            <v:rect style="position:absolute;left:1271;top:1929;width:33;height:393" filled="true" fillcolor="#008256" stroked="false">
              <v:fill type="solid"/>
            </v:rect>
            <v:rect style="position:absolute;left:1271;top:1929;width:33;height:393" filled="false" stroked="true" strokeweight=".5pt" strokecolor="#231f20">
              <v:stroke dashstyle="solid"/>
            </v:rect>
            <v:rect style="position:absolute;left:1311;top:1914;width:33;height:408" filled="true" fillcolor="#008256" stroked="false">
              <v:fill type="solid"/>
            </v:rect>
            <v:rect style="position:absolute;left:1311;top:1914;width:33;height:408" filled="false" stroked="true" strokeweight=".5pt" strokecolor="#231f20">
              <v:stroke dashstyle="solid"/>
            </v:rect>
            <v:rect style="position:absolute;left:1349;top:1982;width:35;height:340" filled="true" fillcolor="#008256" stroked="false">
              <v:fill type="solid"/>
            </v:rect>
            <v:rect style="position:absolute;left:1349;top:1982;width:35;height:340" filled="false" stroked="true" strokeweight=".5pt" strokecolor="#231f20">
              <v:stroke dashstyle="solid"/>
            </v:rect>
            <v:rect style="position:absolute;left:1390;top:1982;width:33;height:340" filled="true" fillcolor="#008256" stroked="false">
              <v:fill type="solid"/>
            </v:rect>
            <v:rect style="position:absolute;left:1390;top:1982;width:33;height:340" filled="false" stroked="true" strokeweight=".5pt" strokecolor="#231f20">
              <v:stroke dashstyle="solid"/>
            </v:rect>
            <v:rect style="position:absolute;left:1431;top:1997;width:33;height:325" filled="true" fillcolor="#008256" stroked="false">
              <v:fill type="solid"/>
            </v:rect>
            <v:rect style="position:absolute;left:1431;top:1997;width:33;height:325" filled="false" stroked="true" strokeweight=".5pt" strokecolor="#231f20">
              <v:stroke dashstyle="solid"/>
            </v:rect>
            <v:rect style="position:absolute;left:1471;top:2089;width:33;height:233" filled="true" fillcolor="#008256" stroked="false">
              <v:fill type="solid"/>
            </v:rect>
            <v:rect style="position:absolute;left:1471;top:2089;width:33;height:233" filled="false" stroked="true" strokeweight=".5pt" strokecolor="#231f20">
              <v:stroke dashstyle="solid"/>
            </v:rect>
            <v:rect style="position:absolute;left:1511;top:2037;width:33;height:285" filled="true" fillcolor="#008256" stroked="false">
              <v:fill type="solid"/>
            </v:rect>
            <v:rect style="position:absolute;left:1511;top:2037;width:33;height:285" filled="false" stroked="true" strokeweight=".5pt" strokecolor="#231f20">
              <v:stroke dashstyle="solid"/>
            </v:rect>
            <v:rect style="position:absolute;left:1551;top:2064;width:33;height:258" filled="true" fillcolor="#008256" stroked="false">
              <v:fill type="solid"/>
            </v:rect>
            <v:rect style="position:absolute;left:1551;top:2064;width:33;height:258" filled="false" stroked="true" strokeweight=".5pt" strokecolor="#231f20">
              <v:stroke dashstyle="solid"/>
            </v:rect>
            <v:rect style="position:absolute;left:1591;top:2077;width:33;height:245" filled="true" fillcolor="#008256" stroked="false">
              <v:fill type="solid"/>
            </v:rect>
            <v:rect style="position:absolute;left:1591;top:2077;width:33;height:245" filled="false" stroked="true" strokeweight=".5pt" strokecolor="#231f20">
              <v:stroke dashstyle="solid"/>
            </v:rect>
            <v:rect style="position:absolute;left:1631;top:2197;width:33;height:125" filled="true" fillcolor="#008256" stroked="false">
              <v:fill type="solid"/>
            </v:rect>
            <v:rect style="position:absolute;left:1631;top:2197;width:33;height:125" filled="false" stroked="true" strokeweight=".5pt" strokecolor="#231f20">
              <v:stroke dashstyle="solid"/>
            </v:rect>
            <v:rect style="position:absolute;left:1671;top:2319;width:33;height:55" filled="true" fillcolor="#008256" stroked="false">
              <v:fill type="solid"/>
            </v:rect>
            <v:rect style="position:absolute;left:1671;top:2319;width:33;height:55" filled="false" stroked="true" strokeweight=".5pt" strokecolor="#231f20">
              <v:stroke dashstyle="solid"/>
            </v:rect>
            <v:rect style="position:absolute;left:1712;top:2319;width:33;height:135" filled="true" fillcolor="#008256" stroked="false">
              <v:fill type="solid"/>
            </v:rect>
            <v:rect style="position:absolute;left:1712;top:2319;width:33;height:135" filled="false" stroked="true" strokeweight=".5pt" strokecolor="#231f20">
              <v:stroke dashstyle="solid"/>
            </v:rect>
            <v:rect style="position:absolute;left:1752;top:2319;width:33;height:150" filled="true" fillcolor="#008256" stroked="false">
              <v:fill type="solid"/>
            </v:rect>
            <v:rect style="position:absolute;left:1752;top:2319;width:33;height:150" filled="false" stroked="true" strokeweight=".5pt" strokecolor="#231f20">
              <v:stroke dashstyle="solid"/>
            </v:rect>
            <v:rect style="position:absolute;left:1792;top:2319;width:33;height:135" filled="true" fillcolor="#008256" stroked="false">
              <v:fill type="solid"/>
            </v:rect>
            <v:rect style="position:absolute;left:1792;top:2319;width:33;height:135" filled="false" stroked="true" strokeweight=".5pt" strokecolor="#231f20">
              <v:stroke dashstyle="solid"/>
            </v:rect>
            <v:rect style="position:absolute;left:1832;top:2319;width:33;height:83" filled="true" fillcolor="#008256" stroked="false">
              <v:fill type="solid"/>
            </v:rect>
            <v:rect style="position:absolute;left:1832;top:2319;width:33;height:83" filled="false" stroked="true" strokeweight=".5pt" strokecolor="#231f20">
              <v:stroke dashstyle="solid"/>
            </v:rect>
            <v:rect style="position:absolute;left:1872;top:2319;width:33;height:83" filled="true" fillcolor="#008256" stroked="false">
              <v:fill type="solid"/>
            </v:rect>
            <v:rect style="position:absolute;left:1872;top:2319;width:33;height:83" filled="false" stroked="true" strokeweight=".5pt" strokecolor="#231f20">
              <v:stroke dashstyle="solid"/>
            </v:rect>
            <v:rect style="position:absolute;left:1907;top:2319;width:33;height:95" filled="true" fillcolor="#008256" stroked="false">
              <v:fill type="solid"/>
            </v:rect>
            <v:rect style="position:absolute;left:1907;top:2319;width:33;height:95" filled="false" stroked="true" strokeweight=".5pt" strokecolor="#231f20">
              <v:stroke dashstyle="solid"/>
            </v:rect>
            <v:rect style="position:absolute;left:1950;top:2319;width:33;height:83" filled="true" fillcolor="#008256" stroked="false">
              <v:fill type="solid"/>
            </v:rect>
            <v:rect style="position:absolute;left:1950;top:2319;width:33;height:83" filled="false" stroked="true" strokeweight=".5pt" strokecolor="#231f20">
              <v:stroke dashstyle="solid"/>
            </v:rect>
            <v:rect style="position:absolute;left:1991;top:2319;width:33;height:83" filled="true" fillcolor="#008256" stroked="false">
              <v:fill type="solid"/>
            </v:rect>
            <v:rect style="position:absolute;left:1991;top:2319;width:33;height:83" filled="false" stroked="true" strokeweight=".5pt" strokecolor="#231f20">
              <v:stroke dashstyle="solid"/>
            </v:rect>
            <v:rect style="position:absolute;left:2032;top:2319;width:33;height:28" filled="true" fillcolor="#008256" stroked="false">
              <v:fill type="solid"/>
            </v:rect>
            <v:rect style="position:absolute;left:2032;top:2319;width:33;height:28" filled="false" stroked="true" strokeweight=".5pt" strokecolor="#231f20">
              <v:stroke dashstyle="solid"/>
            </v:rect>
            <v:rect style="position:absolute;left:2073;top:2319;width:33;height:55" filled="true" fillcolor="#008256" stroked="false">
              <v:fill type="solid"/>
            </v:rect>
            <v:rect style="position:absolute;left:2073;top:2319;width:33;height:55" filled="false" stroked="true" strokeweight=".5pt" strokecolor="#231f20">
              <v:stroke dashstyle="solid"/>
            </v:rect>
            <v:rect style="position:absolute;left:2110;top:2292;width:33;height:30" filled="true" fillcolor="#008256" stroked="false">
              <v:fill type="solid"/>
            </v:rect>
            <v:rect style="position:absolute;left:2110;top:2292;width:33;height:30" filled="false" stroked="true" strokeweight=".5pt" strokecolor="#231f20">
              <v:stroke dashstyle="solid"/>
            </v:rect>
            <v:rect style="position:absolute;left:2146;top:2224;width:33;height:98" filled="true" fillcolor="#008256" stroked="false">
              <v:fill type="solid"/>
            </v:rect>
            <v:rect style="position:absolute;left:2146;top:2224;width:33;height:98" filled="false" stroked="true" strokeweight=".5pt" strokecolor="#231f20">
              <v:stroke dashstyle="solid"/>
            </v:rect>
            <v:rect style="position:absolute;left:2187;top:2157;width:33;height:165" filled="true" fillcolor="#008256" stroked="false">
              <v:fill type="solid"/>
            </v:rect>
            <v:rect style="position:absolute;left:2187;top:2157;width:33;height:165" filled="false" stroked="true" strokeweight=".5pt" strokecolor="#231f20">
              <v:stroke dashstyle="solid"/>
            </v:rect>
            <v:rect style="position:absolute;left:2228;top:2089;width:33;height:233" filled="true" fillcolor="#008256" stroked="false">
              <v:fill type="solid"/>
            </v:rect>
            <v:rect style="position:absolute;left:2228;top:2089;width:33;height:233" filled="false" stroked="true" strokeweight=".5pt" strokecolor="#231f20">
              <v:stroke dashstyle="solid"/>
            </v:rect>
            <v:rect style="position:absolute;left:2270;top:2104;width:33;height:218" filled="true" fillcolor="#008256" stroked="false">
              <v:fill type="solid"/>
            </v:rect>
            <v:rect style="position:absolute;left:2270;top:2104;width:33;height:218" filled="false" stroked="true" strokeweight=".5pt" strokecolor="#231f20">
              <v:stroke dashstyle="solid"/>
            </v:rect>
            <v:rect style="position:absolute;left:2312;top:2089;width:33;height:233" filled="true" fillcolor="#008256" stroked="false">
              <v:fill type="solid"/>
            </v:rect>
            <v:rect style="position:absolute;left:2312;top:2089;width:33;height:233" filled="false" stroked="true" strokeweight=".5pt" strokecolor="#231f20">
              <v:stroke dashstyle="solid"/>
            </v:rect>
            <v:rect style="position:absolute;left:2353;top:2077;width:33;height:245" filled="true" fillcolor="#008256" stroked="false">
              <v:fill type="solid"/>
            </v:rect>
            <v:rect style="position:absolute;left:2353;top:2077;width:33;height:245" filled="false" stroked="true" strokeweight=".5pt" strokecolor="#231f20">
              <v:stroke dashstyle="solid"/>
            </v:rect>
            <v:rect style="position:absolute;left:2390;top:1982;width:33;height:340" filled="true" fillcolor="#008256" stroked="false">
              <v:fill type="solid"/>
            </v:rect>
            <v:rect style="position:absolute;left:2390;top:1982;width:33;height:340" filled="false" stroked="true" strokeweight=".5pt" strokecolor="#231f20">
              <v:stroke dashstyle="solid"/>
            </v:rect>
            <v:rect style="position:absolute;left:2425;top:2009;width:35;height:313" filled="true" fillcolor="#008256" stroked="false">
              <v:fill type="solid"/>
            </v:rect>
            <v:rect style="position:absolute;left:2425;top:2009;width:35;height:313" filled="false" stroked="true" strokeweight=".5pt" strokecolor="#231f20">
              <v:stroke dashstyle="solid"/>
            </v:rect>
            <v:rect style="position:absolute;left:2467;top:1969;width:33;height:353" filled="true" fillcolor="#008256" stroked="false">
              <v:fill type="solid"/>
            </v:rect>
            <v:rect style="position:absolute;left:2467;top:1969;width:33;height:353" filled="false" stroked="true" strokeweight=".5pt" strokecolor="#231f20">
              <v:stroke dashstyle="solid"/>
            </v:rect>
            <v:rect style="position:absolute;left:2507;top:2104;width:35;height:218" filled="true" fillcolor="#008256" stroked="false">
              <v:fill type="solid"/>
            </v:rect>
            <v:rect style="position:absolute;left:2507;top:2104;width:35;height:218" filled="false" stroked="true" strokeweight=".5pt" strokecolor="#231f20">
              <v:stroke dashstyle="solid"/>
            </v:rect>
            <v:rect style="position:absolute;left:2550;top:2037;width:33;height:285" filled="true" fillcolor="#008256" stroked="false">
              <v:fill type="solid"/>
            </v:rect>
            <v:rect style="position:absolute;left:2550;top:2037;width:33;height:285" filled="false" stroked="true" strokeweight=".5pt" strokecolor="#231f20">
              <v:stroke dashstyle="solid"/>
            </v:rect>
            <v:rect style="position:absolute;left:2590;top:2129;width:35;height:193" filled="true" fillcolor="#008256" stroked="false">
              <v:fill type="solid"/>
            </v:rect>
            <v:rect style="position:absolute;left:2590;top:2129;width:35;height:193" filled="false" stroked="true" strokeweight=".5pt" strokecolor="#231f20">
              <v:stroke dashstyle="solid"/>
            </v:rect>
            <v:rect style="position:absolute;left:2632;top:2089;width:33;height:233" filled="true" fillcolor="#008256" stroked="false">
              <v:fill type="solid"/>
            </v:rect>
            <v:rect style="position:absolute;left:2632;top:2089;width:33;height:233" filled="false" stroked="true" strokeweight=".5pt" strokecolor="#231f20">
              <v:stroke dashstyle="solid"/>
            </v:rect>
            <v:rect style="position:absolute;left:2668;top:2049;width:33;height:273" filled="true" fillcolor="#008256" stroked="false">
              <v:fill type="solid"/>
            </v:rect>
            <v:rect style="position:absolute;left:2668;top:2049;width:33;height:273" filled="false" stroked="true" strokeweight=".5pt" strokecolor="#231f20">
              <v:stroke dashstyle="solid"/>
            </v:rect>
            <v:rect style="position:absolute;left:2705;top:2022;width:33;height:300" filled="true" fillcolor="#008256" stroked="false">
              <v:fill type="solid"/>
            </v:rect>
            <v:rect style="position:absolute;left:2705;top:2022;width:33;height:300" filled="false" stroked="true" strokeweight=".5pt" strokecolor="#231f20">
              <v:stroke dashstyle="solid"/>
            </v:rect>
            <v:rect style="position:absolute;left:2745;top:1957;width:35;height:365" filled="true" fillcolor="#008256" stroked="false">
              <v:fill type="solid"/>
            </v:rect>
            <v:rect style="position:absolute;left:2745;top:1957;width:35;height:365" filled="false" stroked="true" strokeweight=".5pt" strokecolor="#231f20">
              <v:stroke dashstyle="solid"/>
            </v:rect>
            <v:rect style="position:absolute;left:2787;top:1929;width:33;height:393" filled="true" fillcolor="#008256" stroked="false">
              <v:fill type="solid"/>
            </v:rect>
            <v:rect style="position:absolute;left:2787;top:1929;width:33;height:393" filled="false" stroked="true" strokeweight=".5pt" strokecolor="#231f20">
              <v:stroke dashstyle="solid"/>
            </v:rect>
            <v:rect style="position:absolute;left:2830;top:1822;width:33;height:500" filled="true" fillcolor="#008256" stroked="false">
              <v:fill type="solid"/>
            </v:rect>
            <v:rect style="position:absolute;left:2830;top:1822;width:33;height:500" filled="false" stroked="true" strokeweight=".5pt" strokecolor="#231f20">
              <v:stroke dashstyle="solid"/>
            </v:rect>
            <v:rect style="position:absolute;left:2871;top:1849;width:33;height:473" filled="true" fillcolor="#008256" stroked="false">
              <v:fill type="solid"/>
            </v:rect>
            <v:rect style="position:absolute;left:2871;top:1849;width:33;height:473" filled="false" stroked="true" strokeweight=".5pt" strokecolor="#231f20">
              <v:stroke dashstyle="solid"/>
            </v:rect>
            <v:rect style="position:absolute;left:2907;top:1794;width:33;height:528" filled="true" fillcolor="#008256" stroked="false">
              <v:fill type="solid"/>
            </v:rect>
            <v:rect style="position:absolute;left:2907;top:1794;width:33;height:528" filled="false" stroked="true" strokeweight=".5pt" strokecolor="#231f20">
              <v:stroke dashstyle="solid"/>
            </v:rect>
            <v:rect style="position:absolute;left:2942;top:1807;width:35;height:515" filled="true" fillcolor="#008256" stroked="false">
              <v:fill type="solid"/>
            </v:rect>
            <v:rect style="position:absolute;left:2942;top:1807;width:35;height:515" filled="false" stroked="true" strokeweight=".5pt" strokecolor="#231f20">
              <v:stroke dashstyle="solid"/>
            </v:rect>
            <v:rect style="position:absolute;left:2985;top:1699;width:33;height:623" filled="true" fillcolor="#008256" stroked="false">
              <v:fill type="solid"/>
            </v:rect>
            <v:rect style="position:absolute;left:2985;top:1699;width:33;height:623" filled="false" stroked="true" strokeweight=".5pt" strokecolor="#231f20">
              <v:stroke dashstyle="solid"/>
            </v:rect>
            <v:rect style="position:absolute;left:3025;top:1634;width:35;height:688" filled="true" fillcolor="#008256" stroked="false">
              <v:fill type="solid"/>
            </v:rect>
            <v:rect style="position:absolute;left:3025;top:1634;width:35;height:688" filled="false" stroked="true" strokeweight=".5pt" strokecolor="#231f20">
              <v:stroke dashstyle="solid"/>
            </v:rect>
            <v:rect style="position:absolute;left:3067;top:1607;width:33;height:715" filled="true" fillcolor="#008256" stroked="false">
              <v:fill type="solid"/>
            </v:rect>
            <v:rect style="position:absolute;left:3067;top:1607;width:33;height:715" filled="false" stroked="true" strokeweight=".5pt" strokecolor="#231f20">
              <v:stroke dashstyle="solid"/>
            </v:rect>
            <v:rect style="position:absolute;left:3107;top:1647;width:35;height:675" filled="true" fillcolor="#008256" stroked="false">
              <v:fill type="solid"/>
            </v:rect>
            <v:rect style="position:absolute;left:3107;top:1647;width:35;height:675" filled="false" stroked="true" strokeweight=".5pt" strokecolor="#231f20">
              <v:stroke dashstyle="solid"/>
            </v:rect>
            <v:rect style="position:absolute;left:3150;top:1767;width:33;height:555" filled="true" fillcolor="#008256" stroked="false">
              <v:fill type="solid"/>
            </v:rect>
            <v:rect style="position:absolute;left:3150;top:1767;width:33;height:555" filled="false" stroked="true" strokeweight=".5pt" strokecolor="#231f20">
              <v:stroke dashstyle="solid"/>
            </v:rect>
            <v:rect style="position:absolute;left:3187;top:1794;width:33;height:528" filled="true" fillcolor="#008256" stroked="false">
              <v:fill type="solid"/>
            </v:rect>
            <v:rect style="position:absolute;left:3187;top:1794;width:33;height:528" filled="false" stroked="true" strokeweight=".5pt" strokecolor="#231f20">
              <v:stroke dashstyle="solid"/>
            </v:rect>
            <v:rect style="position:absolute;left:3222;top:1874;width:33;height:448" filled="true" fillcolor="#008256" stroked="false">
              <v:fill type="solid"/>
            </v:rect>
            <v:rect style="position:absolute;left:3222;top:1874;width:33;height:448" filled="false" stroked="true" strokeweight=".5pt" strokecolor="#231f20">
              <v:stroke dashstyle="solid"/>
            </v:rect>
            <v:rect style="position:absolute;left:3265;top:1929;width:33;height:393" filled="true" fillcolor="#008256" stroked="false">
              <v:fill type="solid"/>
            </v:rect>
            <v:rect style="position:absolute;left:3265;top:1929;width:33;height:393" filled="false" stroked="true" strokeweight=".5pt" strokecolor="#231f20">
              <v:stroke dashstyle="solid"/>
            </v:rect>
            <v:rect style="position:absolute;left:3306;top:2022;width:33;height:300" filled="true" fillcolor="#008256" stroked="false">
              <v:fill type="solid"/>
            </v:rect>
            <v:rect style="position:absolute;left:3306;top:2022;width:33;height:300" filled="false" stroked="true" strokeweight=".5pt" strokecolor="#231f20">
              <v:stroke dashstyle="solid"/>
            </v:rect>
            <v:rect style="position:absolute;left:3347;top:2009;width:33;height:313" filled="true" fillcolor="#008256" stroked="false">
              <v:fill type="solid"/>
            </v:rect>
            <v:rect style="position:absolute;left:3347;top:2009;width:33;height:313" filled="false" stroked="true" strokeweight=".5pt" strokecolor="#231f20">
              <v:stroke dashstyle="solid"/>
            </v:rect>
            <v:rect style="position:absolute;left:3387;top:1969;width:35;height:353" filled="true" fillcolor="#008256" stroked="false">
              <v:fill type="solid"/>
            </v:rect>
            <v:rect style="position:absolute;left:3387;top:1969;width:35;height:353" filled="false" stroked="true" strokeweight=".5pt" strokecolor="#231f20">
              <v:stroke dashstyle="solid"/>
            </v:rect>
            <v:rect style="position:absolute;left:3430;top:1874;width:33;height:448" filled="true" fillcolor="#008256" stroked="false">
              <v:fill type="solid"/>
            </v:rect>
            <v:rect style="position:absolute;left:3430;top:1874;width:33;height:448" filled="false" stroked="true" strokeweight=".5pt" strokecolor="#231f20">
              <v:stroke dashstyle="solid"/>
            </v:rect>
            <v:rect style="position:absolute;left:3466;top:1957;width:33;height:365" filled="true" fillcolor="#008256" stroked="false">
              <v:fill type="solid"/>
            </v:rect>
            <v:rect style="position:absolute;left:3466;top:1957;width:33;height:365" filled="false" stroked="true" strokeweight=".5pt" strokecolor="#231f20">
              <v:stroke dashstyle="solid"/>
            </v:rect>
            <v:rect style="position:absolute;left:3502;top:2037;width:33;height:285" filled="true" fillcolor="#008256" stroked="false">
              <v:fill type="solid"/>
            </v:rect>
            <v:rect style="position:absolute;left:3502;top:2037;width:33;height:285" filled="false" stroked="true" strokeweight=".5pt" strokecolor="#231f20">
              <v:stroke dashstyle="solid"/>
            </v:rect>
            <v:rect style="position:absolute;left:3542;top:2022;width:35;height:300" filled="true" fillcolor="#008256" stroked="false">
              <v:fill type="solid"/>
            </v:rect>
            <v:rect style="position:absolute;left:3542;top:2022;width:35;height:300" filled="false" stroked="true" strokeweight=".5pt" strokecolor="#231f20">
              <v:stroke dashstyle="solid"/>
            </v:rect>
            <v:rect style="position:absolute;left:3585;top:1942;width:33;height:380" filled="true" fillcolor="#008256" stroked="false">
              <v:fill type="solid"/>
            </v:rect>
            <v:rect style="position:absolute;left:3585;top:1942;width:33;height:380" filled="false" stroked="true" strokeweight=".5pt" strokecolor="#231f20">
              <v:stroke dashstyle="solid"/>
            </v:rect>
            <v:rect style="position:absolute;left:3627;top:1834;width:33;height:488" filled="true" fillcolor="#008256" stroked="false">
              <v:fill type="solid"/>
            </v:rect>
            <v:rect style="position:absolute;left:3627;top:1834;width:33;height:488" filled="false" stroked="true" strokeweight=".5pt" strokecolor="#231f20">
              <v:stroke dashstyle="solid"/>
            </v:rect>
            <v:rect style="position:absolute;left:3667;top:1902;width:35;height:420" filled="true" fillcolor="#008256" stroked="false">
              <v:fill type="solid"/>
            </v:rect>
            <v:rect style="position:absolute;left:3667;top:1902;width:35;height:420" filled="false" stroked="true" strokeweight=".5pt" strokecolor="#231f20">
              <v:stroke dashstyle="solid"/>
            </v:rect>
            <v:rect style="position:absolute;left:3705;top:1822;width:33;height:500" filled="true" fillcolor="#008256" stroked="false">
              <v:fill type="solid"/>
            </v:rect>
            <v:rect style="position:absolute;left:3705;top:1822;width:33;height:500" filled="false" stroked="true" strokeweight=".5pt" strokecolor="#231f20">
              <v:stroke dashstyle="solid"/>
            </v:rect>
            <v:rect style="position:absolute;left:3741;top:1807;width:33;height:515" filled="true" fillcolor="#008256" stroked="false">
              <v:fill type="solid"/>
            </v:rect>
            <v:shape style="position:absolute;left:955;top:1807;width:2910;height:515" coordorigin="955,1807" coordsize="2910,515" path="m3741,1807l3774,1807,3774,2322,3741,2322,3741,1807xm955,2320l3865,2322e" filled="false" stroked="true" strokeweight=".5pt" strokecolor="#231f20">
              <v:path arrowok="t"/>
              <v:stroke dashstyle="solid"/>
            </v:shape>
            <v:line style="position:absolute" from="965,1529" to="1028,1529" stroked="true" strokeweight="1.125pt" strokecolor="#9aca3c">
              <v:stroke dashstyle="solid"/>
            </v:line>
            <v:shape style="position:absolute;left:1017;top:1404;width:195;height:135" coordorigin="1018,1405" coordsize="195,135" path="m1018,1527l1058,1540m1058,1540l1090,1500m1090,1500l1130,1485m1130,1485l1173,1445m1173,1445l1213,1405e" filled="false" stroked="true" strokeweight="1pt" strokecolor="#9aca3c">
              <v:path arrowok="t"/>
              <v:stroke dashstyle="solid"/>
            </v:shape>
            <v:line style="position:absolute" from="1203,1406" to="1265,1406" stroked="true" strokeweight="1.125pt" strokecolor="#9aca3c">
              <v:stroke dashstyle="solid"/>
            </v:line>
            <v:shape style="position:absolute;left:1255;top:1352;width:83;height:53" coordorigin="1255,1352" coordsize="83,53" path="m1255,1405l1298,1365m1298,1365l1338,1352e" filled="false" stroked="true" strokeweight="1pt" strokecolor="#9aca3c">
              <v:path arrowok="t"/>
              <v:stroke dashstyle="solid"/>
            </v:shape>
            <v:line style="position:absolute" from="1328,1354" to="1380,1354" stroked="true" strokeweight="1.125pt" strokecolor="#9aca3c">
              <v:stroke dashstyle="solid"/>
            </v:line>
            <v:shape style="position:absolute;left:1370;top:1309;width:83;height:43" coordorigin="1370,1310" coordsize="83,43" path="m1370,1352l1410,1337m1410,1337l1453,1310e" filled="false" stroked="true" strokeweight="1pt" strokecolor="#9aca3c">
              <v:path arrowok="t"/>
              <v:stroke dashstyle="solid"/>
            </v:shape>
            <v:line style="position:absolute" from="1443,1311" to="1503,1311" stroked="true" strokeweight="1.125pt" strokecolor="#9aca3c">
              <v:stroke dashstyle="solid"/>
            </v:line>
            <v:shape style="position:absolute;left:1492;top:1244;width:83;height:65" coordorigin="1493,1245" coordsize="83,65" path="m1493,1310l1535,1297m1535,1297l1575,1245e" filled="false" stroked="true" strokeweight="1pt" strokecolor="#9aca3c">
              <v:path arrowok="t"/>
              <v:stroke dashstyle="solid"/>
            </v:shape>
            <v:line style="position:absolute" from="1565,1246" to="1628,1246" stroked="true" strokeweight="1.125pt" strokecolor="#9aca3c">
              <v:stroke dashstyle="solid"/>
            </v:line>
            <v:shape style="position:absolute;left:1617;top:1202;width:115;height:43" coordorigin="1618,1202" coordsize="115,43" path="m1618,1245l1648,1230m1648,1230l1690,1217m1690,1217l1733,1202e" filled="false" stroked="true" strokeweight="1pt" strokecolor="#9aca3c">
              <v:path arrowok="t"/>
              <v:stroke dashstyle="solid"/>
            </v:shape>
            <v:shape style="position:absolute;left:1722;top:1203;width:103;height:2" coordorigin="1723,1204" coordsize="103,0" path="m1723,1204l1783,1204m1763,1204l1825,1204e" filled="false" stroked="true" strokeweight="1.125pt" strokecolor="#9aca3c">
              <v:path arrowok="t"/>
              <v:stroke dashstyle="solid"/>
            </v:shape>
            <v:line style="position:absolute" from="1815,1202" to="1855,1190" stroked="true" strokeweight="1pt" strokecolor="#9aca3c">
              <v:stroke dashstyle="solid"/>
            </v:line>
            <v:line style="position:absolute" from="1845,1191" to="1898,1191" stroked="true" strokeweight="1.125pt" strokecolor="#9aca3c">
              <v:stroke dashstyle="solid"/>
            </v:line>
            <v:line style="position:absolute" from="1888,1190" to="1928,1177" stroked="true" strokeweight="1pt" strokecolor="#9aca3c">
              <v:stroke dashstyle="solid"/>
            </v:line>
            <v:shape style="position:absolute;left:1917;top:1178;width:103;height:2" coordorigin="1918,1179" coordsize="103,0" path="m1918,1179l1980,1179m1960,1179l2020,1179e" filled="false" stroked="true" strokeweight="1.125pt" strokecolor="#9aca3c">
              <v:path arrowok="t"/>
              <v:stroke dashstyle="solid"/>
            </v:shape>
            <v:shape style="position:absolute;left:2010;top:1149;width:85;height:28" coordorigin="2010,1150" coordsize="85,28" path="m2010,1177l2053,1162m2053,1162l2095,1150e" filled="false" stroked="true" strokeweight="1pt" strokecolor="#9aca3c">
              <v:path arrowok="t"/>
              <v:stroke dashstyle="solid"/>
            </v:shape>
            <v:line style="position:absolute" from="2085,1151" to="2145,1151" stroked="true" strokeweight="1.125pt" strokecolor="#9aca3c">
              <v:stroke dashstyle="solid"/>
            </v:line>
            <v:line style="position:absolute" from="2135,1150" to="2168,1137" stroked="true" strokeweight="1pt" strokecolor="#9aca3c">
              <v:stroke dashstyle="solid"/>
            </v:line>
            <v:shape style="position:absolute;left:2157;top:1138;width:225;height:2" coordorigin="2158,1139" coordsize="225,0" path="m2158,1139l2218,1139m2198,1139l2260,1139m2240,1139l2300,1139m2280,1139l2343,1139m2323,1139l2383,1139e" filled="false" stroked="true" strokeweight="1.125pt" strokecolor="#9aca3c">
              <v:path arrowok="t"/>
              <v:stroke dashstyle="solid"/>
            </v:shape>
            <v:shape style="position:absolute;left:2372;top:1082;width:280;height:68" coordorigin="2373,1082" coordsize="280,68" path="m2373,1137l2415,1150m2415,1150l2445,1137m2445,1137l2488,1150m2488,1150l2528,1095m2528,1095l2570,1110m2570,1110l2613,1095m2613,1095l2653,1082e" filled="false" stroked="true" strokeweight="1pt" strokecolor="#9aca3c">
              <v:path arrowok="t"/>
              <v:stroke dashstyle="solid"/>
            </v:shape>
            <v:line style="position:absolute" from="2643,1084" to="2695,1084" stroked="true" strokeweight="1.125pt" strokecolor="#9aca3c">
              <v:stroke dashstyle="solid"/>
            </v:line>
            <v:shape style="position:absolute;left:2685;top:1082;width:83;height:13" coordorigin="2685,1082" coordsize="83,13" path="m2685,1082l2725,1095m2725,1095l2768,1082e" filled="false" stroked="true" strokeweight="1pt" strokecolor="#9aca3c">
              <v:path arrowok="t"/>
              <v:stroke dashstyle="solid"/>
            </v:shape>
            <v:shape style="position:absolute;left:2757;top:1083;width:103;height:2" coordorigin="2758,1084" coordsize="103,0" path="m2758,1084l2818,1084m2798,1084l2860,1084e" filled="false" stroked="true" strokeweight="1.125pt" strokecolor="#9aca3c">
              <v:path arrowok="t"/>
              <v:stroke dashstyle="solid"/>
            </v:shape>
            <v:line style="position:absolute" from="2850,1082" to="2890,1042" stroked="true" strokeweight="1pt" strokecolor="#9aca3c">
              <v:stroke dashstyle="solid"/>
            </v:line>
            <v:line style="position:absolute" from="2880,1044" to="2943,1044" stroked="true" strokeweight="1.125pt" strokecolor="#9aca3c">
              <v:stroke dashstyle="solid"/>
            </v:line>
            <v:line style="position:absolute" from="2933,1042" to="2963,1030" stroked="true" strokeweight="1pt" strokecolor="#9aca3c">
              <v:stroke dashstyle="solid"/>
            </v:line>
            <v:line style="position:absolute" from="2953,1031" to="3015,1031" stroked="true" strokeweight="1.125pt" strokecolor="#9aca3c">
              <v:stroke dashstyle="solid"/>
            </v:line>
            <v:line style="position:absolute" from="3005,1030" to="3048,1002" stroked="true" strokeweight="1pt" strokecolor="#9aca3c">
              <v:stroke dashstyle="solid"/>
            </v:line>
            <v:line style="position:absolute" from="3038,1004" to="3098,1004" stroked="true" strokeweight="1.125pt" strokecolor="#9aca3c">
              <v:stroke dashstyle="solid"/>
            </v:line>
            <v:line style="position:absolute" from="3088,1002" to="3130,987" stroked="true" strokeweight="1pt" strokecolor="#9aca3c">
              <v:stroke dashstyle="solid"/>
            </v:line>
            <v:shape style="position:absolute;left:3120;top:988;width:215;height:2" coordorigin="3120,989" coordsize="215,0" path="m3120,989l3180,989m3160,989l3213,989m3193,989l3253,989m3233,989l3295,989m3275,989l3335,989e" filled="false" stroked="true" strokeweight="1.125pt" strokecolor="#9aca3c">
              <v:path arrowok="t"/>
              <v:stroke dashstyle="solid"/>
            </v:shape>
            <v:line style="position:absolute" from="3325,987" to="3368,1015" stroked="true" strokeweight="1pt" strokecolor="#9aca3c">
              <v:stroke dashstyle="solid"/>
            </v:line>
            <v:line style="position:absolute" from="3358,1016" to="3420,1016" stroked="true" strokeweight="1.125pt" strokecolor="#9aca3c">
              <v:stroke dashstyle="solid"/>
            </v:line>
            <v:shape style="position:absolute;left:3410;top:1014;width:238;height:40" coordorigin="3410,1015" coordsize="238,40" path="m3410,1015l3450,1030m3450,1030l3483,1015m3483,1015l3523,1042m3523,1042l3565,1030m3565,1030l3605,1042m3605,1042l3648,1055e" filled="false" stroked="true" strokeweight="1pt" strokecolor="#9aca3c">
              <v:path arrowok="t"/>
              <v:stroke dashstyle="solid"/>
            </v:shape>
            <v:shape style="position:absolute;left:3637;top:1056;width:103;height:2" coordorigin="3638,1056" coordsize="103,0" path="m3638,1056l3698,1056m3678,1056l3740,1056e" filled="false" stroked="true" strokeweight="1.125pt" strokecolor="#9aca3c">
              <v:path arrowok="t"/>
              <v:stroke dashstyle="solid"/>
            </v:shape>
            <v:line style="position:absolute" from="3730,1055" to="3760,1070" stroked="true" strokeweight="1pt" strokecolor="#9aca3c">
              <v:stroke dashstyle="solid"/>
            </v:line>
            <v:shape style="position:absolute;left:3750;top:1071;width:105;height:2" coordorigin="3750,1071" coordsize="105,0" path="m3750,1071l3813,1071m3793,1071l3855,1071e" filled="false" stroked="true" strokeweight="1.125pt" strokecolor="#9aca3c">
              <v:path arrowok="t"/>
              <v:stroke dashstyle="solid"/>
            </v:shape>
            <v:shape style="position:absolute;left:975;top:1002;width:83;height:228" coordorigin="975,1002" coordsize="83,228" path="m975,1230l1018,1162m1018,1162l1058,1002e" filled="false" stroked="true" strokeweight="1pt" strokecolor="#0066a5">
              <v:path arrowok="t"/>
              <v:stroke dashstyle="solid"/>
            </v:shape>
            <v:line style="position:absolute" from="1048,1004" to="1100,1004" stroked="true" strokeweight="1.125pt" strokecolor="#0066a5">
              <v:stroke dashstyle="solid"/>
            </v:line>
            <v:shape style="position:absolute;left:1090;top:934;width:765;height:418" coordorigin="1090,935" coordsize="765,418" path="m1090,1002l1130,1042m1130,1042l1173,1055m1173,1055l1213,987m1213,987l1255,935m1255,935l1298,975m1298,975l1338,935m1338,935l1370,1015m1370,1015l1410,1002m1410,1002l1453,987m1453,987l1493,1070m1493,1070l1535,1030m1535,1030l1575,987m1575,987l1618,1002m1618,1002l1648,1122m1648,1122l1690,1270m1690,1270l1733,1337m1733,1337l1773,1352m1773,1352l1815,1337m1815,1337l1855,1270e" filled="false" stroked="true" strokeweight="1pt" strokecolor="#0066a5">
              <v:path arrowok="t"/>
              <v:stroke dashstyle="solid"/>
            </v:shape>
            <v:shape style="position:absolute;left:1845;top:1271;width:93;height:2" coordorigin="1845,1271" coordsize="93,0" path="m1845,1271l1898,1271m1878,1271l1938,1271e" filled="false" stroked="true" strokeweight="1.125pt" strokecolor="#0066a5">
              <v:path arrowok="t"/>
              <v:stroke dashstyle="solid"/>
            </v:shape>
            <v:shape style="position:absolute;left:1927;top:894;width:405;height:375" coordorigin="1928,895" coordsize="405,375" path="m1928,1270l1970,1245m1970,1245l2010,1257m2010,1257l2053,1190m2053,1190l2095,1202m2095,1202l2135,1110m2135,1110l2168,1055m2168,1055l2208,975m2208,975l2250,907m2250,907l2290,922m2290,922l2333,895e" filled="false" stroked="true" strokeweight="1pt" strokecolor="#0066a5">
              <v:path arrowok="t"/>
              <v:stroke dashstyle="solid"/>
            </v:shape>
            <v:line style="position:absolute" from="2323,896" to="2383,896" stroked="true" strokeweight="1.125pt" strokecolor="#0066a5">
              <v:stroke dashstyle="solid"/>
            </v:line>
            <v:shape style="position:absolute;left:2372;top:289;width:1388;height:618" coordorigin="2373,290" coordsize="1388,618" path="m2373,895l2415,800m2415,800l2445,827m2445,827l2488,787m2488,787l2528,880m2528,880l2570,827m2570,827l2613,907m2613,907l2653,867m2653,867l2685,815m2685,815l2725,800m2725,800l2768,720m2768,720l2808,692m2808,692l2850,600m2850,600l2890,572m2890,572l2933,517m2933,517l2963,505m2963,505l3005,410m3005,410l3048,317m3048,317l3088,290m3088,290l3130,317m3130,317l3170,437m3170,437l3203,450m3203,450l3243,545m3243,545l3285,600m3285,600l3325,692m3325,692l3368,707m3368,707l3410,665m3410,665l3450,585m3450,585l3483,652m3483,652l3523,760m3523,760l3565,720m3565,720l3605,665m3605,665l3648,557m3648,557l3688,640m3688,640l3730,557m3730,557l3760,545e" filled="false" stroked="true" strokeweight="1pt" strokecolor="#0066a5">
              <v:path arrowok="t"/>
              <v:stroke dashstyle="solid"/>
            </v:shape>
            <v:shape style="position:absolute;left:1985;top:103;width:1173;height:254" type="#_x0000_t202" filled="false" stroked="false">
              <v:textbox inset="0,0,0,0">
                <w:txbxContent>
                  <w:p>
                    <w:pPr>
                      <w:spacing w:line="208" w:lineRule="auto" w:before="9"/>
                      <w:ind w:left="60" w:right="0" w:hanging="60"/>
                      <w:jc w:val="left"/>
                      <w:rPr>
                        <w:sz w:val="12"/>
                      </w:rPr>
                    </w:pPr>
                    <w:r>
                      <w:rPr>
                        <w:color w:val="231F20"/>
                        <w:sz w:val="12"/>
                      </w:rPr>
                      <w:t>Headline annual growth in nominal earnings</w:t>
                    </w:r>
                  </w:p>
                </w:txbxContent>
              </v:textbox>
              <w10:wrap type="none"/>
            </v:shape>
            <v:shape style="position:absolute;left:2802;top:1093;width:744;height:134" type="#_x0000_t202" filled="false" stroked="false">
              <v:textbox inset="0,0,0,0">
                <w:txbxContent>
                  <w:p>
                    <w:pPr>
                      <w:spacing w:line="133" w:lineRule="exact" w:before="0"/>
                      <w:ind w:left="0" w:right="0" w:firstLine="0"/>
                      <w:jc w:val="left"/>
                      <w:rPr>
                        <w:sz w:val="12"/>
                      </w:rPr>
                    </w:pPr>
                    <w:r>
                      <w:rPr>
                        <w:color w:val="231F20"/>
                        <w:sz w:val="12"/>
                      </w:rPr>
                      <w:t>Settlements (a)</w:t>
                    </w:r>
                  </w:p>
                </w:txbxContent>
              </v:textbox>
              <w10:wrap type="none"/>
            </v:shape>
            <v:shape style="position:absolute;left:2111;top:1725;width:707;height:133" type="#_x0000_t202" filled="false" stroked="false">
              <v:textbox inset="0,0,0,0">
                <w:txbxContent>
                  <w:p>
                    <w:pPr>
                      <w:spacing w:line="133" w:lineRule="exact" w:before="0"/>
                      <w:ind w:left="0" w:right="0" w:firstLine="0"/>
                      <w:jc w:val="left"/>
                      <w:rPr>
                        <w:sz w:val="12"/>
                      </w:rPr>
                    </w:pPr>
                    <w:r>
                      <w:rPr>
                        <w:color w:val="231F20"/>
                        <w:sz w:val="12"/>
                      </w:rPr>
                      <w:t>Wage drift (b)</w:t>
                    </w:r>
                  </w:p>
                </w:txbxContent>
              </v:textbox>
              <w10:wrap type="none"/>
            </v:shape>
            <w10:wrap type="none"/>
          </v:group>
        </w:pict>
      </w:r>
      <w:r>
        <w:rPr/>
        <w:pict>
          <v:line style="position:absolute;mso-position-horizontal-relative:page;mso-position-vertical-relative:paragraph;z-index:16142336" from="42.875pt,7.338027pt" to="38.542pt,7.338027pt" stroked="true" strokeweight=".5pt" strokecolor="#231f20">
            <v:stroke dashstyle="solid"/>
            <w10:wrap type="none"/>
          </v:line>
        </w:pict>
      </w:r>
      <w:r>
        <w:rPr/>
        <w:pict>
          <v:line style="position:absolute;mso-position-horizontal-relative:page;mso-position-vertical-relative:paragraph;z-index:16145920" from="202.875007pt,7.276028pt" to="198.542007pt,7.276028pt" stroked="true" strokeweight=".5pt" strokecolor="#231f20">
            <v:stroke dashstyle="solid"/>
            <w10:wrap type="none"/>
          </v:line>
        </w:pict>
      </w:r>
      <w:r>
        <w:rPr>
          <w:color w:val="231F20"/>
          <w:sz w:val="12"/>
        </w:rPr>
        <w:t>6</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142848" from="42.875pt,7.408619pt" to="38.542pt,7.408619pt" stroked="true" strokeweight=".5pt" strokecolor="#231f20">
            <v:stroke dashstyle="solid"/>
            <w10:wrap type="none"/>
          </v:line>
        </w:pict>
      </w:r>
      <w:r>
        <w:rPr/>
        <w:pict>
          <v:line style="position:absolute;mso-position-horizontal-relative:page;mso-position-vertical-relative:paragraph;z-index:16146432" from="202.875007pt,7.346619pt" to="198.542007pt,7.346619pt" stroked="true" strokeweight=".5pt" strokecolor="#231f20">
            <v:stroke dashstyle="solid"/>
            <w10:wrap type="none"/>
          </v:line>
        </w:pict>
      </w:r>
      <w:r>
        <w:rPr>
          <w:color w:val="231F20"/>
          <w:sz w:val="12"/>
        </w:rPr>
        <w:t>5</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144384" from="42.875pt,7.479241pt" to="38.542pt,7.479241pt" stroked="true" strokeweight=".5pt" strokecolor="#231f20">
            <v:stroke dashstyle="solid"/>
            <w10:wrap type="none"/>
          </v:line>
        </w:pict>
      </w:r>
      <w:r>
        <w:rPr/>
        <w:pict>
          <v:line style="position:absolute;mso-position-horizontal-relative:page;mso-position-vertical-relative:paragraph;z-index:16148480" from="202.875007pt,7.416241pt" to="198.542007pt,7.416241pt" stroked="true" strokeweight=".5pt" strokecolor="#231f20">
            <v:stroke dashstyle="solid"/>
            <w10:wrap type="none"/>
          </v:line>
        </w:pict>
      </w:r>
      <w:r>
        <w:rPr>
          <w:color w:val="231F20"/>
          <w:sz w:val="12"/>
        </w:rPr>
        <w:t>4</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143360" from="42.875pt,7.599833pt" to="38.542pt,7.599833pt" stroked="true" strokeweight=".5pt" strokecolor="#231f20">
            <v:stroke dashstyle="solid"/>
            <w10:wrap type="none"/>
          </v:line>
        </w:pict>
      </w:r>
      <w:r>
        <w:rPr/>
        <w:pict>
          <v:line style="position:absolute;mso-position-horizontal-relative:page;mso-position-vertical-relative:paragraph;z-index:16146944" from="202.875007pt,7.536833pt" to="198.542007pt,7.536833pt" stroked="true" strokeweight=".5pt" strokecolor="#231f20">
            <v:stroke dashstyle="solid"/>
            <w10:wrap type="none"/>
          </v:line>
        </w:pict>
      </w:r>
      <w:r>
        <w:rPr>
          <w:color w:val="231F20"/>
          <w:sz w:val="12"/>
        </w:rPr>
        <w:t>3</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144896" from="42.875pt,7.619424pt" to="38.542pt,7.619424pt" stroked="true" strokeweight=".5pt" strokecolor="#231f20">
            <v:stroke dashstyle="solid"/>
            <w10:wrap type="none"/>
          </v:line>
        </w:pict>
      </w:r>
      <w:r>
        <w:rPr/>
        <w:pict>
          <v:line style="position:absolute;mso-position-horizontal-relative:page;mso-position-vertical-relative:paragraph;z-index:16148992" from="202.875007pt,7.557425pt" to="198.542007pt,7.557425pt" stroked="true" strokeweight=".5pt" strokecolor="#231f20">
            <v:stroke dashstyle="solid"/>
            <w10:wrap type="none"/>
          </v:line>
        </w:pict>
      </w:r>
      <w:r>
        <w:rPr>
          <w:color w:val="231F20"/>
          <w:sz w:val="12"/>
        </w:rPr>
        <w:t>2</w:t>
      </w:r>
    </w:p>
    <w:p>
      <w:pPr>
        <w:pStyle w:val="BodyText"/>
        <w:rPr>
          <w:sz w:val="12"/>
        </w:rPr>
      </w:pPr>
    </w:p>
    <w:p>
      <w:pPr>
        <w:spacing w:line="86" w:lineRule="exact" w:before="85"/>
        <w:ind w:left="0" w:right="38" w:firstLine="0"/>
        <w:jc w:val="right"/>
        <w:rPr>
          <w:sz w:val="12"/>
        </w:rPr>
      </w:pPr>
      <w:r>
        <w:rPr/>
        <w:pict>
          <v:line style="position:absolute;mso-position-horizontal-relative:page;mso-position-vertical-relative:paragraph;z-index:16143872" from="42.875pt,7.690046pt" to="38.542pt,7.690046pt" stroked="true" strokeweight=".5pt" strokecolor="#231f20">
            <v:stroke dashstyle="solid"/>
            <w10:wrap type="none"/>
          </v:line>
        </w:pict>
      </w:r>
      <w:r>
        <w:rPr/>
        <w:pict>
          <v:line style="position:absolute;mso-position-horizontal-relative:page;mso-position-vertical-relative:paragraph;z-index:16147456" from="202.875007pt,7.628047pt" to="198.542007pt,7.628047pt" stroked="true" strokeweight=".5pt" strokecolor="#231f20">
            <v:stroke dashstyle="solid"/>
            <w10:wrap type="none"/>
          </v:line>
        </w:pict>
      </w:r>
      <w:r>
        <w:rPr>
          <w:color w:val="231F20"/>
          <w:sz w:val="12"/>
        </w:rPr>
        <w:t>1</w:t>
      </w:r>
    </w:p>
    <w:p>
      <w:pPr>
        <w:pStyle w:val="Heading6"/>
        <w:spacing w:line="242" w:lineRule="auto" w:before="217"/>
        <w:ind w:left="160" w:right="242"/>
      </w:pPr>
      <w:r>
        <w:rPr/>
        <w:br w:type="column"/>
      </w:r>
      <w:r>
        <w:rPr/>
        <w:t>are derived from tax returns (though early estimates use information from both the AEI and the New Earnings Survey). At the beginning of last year, annual earnings growth as measured by wages and salaries per head was a little higher than as measured by the AEI. In</w:t>
      </w:r>
    </w:p>
    <w:p>
      <w:pPr>
        <w:spacing w:line="242" w:lineRule="auto" w:before="6"/>
        <w:ind w:left="160" w:right="222" w:firstLine="0"/>
        <w:jc w:val="left"/>
        <w:rPr>
          <w:sz w:val="24"/>
        </w:rPr>
      </w:pPr>
      <w:r>
        <w:rPr>
          <w:sz w:val="24"/>
        </w:rPr>
        <w:t>1999 Q3, the two measures gave identical readings of 4.7%. Private sector indicators of earnings growth, which are based on much smaller samples, offer conflicting evidence. According to the REC, salaries for permanent staff rose in January at the fastest rate for more than a year, while growth in pay rates for temporary (or contract) staff fell for the second consecutive month. The Reward index of annual earnings growth remains close to 3.5%, well below the official measures.</w:t>
      </w:r>
    </w:p>
    <w:p>
      <w:pPr>
        <w:pStyle w:val="BodyText"/>
        <w:spacing w:before="5"/>
        <w:rPr>
          <w:sz w:val="25"/>
        </w:rPr>
      </w:pPr>
    </w:p>
    <w:p>
      <w:pPr>
        <w:spacing w:line="242" w:lineRule="auto" w:before="1"/>
        <w:ind w:left="160" w:right="178" w:firstLine="0"/>
        <w:jc w:val="left"/>
        <w:rPr>
          <w:sz w:val="24"/>
        </w:rPr>
      </w:pPr>
      <w:r>
        <w:rPr>
          <w:sz w:val="24"/>
        </w:rPr>
        <w:t>The change in the AEI is an estimate of the change in total pay per worker. It can be helpful to think of this change as the sum of two parts: an across-the-board change in pay that all workers in a firm receive for doing a standard day’s work, more usually called the settlement; and a second component, ‘wage drift’, that will reflect, among other things, changes in overtime payments, profit-related pay, bonuses, and the size of individual merit awards. Chart 3.13 plots a measure of the average settlement recorded during the past twelve months, taken from the Bank of England’s database,</w:t>
      </w:r>
    </w:p>
    <w:p>
      <w:pPr>
        <w:spacing w:after="0" w:line="242" w:lineRule="auto"/>
        <w:jc w:val="left"/>
        <w:rPr>
          <w:sz w:val="24"/>
        </w:rPr>
        <w:sectPr>
          <w:type w:val="continuous"/>
          <w:pgSz w:w="11900" w:h="16840"/>
          <w:pgMar w:top="1220" w:bottom="280" w:left="620" w:right="640"/>
          <w:cols w:num="2" w:equalWidth="0">
            <w:col w:w="3569" w:space="1241"/>
            <w:col w:w="5830"/>
          </w:cols>
        </w:sectPr>
      </w:pPr>
    </w:p>
    <w:p>
      <w:pPr>
        <w:pStyle w:val="BodyText"/>
        <w:spacing w:before="7"/>
        <w:rPr>
          <w:sz w:val="29"/>
        </w:rPr>
      </w:pPr>
    </w:p>
    <w:p>
      <w:pPr>
        <w:pStyle w:val="BodyText"/>
        <w:spacing w:line="20" w:lineRule="exact"/>
        <w:ind w:left="145"/>
        <w:rPr>
          <w:sz w:val="2"/>
        </w:rPr>
      </w:pPr>
      <w:r>
        <w:rPr>
          <w:sz w:val="2"/>
        </w:rPr>
        <w:pict>
          <v:group style="width:4.350pt;height:.5pt;mso-position-horizontal-relative:char;mso-position-vertical-relative:line" coordorigin="0,0" coordsize="87,10">
            <v:line style="position:absolute" from="87,5" to="0,5" stroked="true" strokeweight=".5pt" strokecolor="#231f20">
              <v:stroke dashstyle="solid"/>
            </v:line>
          </v:group>
        </w:pict>
      </w:r>
      <w:r>
        <w:rPr>
          <w:sz w:val="2"/>
        </w:rPr>
      </w:r>
    </w:p>
    <w:p>
      <w:pPr>
        <w:pStyle w:val="BodyText"/>
        <w:spacing w:before="4"/>
        <w:rPr>
          <w:sz w:val="26"/>
        </w:rPr>
      </w:pPr>
      <w:r>
        <w:rPr/>
        <w:pict>
          <v:shape style="position:absolute;margin-left:38.542pt;margin-top:17.382999pt;width:4.350pt;height:.1pt;mso-position-horizontal-relative:page;mso-position-vertical-relative:paragraph;z-index:-15318016;mso-wrap-distance-left:0;mso-wrap-distance-right:0" coordorigin="771,348" coordsize="87,0" path="m857,348l771,348e" filled="false" stroked="true" strokeweight=".5pt" strokecolor="#231f20">
            <v:path arrowok="t"/>
            <v:stroke dashstyle="solid"/>
            <w10:wrap type="topAndBottom"/>
          </v:shape>
        </w:pict>
      </w:r>
    </w:p>
    <w:p>
      <w:pPr>
        <w:spacing w:before="0"/>
        <w:ind w:left="460" w:right="0" w:firstLine="0"/>
        <w:jc w:val="left"/>
        <w:rPr>
          <w:sz w:val="12"/>
        </w:rPr>
      </w:pPr>
      <w:r>
        <w:rPr>
          <w:color w:val="231F20"/>
          <w:sz w:val="12"/>
        </w:rPr>
        <w:t>1994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6"/>
        <w:rPr>
          <w:sz w:val="15"/>
        </w:rPr>
      </w:pPr>
    </w:p>
    <w:p>
      <w:pPr>
        <w:tabs>
          <w:tab w:pos="732" w:val="left" w:leader="none"/>
        </w:tabs>
        <w:spacing w:before="0"/>
        <w:ind w:left="257" w:right="0" w:firstLine="0"/>
        <w:jc w:val="left"/>
        <w:rPr>
          <w:sz w:val="12"/>
        </w:rPr>
      </w:pPr>
      <w:r>
        <w:rPr>
          <w:color w:val="231F20"/>
          <w:sz w:val="12"/>
        </w:rPr>
        <w:t>95</w:t>
        <w:tab/>
      </w:r>
      <w:r>
        <w:rPr>
          <w:color w:val="231F20"/>
          <w:spacing w:val="-10"/>
          <w:sz w:val="12"/>
        </w:rPr>
        <w:t>96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6"/>
        <w:rPr>
          <w:sz w:val="15"/>
        </w:rPr>
      </w:pPr>
    </w:p>
    <w:p>
      <w:pPr>
        <w:tabs>
          <w:tab w:pos="804" w:val="left" w:leader="none"/>
        </w:tabs>
        <w:spacing w:before="0"/>
        <w:ind w:left="327" w:right="0" w:firstLine="0"/>
        <w:jc w:val="left"/>
        <w:rPr>
          <w:sz w:val="12"/>
        </w:rPr>
      </w:pPr>
      <w:r>
        <w:rPr>
          <w:color w:val="231F20"/>
          <w:sz w:val="12"/>
        </w:rPr>
        <w:t>97</w:t>
        <w:tab/>
      </w:r>
      <w:r>
        <w:rPr>
          <w:color w:val="231F20"/>
          <w:spacing w:val="-10"/>
          <w:sz w:val="12"/>
        </w:rPr>
        <w:t>98</w:t>
      </w:r>
    </w:p>
    <w:p>
      <w:pPr>
        <w:spacing w:line="179" w:lineRule="exact" w:before="101"/>
        <w:ind w:left="792" w:right="0" w:firstLine="0"/>
        <w:jc w:val="left"/>
        <w:rPr>
          <w:sz w:val="16"/>
        </w:rPr>
      </w:pPr>
      <w:r>
        <w:rPr/>
        <w:br w:type="column"/>
      </w:r>
      <w:r>
        <w:rPr>
          <w:color w:val="231F20"/>
          <w:sz w:val="16"/>
        </w:rPr>
        <w:t>+</w:t>
      </w:r>
    </w:p>
    <w:p>
      <w:pPr>
        <w:spacing w:line="170" w:lineRule="auto" w:before="12"/>
        <w:ind w:left="797" w:right="0" w:firstLine="0"/>
        <w:jc w:val="left"/>
        <w:rPr>
          <w:sz w:val="12"/>
        </w:rPr>
      </w:pPr>
      <w:r>
        <w:rPr/>
        <w:pict>
          <v:line style="position:absolute;mso-position-horizontal-relative:page;mso-position-vertical-relative:paragraph;z-index:-21995520" from="202.875007pt,3.217388pt" to="198.542007pt,3.217388pt" stroked="true" strokeweight=".5pt" strokecolor="#231f20">
            <v:stroke dashstyle="solid"/>
            <w10:wrap type="none"/>
          </v:line>
        </w:pict>
      </w:r>
      <w:r>
        <w:rPr>
          <w:color w:val="231F20"/>
          <w:spacing w:val="-4"/>
          <w:position w:val="-8"/>
          <w:sz w:val="16"/>
        </w:rPr>
        <w:t>_</w:t>
      </w:r>
      <w:r>
        <w:rPr>
          <w:color w:val="231F20"/>
          <w:spacing w:val="-4"/>
          <w:sz w:val="12"/>
        </w:rPr>
        <w:t>0</w:t>
      </w:r>
    </w:p>
    <w:p>
      <w:pPr>
        <w:spacing w:line="116" w:lineRule="exact" w:before="159"/>
        <w:ind w:left="870" w:right="0" w:firstLine="0"/>
        <w:jc w:val="left"/>
        <w:rPr>
          <w:sz w:val="12"/>
        </w:rPr>
      </w:pPr>
      <w:r>
        <w:rPr/>
        <w:pict>
          <v:shape style="position:absolute;margin-left:48.057999pt;margin-top:8.791229pt;width:144.65pt;height:2.7pt;mso-position-horizontal-relative:page;mso-position-vertical-relative:paragraph;z-index:16145408" coordorigin="961,176" coordsize="2893,54" path="m964,230l3853,230m961,176l961,229m1919,176l1919,229m1440,176l1440,229m2398,176l2398,229m2877,176l2877,229m3356,176l3356,229m3813,176l3813,229e" filled="false" stroked="true" strokeweight=".5pt" strokecolor="#231f20">
            <v:path arrowok="t"/>
            <v:stroke dashstyle="solid"/>
            <w10:wrap type="none"/>
          </v:shape>
        </w:pict>
      </w:r>
      <w:r>
        <w:rPr/>
        <w:pict>
          <v:line style="position:absolute;mso-position-horizontal-relative:page;mso-position-vertical-relative:paragraph;z-index:16147968" from="202.875007pt,11.468229pt" to="198.542007pt,11.468229pt" stroked="true" strokeweight=".5pt" strokecolor="#231f20">
            <v:stroke dashstyle="solid"/>
            <w10:wrap type="none"/>
          </v:line>
        </w:pict>
      </w:r>
      <w:r>
        <w:rPr>
          <w:color w:val="231F20"/>
          <w:sz w:val="12"/>
        </w:rPr>
        <w:t>1</w:t>
      </w:r>
    </w:p>
    <w:p>
      <w:pPr>
        <w:spacing w:line="116" w:lineRule="exact" w:before="0"/>
        <w:ind w:left="314" w:right="0" w:firstLine="0"/>
        <w:jc w:val="left"/>
        <w:rPr>
          <w:sz w:val="12"/>
        </w:rPr>
      </w:pPr>
      <w:r>
        <w:rPr>
          <w:color w:val="231F20"/>
          <w:sz w:val="12"/>
        </w:rPr>
        <w:t>99 2000</w:t>
      </w:r>
    </w:p>
    <w:p>
      <w:pPr>
        <w:pStyle w:val="Heading6"/>
        <w:spacing w:line="242" w:lineRule="auto"/>
        <w:ind w:left="460"/>
      </w:pPr>
      <w:r>
        <w:rPr/>
        <w:br w:type="column"/>
      </w:r>
      <w:r>
        <w:rPr/>
        <w:t>against the headline annual increase in total pay as measured by the AEI. Despite a slight edging down of settlements since the beginning of last year, the rate of increase of total pay has gone up. The mean</w:t>
      </w:r>
    </w:p>
    <w:p>
      <w:pPr>
        <w:spacing w:after="0" w:line="242" w:lineRule="auto"/>
        <w:sectPr>
          <w:type w:val="continuous"/>
          <w:pgSz w:w="11900" w:h="16840"/>
          <w:pgMar w:top="1220" w:bottom="280" w:left="620" w:right="640"/>
          <w:cols w:num="5" w:equalWidth="0">
            <w:col w:w="701" w:space="40"/>
            <w:col w:w="853" w:space="39"/>
            <w:col w:w="925" w:space="39"/>
            <w:col w:w="971" w:space="942"/>
            <w:col w:w="6130"/>
          </w:cols>
        </w:sectPr>
      </w:pPr>
    </w:p>
    <w:p>
      <w:pPr>
        <w:spacing w:line="135" w:lineRule="exact" w:before="0"/>
        <w:ind w:left="160" w:right="0" w:firstLine="0"/>
        <w:jc w:val="left"/>
        <w:rPr>
          <w:sz w:val="12"/>
        </w:rPr>
      </w:pPr>
      <w:r>
        <w:rPr>
          <w:sz w:val="12"/>
        </w:rPr>
        <w:t>Sources: ONS and Bank of England.</w:t>
      </w:r>
    </w:p>
    <w:p>
      <w:pPr>
        <w:pStyle w:val="BodyText"/>
        <w:spacing w:before="1"/>
        <w:rPr>
          <w:sz w:val="10"/>
        </w:rPr>
      </w:pPr>
    </w:p>
    <w:p>
      <w:pPr>
        <w:pStyle w:val="ListParagraph"/>
        <w:numPr>
          <w:ilvl w:val="0"/>
          <w:numId w:val="27"/>
        </w:numPr>
        <w:tabs>
          <w:tab w:pos="400" w:val="left" w:leader="none"/>
        </w:tabs>
        <w:spacing w:line="208" w:lineRule="auto" w:before="0" w:after="0"/>
        <w:ind w:left="400" w:right="322" w:hanging="240"/>
        <w:jc w:val="left"/>
        <w:rPr>
          <w:sz w:val="12"/>
        </w:rPr>
      </w:pPr>
      <w:r>
        <w:rPr>
          <w:sz w:val="12"/>
        </w:rPr>
        <w:t>Twelve-month AEI-weighted mean settlement from the Bank </w:t>
      </w:r>
      <w:r>
        <w:rPr>
          <w:spacing w:val="-9"/>
          <w:sz w:val="12"/>
        </w:rPr>
        <w:t>of </w:t>
      </w:r>
      <w:r>
        <w:rPr>
          <w:sz w:val="12"/>
        </w:rPr>
        <w:t>England database, which draws on information from the CBI, Incomes Data Services, Industrial Relations Services, Labour Research Department and the Bank’s regional Agents.</w:t>
      </w:r>
    </w:p>
    <w:p>
      <w:pPr>
        <w:pStyle w:val="ListParagraph"/>
        <w:numPr>
          <w:ilvl w:val="0"/>
          <w:numId w:val="27"/>
        </w:numPr>
        <w:tabs>
          <w:tab w:pos="401" w:val="left" w:leader="none"/>
        </w:tabs>
        <w:spacing w:line="123" w:lineRule="exact" w:before="0" w:after="0"/>
        <w:ind w:left="400" w:right="0" w:hanging="241"/>
        <w:jc w:val="left"/>
        <w:rPr>
          <w:sz w:val="12"/>
        </w:rPr>
      </w:pPr>
      <w:r>
        <w:rPr>
          <w:sz w:val="12"/>
        </w:rPr>
        <w:t>Difference between earnings growth and settlements.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6"/>
        </w:rPr>
      </w:pPr>
    </w:p>
    <w:p>
      <w:pPr>
        <w:pStyle w:val="Heading9"/>
        <w:spacing w:before="0"/>
        <w:ind w:left="172"/>
      </w:pPr>
      <w:r>
        <w:rPr>
          <w:color w:val="0093C1"/>
        </w:rPr>
        <w:t>Table 3.D</w:t>
      </w:r>
    </w:p>
    <w:p>
      <w:pPr>
        <w:spacing w:line="249" w:lineRule="auto" w:before="10"/>
        <w:ind w:left="172" w:right="20" w:firstLine="0"/>
        <w:jc w:val="left"/>
        <w:rPr>
          <w:b/>
          <w:sz w:val="20"/>
        </w:rPr>
      </w:pPr>
      <w:r>
        <w:rPr>
          <w:b/>
          <w:color w:val="0093C1"/>
          <w:sz w:val="20"/>
        </w:rPr>
        <w:t>Forecasts and outturns for claimant count unemployment</w:t>
      </w:r>
    </w:p>
    <w:p>
      <w:pPr>
        <w:spacing w:before="97"/>
        <w:ind w:left="172" w:right="0" w:firstLine="0"/>
        <w:jc w:val="left"/>
        <w:rPr>
          <w:sz w:val="14"/>
        </w:rPr>
      </w:pPr>
      <w:r>
        <w:rPr>
          <w:sz w:val="14"/>
        </w:rPr>
        <w:t>Millions</w:t>
      </w:r>
    </w:p>
    <w:p>
      <w:pPr>
        <w:tabs>
          <w:tab w:pos="2102" w:val="left" w:leader="none"/>
        </w:tabs>
        <w:spacing w:before="119"/>
        <w:ind w:left="1387" w:right="0" w:firstLine="0"/>
        <w:jc w:val="left"/>
        <w:rPr>
          <w:sz w:val="14"/>
        </w:rPr>
      </w:pPr>
      <w:r>
        <w:rPr>
          <w:sz w:val="14"/>
          <w:u w:val="single"/>
        </w:rPr>
        <w:t>1999 Q4</w:t>
      </w:r>
      <w:r>
        <w:rPr>
          <w:sz w:val="14"/>
        </w:rPr>
        <w:tab/>
      </w:r>
      <w:r>
        <w:rPr>
          <w:sz w:val="14"/>
          <w:u w:val="single"/>
        </w:rPr>
        <w:t>2000 Q4</w:t>
      </w:r>
    </w:p>
    <w:p>
      <w:pPr>
        <w:spacing w:line="150" w:lineRule="exact" w:before="119"/>
        <w:ind w:left="172" w:right="0" w:firstLine="0"/>
        <w:jc w:val="left"/>
        <w:rPr>
          <w:sz w:val="14"/>
        </w:rPr>
      </w:pPr>
      <w:r>
        <w:rPr>
          <w:sz w:val="14"/>
        </w:rPr>
        <w:t>Forecast made:</w:t>
      </w:r>
    </w:p>
    <w:p>
      <w:pPr>
        <w:tabs>
          <w:tab w:pos="1551" w:val="left" w:leader="none"/>
          <w:tab w:pos="2478" w:val="right" w:leader="none"/>
        </w:tabs>
        <w:spacing w:line="140" w:lineRule="exact" w:before="0"/>
        <w:ind w:left="172" w:right="0" w:firstLine="0"/>
        <w:jc w:val="left"/>
        <w:rPr>
          <w:sz w:val="14"/>
        </w:rPr>
      </w:pPr>
      <w:r>
        <w:rPr>
          <w:sz w:val="14"/>
        </w:rPr>
        <w:t>January 1999</w:t>
      </w:r>
      <w:r>
        <w:rPr>
          <w:spacing w:val="-1"/>
          <w:sz w:val="14"/>
        </w:rPr>
        <w:t> </w:t>
      </w:r>
      <w:r>
        <w:rPr>
          <w:sz w:val="12"/>
        </w:rPr>
        <w:t>(a)</w:t>
        <w:tab/>
      </w:r>
      <w:r>
        <w:rPr>
          <w:sz w:val="14"/>
        </w:rPr>
        <w:t>1.6</w:t>
        <w:tab/>
        <w:t>1.8</w:t>
      </w:r>
    </w:p>
    <w:p>
      <w:pPr>
        <w:tabs>
          <w:tab w:pos="1559" w:val="left" w:leader="none"/>
          <w:tab w:pos="2478" w:val="right" w:leader="none"/>
        </w:tabs>
        <w:spacing w:line="150" w:lineRule="exact" w:before="0"/>
        <w:ind w:left="172" w:right="0" w:firstLine="0"/>
        <w:jc w:val="left"/>
        <w:rPr>
          <w:sz w:val="14"/>
        </w:rPr>
      </w:pPr>
      <w:r>
        <w:rPr>
          <w:sz w:val="14"/>
        </w:rPr>
        <w:t>January 2000</w:t>
      </w:r>
      <w:r>
        <w:rPr>
          <w:spacing w:val="-1"/>
          <w:sz w:val="14"/>
        </w:rPr>
        <w:t> </w:t>
      </w:r>
      <w:r>
        <w:rPr>
          <w:sz w:val="12"/>
        </w:rPr>
        <w:t>(a)</w:t>
        <w:tab/>
      </w:r>
      <w:r>
        <w:rPr>
          <w:sz w:val="14"/>
        </w:rPr>
        <w:t>n.a</w:t>
        <w:tab/>
        <w:t>1.1</w:t>
      </w:r>
    </w:p>
    <w:p>
      <w:pPr>
        <w:tabs>
          <w:tab w:pos="1551" w:val="left" w:leader="none"/>
          <w:tab w:pos="2276" w:val="left" w:leader="none"/>
        </w:tabs>
        <w:spacing w:before="119"/>
        <w:ind w:left="172" w:right="0" w:firstLine="0"/>
        <w:jc w:val="left"/>
        <w:rPr>
          <w:sz w:val="14"/>
        </w:rPr>
      </w:pPr>
      <w:r>
        <w:rPr>
          <w:sz w:val="14"/>
        </w:rPr>
        <w:t>Outturn</w:t>
        <w:tab/>
        <w:t>1.2</w:t>
        <w:tab/>
        <w:t>n.a.</w:t>
      </w:r>
    </w:p>
    <w:p>
      <w:pPr>
        <w:spacing w:before="118"/>
        <w:ind w:left="172" w:right="0" w:firstLine="0"/>
        <w:jc w:val="left"/>
        <w:rPr>
          <w:sz w:val="12"/>
        </w:rPr>
      </w:pPr>
      <w:r>
        <w:rPr>
          <w:sz w:val="12"/>
        </w:rPr>
        <w:t>Sources: ONS and HM Treasury.</w:t>
      </w:r>
    </w:p>
    <w:p>
      <w:pPr>
        <w:pStyle w:val="BodyText"/>
        <w:spacing w:before="2"/>
        <w:rPr>
          <w:sz w:val="10"/>
        </w:rPr>
      </w:pPr>
    </w:p>
    <w:p>
      <w:pPr>
        <w:spacing w:line="208" w:lineRule="auto" w:before="0"/>
        <w:ind w:left="412" w:right="726" w:hanging="240"/>
        <w:jc w:val="both"/>
        <w:rPr>
          <w:sz w:val="12"/>
        </w:rPr>
      </w:pPr>
      <w:r>
        <w:rPr>
          <w:sz w:val="12"/>
        </w:rPr>
        <w:t>(a) Average of around 30 independent forecasts made over the previous three months, as reported in HM Treasury, </w:t>
      </w:r>
      <w:r>
        <w:rPr>
          <w:i/>
          <w:sz w:val="12"/>
        </w:rPr>
        <w:t>Forecasts for the UK economy</w:t>
      </w:r>
      <w:r>
        <w:rPr>
          <w:sz w:val="12"/>
        </w:rPr>
        <w:t>.</w:t>
      </w:r>
    </w:p>
    <w:p>
      <w:pPr>
        <w:pStyle w:val="Heading6"/>
        <w:spacing w:line="242" w:lineRule="auto"/>
        <w:ind w:left="160" w:right="286"/>
      </w:pPr>
      <w:r>
        <w:rPr/>
        <w:br w:type="column"/>
      </w:r>
      <w:r>
        <w:rPr/>
        <w:t>AEI-weighted settlement over the twelve months to November 1999 was 3.5%. The corresponding increase in headline average earnings was 4.9%. By implication wage drift was 1.4 percentage points (see Chart 3.13).</w:t>
      </w:r>
    </w:p>
    <w:p>
      <w:pPr>
        <w:pStyle w:val="BodyText"/>
        <w:spacing w:before="4"/>
        <w:rPr>
          <w:sz w:val="24"/>
        </w:rPr>
      </w:pPr>
    </w:p>
    <w:p>
      <w:pPr>
        <w:spacing w:line="242" w:lineRule="auto" w:before="0"/>
        <w:ind w:left="160" w:right="0" w:firstLine="0"/>
        <w:jc w:val="left"/>
        <w:rPr>
          <w:sz w:val="24"/>
        </w:rPr>
      </w:pPr>
      <w:r>
        <w:rPr>
          <w:sz w:val="24"/>
        </w:rPr>
        <w:t>Overtime hours worked appear to have stabilised, having fallen quite sharply during the early part of last year.</w:t>
      </w:r>
    </w:p>
    <w:p>
      <w:pPr>
        <w:spacing w:line="242" w:lineRule="auto" w:before="3"/>
        <w:ind w:left="160" w:right="145" w:firstLine="0"/>
        <w:jc w:val="left"/>
        <w:rPr>
          <w:sz w:val="24"/>
        </w:rPr>
      </w:pPr>
      <w:r>
        <w:rPr>
          <w:sz w:val="24"/>
        </w:rPr>
        <w:t>This could account for at least part of the increase in wage drift. But another part is perhaps explained by the fact that the labour market turned out to be considerably tighter in 1999 than had been expected early in the year when most settlements were announced. Indeed, unemployment continued to fall during the year, contrary to widespread expectations that it would increase. This also led to a downward revision of forecasts for unemployment in 2000 (see Table 3.D). There is some evidence from the Bank’s regional Agents that, rather than wait until the next settlement round, a number of firms responded by making larger bonus payments, by taking on some new staff at higher wage rates, and by</w:t>
      </w:r>
    </w:p>
    <w:p>
      <w:pPr>
        <w:spacing w:after="0" w:line="242" w:lineRule="auto"/>
        <w:jc w:val="left"/>
        <w:rPr>
          <w:sz w:val="24"/>
        </w:rPr>
        <w:sectPr>
          <w:type w:val="continuous"/>
          <w:pgSz w:w="11900" w:h="16840"/>
          <w:pgMar w:top="1220" w:bottom="280" w:left="620" w:right="640"/>
          <w:cols w:num="2" w:equalWidth="0">
            <w:col w:w="3807" w:space="1003"/>
            <w:col w:w="5830"/>
          </w:cols>
        </w:sectPr>
      </w:pPr>
    </w:p>
    <w:p>
      <w:pPr>
        <w:pStyle w:val="BodyText"/>
        <w:rPr>
          <w:sz w:val="20"/>
        </w:rPr>
      </w:pPr>
    </w:p>
    <w:p>
      <w:pPr>
        <w:pStyle w:val="BodyText"/>
        <w:spacing w:before="7"/>
        <w:rPr>
          <w:sz w:val="20"/>
        </w:rPr>
      </w:pPr>
    </w:p>
    <w:p>
      <w:pPr>
        <w:spacing w:line="242" w:lineRule="auto" w:before="0"/>
        <w:ind w:left="5020" w:right="41" w:firstLine="0"/>
        <w:jc w:val="left"/>
        <w:rPr>
          <w:sz w:val="24"/>
        </w:rPr>
      </w:pPr>
      <w:bookmarkStart w:name="Summary" w:id="52"/>
      <w:bookmarkEnd w:id="52"/>
      <w:r>
        <w:rPr/>
      </w:r>
      <w:bookmarkStart w:name="_bookmark20" w:id="53"/>
      <w:bookmarkEnd w:id="53"/>
      <w:r>
        <w:rPr/>
      </w:r>
      <w:r>
        <w:rPr>
          <w:sz w:val="24"/>
        </w:rPr>
        <w:t>retaining only the more productive and more highly paid staff in those industries where employment was falling. There has also been a tendency for employers to increase the proportion of an individual’s pay which depends on his or her own productivity and performance. Any combination of these four options would have led to increased wage drift, as measured by the difference between AEI growth and settlements.</w:t>
      </w:r>
    </w:p>
    <w:p>
      <w:pPr>
        <w:pStyle w:val="BodyText"/>
        <w:spacing w:before="3"/>
        <w:rPr>
          <w:sz w:val="25"/>
        </w:rPr>
      </w:pPr>
    </w:p>
    <w:p>
      <w:pPr>
        <w:spacing w:line="242" w:lineRule="auto" w:before="0"/>
        <w:ind w:left="5020" w:right="148" w:firstLine="0"/>
        <w:jc w:val="left"/>
        <w:rPr>
          <w:sz w:val="24"/>
        </w:rPr>
      </w:pPr>
      <w:r>
        <w:rPr>
          <w:sz w:val="24"/>
        </w:rPr>
        <w:t>In January, the </w:t>
      </w:r>
      <w:r>
        <w:rPr>
          <w:spacing w:val="-3"/>
          <w:sz w:val="24"/>
        </w:rPr>
        <w:t>Bank’s </w:t>
      </w:r>
      <w:r>
        <w:rPr>
          <w:sz w:val="24"/>
        </w:rPr>
        <w:t>regional Agents asked around </w:t>
      </w:r>
      <w:r>
        <w:rPr>
          <w:spacing w:val="-6"/>
          <w:sz w:val="24"/>
        </w:rPr>
        <w:t>270 </w:t>
      </w:r>
      <w:r>
        <w:rPr>
          <w:sz w:val="24"/>
        </w:rPr>
        <w:t>of their business contacts to comment on the prospects for pay in 2000. Among the 85% of those questioned who had a company-wide settlement </w:t>
      </w:r>
      <w:r>
        <w:rPr>
          <w:spacing w:val="-3"/>
          <w:sz w:val="24"/>
        </w:rPr>
        <w:t>policy, </w:t>
      </w:r>
      <w:r>
        <w:rPr>
          <w:sz w:val="24"/>
        </w:rPr>
        <w:t>the most commonly held view was that the settlement would be about the same as last year, though more thought it would be lower than thought it would be higher. The same was not true of the percentage change in total pay: on balance, respondents felt this was more likely to be higher this </w:t>
      </w:r>
      <w:r>
        <w:rPr>
          <w:spacing w:val="-3"/>
          <w:sz w:val="24"/>
        </w:rPr>
        <w:t>year. </w:t>
      </w:r>
      <w:r>
        <w:rPr>
          <w:sz w:val="24"/>
        </w:rPr>
        <w:t>The single most important influence on pay was reported to be the need to recruit and retain staff.</w:t>
      </w:r>
    </w:p>
    <w:p>
      <w:pPr>
        <w:pStyle w:val="BodyText"/>
        <w:spacing w:before="8"/>
        <w:rPr>
          <w:sz w:val="21"/>
        </w:rPr>
      </w:pPr>
    </w:p>
    <w:p>
      <w:pPr>
        <w:pStyle w:val="Heading3"/>
        <w:numPr>
          <w:ilvl w:val="1"/>
          <w:numId w:val="19"/>
        </w:numPr>
        <w:tabs>
          <w:tab w:pos="9117" w:val="left" w:leader="none"/>
          <w:tab w:pos="9119" w:val="left" w:leader="none"/>
          <w:tab w:pos="10519" w:val="left" w:leader="none"/>
        </w:tabs>
        <w:spacing w:line="240" w:lineRule="auto" w:before="88" w:after="0"/>
        <w:ind w:left="9118" w:right="0" w:hanging="4099"/>
        <w:jc w:val="left"/>
        <w:rPr>
          <w:color w:val="009483"/>
        </w:rPr>
      </w:pPr>
      <w:r>
        <w:rPr>
          <w:color w:val="009483"/>
          <w:u w:val="thick" w:color="0093C1"/>
        </w:rPr>
        <w:t>Summary</w:t>
        <w:tab/>
      </w:r>
    </w:p>
    <w:p>
      <w:pPr>
        <w:pStyle w:val="BodyText"/>
        <w:spacing w:before="11"/>
        <w:rPr>
          <w:b/>
          <w:sz w:val="23"/>
        </w:rPr>
      </w:pPr>
    </w:p>
    <w:p>
      <w:pPr>
        <w:spacing w:line="242" w:lineRule="auto" w:before="0"/>
        <w:ind w:left="5020" w:right="143" w:firstLine="0"/>
        <w:jc w:val="left"/>
        <w:rPr>
          <w:sz w:val="24"/>
        </w:rPr>
      </w:pPr>
      <w:r>
        <w:rPr>
          <w:sz w:val="24"/>
        </w:rPr>
        <w:t>Employment has continued to rise, but not as rapidly as output. Evidence on unemployment is mixed, but the trend is probably flat to falling. These changes in quantities </w:t>
      </w:r>
      <w:r>
        <w:rPr>
          <w:spacing w:val="-3"/>
          <w:sz w:val="24"/>
        </w:rPr>
        <w:t>have </w:t>
      </w:r>
      <w:r>
        <w:rPr>
          <w:sz w:val="24"/>
        </w:rPr>
        <w:t>been associated with some increase in reported skill shortages across most regions. Earnings growth is still around 5%, which is stronger than had been expected three months ago. Settlements, an important part of earnings growth, </w:t>
      </w:r>
      <w:r>
        <w:rPr>
          <w:spacing w:val="-3"/>
          <w:sz w:val="24"/>
        </w:rPr>
        <w:t>have </w:t>
      </w:r>
      <w:r>
        <w:rPr>
          <w:sz w:val="24"/>
        </w:rPr>
        <w:t>fallen slightly,</w:t>
      </w:r>
      <w:r>
        <w:rPr>
          <w:spacing w:val="-18"/>
          <w:sz w:val="24"/>
        </w:rPr>
        <w:t> </w:t>
      </w:r>
      <w:r>
        <w:rPr>
          <w:spacing w:val="-8"/>
          <w:sz w:val="24"/>
        </w:rPr>
        <w:t>to </w:t>
      </w:r>
      <w:r>
        <w:rPr>
          <w:sz w:val="24"/>
        </w:rPr>
        <w:t>around 3</w:t>
      </w:r>
      <w:r>
        <w:rPr>
          <w:position w:val="8"/>
          <w:sz w:val="12"/>
        </w:rPr>
        <w:t>1</w:t>
      </w:r>
      <w:r>
        <w:rPr>
          <w:sz w:val="24"/>
        </w:rPr>
        <w:t>/</w:t>
      </w:r>
      <w:r>
        <w:rPr>
          <w:sz w:val="12"/>
        </w:rPr>
        <w:t>2</w:t>
      </w:r>
      <w:r>
        <w:rPr>
          <w:sz w:val="24"/>
        </w:rPr>
        <w:t>%. So estimated wage drift is</w:t>
      </w:r>
      <w:r>
        <w:rPr>
          <w:spacing w:val="-3"/>
          <w:sz w:val="24"/>
        </w:rPr>
        <w:t> </w:t>
      </w:r>
      <w:r>
        <w:rPr>
          <w:sz w:val="24"/>
        </w:rPr>
        <w:t>substantial.</w:t>
      </w:r>
    </w:p>
    <w:p>
      <w:pPr>
        <w:spacing w:line="242" w:lineRule="auto" w:before="11"/>
        <w:ind w:left="5019" w:right="195" w:firstLine="0"/>
        <w:jc w:val="left"/>
        <w:rPr>
          <w:sz w:val="24"/>
        </w:rPr>
      </w:pPr>
      <w:r>
        <w:rPr>
          <w:sz w:val="24"/>
        </w:rPr>
        <w:t>The first few months of any year are an important time for pay settlements. A number of firms report that these could be lower this year than last </w:t>
      </w:r>
      <w:r>
        <w:rPr>
          <w:spacing w:val="-3"/>
          <w:sz w:val="24"/>
        </w:rPr>
        <w:t>year. </w:t>
      </w:r>
      <w:r>
        <w:rPr>
          <w:sz w:val="24"/>
        </w:rPr>
        <w:t>Nevertheless, </w:t>
      </w:r>
      <w:r>
        <w:rPr>
          <w:spacing w:val="-6"/>
          <w:sz w:val="24"/>
        </w:rPr>
        <w:t>the </w:t>
      </w:r>
      <w:r>
        <w:rPr>
          <w:sz w:val="24"/>
        </w:rPr>
        <w:t>necessity to recruit and retain staff is likely to remain a significant factor in determining growth in total</w:t>
      </w:r>
      <w:r>
        <w:rPr>
          <w:spacing w:val="-7"/>
          <w:sz w:val="24"/>
        </w:rPr>
        <w:t> </w:t>
      </w:r>
      <w:r>
        <w:rPr>
          <w:spacing w:val="-4"/>
          <w:sz w:val="24"/>
        </w:rPr>
        <w:t>pay.</w:t>
      </w:r>
    </w:p>
    <w:p>
      <w:pPr>
        <w:spacing w:after="0" w:line="242" w:lineRule="auto"/>
        <w:jc w:val="left"/>
        <w:rPr>
          <w:sz w:val="24"/>
        </w:rPr>
        <w:sectPr>
          <w:pgSz w:w="11900" w:h="16840"/>
          <w:pgMar w:header="586" w:footer="597" w:top="780" w:bottom="780" w:left="620" w:right="640"/>
        </w:sectPr>
      </w:pPr>
    </w:p>
    <w:p>
      <w:pPr>
        <w:pStyle w:val="BodyText"/>
        <w:spacing w:line="20" w:lineRule="exact"/>
        <w:ind w:left="15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090pt;margin-top:12.000977pt;width:516pt;height:48pt;mso-position-horizontal-relative:page;mso-position-vertical-relative:paragraph;z-index:-15306752;mso-wrap-distance-left:0;mso-wrap-distance-right:0" type="#_x0000_t202" filled="true" fillcolor="#b5dad6" stroked="false">
            <v:textbox inset="0,0,0,0">
              <w:txbxContent>
                <w:p>
                  <w:pPr>
                    <w:tabs>
                      <w:tab w:pos="10099" w:val="right" w:leader="none"/>
                    </w:tabs>
                    <w:spacing w:before="40"/>
                    <w:ind w:left="260" w:right="0" w:firstLine="0"/>
                    <w:jc w:val="left"/>
                    <w:rPr>
                      <w:b/>
                      <w:sz w:val="72"/>
                    </w:rPr>
                  </w:pPr>
                  <w:bookmarkStart w:name="Costs and prices" w:id="54"/>
                  <w:bookmarkEnd w:id="54"/>
                  <w:r>
                    <w:rPr/>
                  </w:r>
                  <w:bookmarkStart w:name="Raw materials and commodity prices" w:id="55"/>
                  <w:bookmarkEnd w:id="55"/>
                  <w:r>
                    <w:rPr/>
                  </w:r>
                  <w:bookmarkStart w:name="_bookmark21" w:id="56"/>
                  <w:bookmarkEnd w:id="56"/>
                  <w:r>
                    <w:rPr/>
                  </w:r>
                  <w:r>
                    <w:rPr>
                      <w:b/>
                      <w:color w:val="009483"/>
                      <w:sz w:val="48"/>
                    </w:rPr>
                    <w:t>Costs and prices</w:t>
                    <w:tab/>
                  </w:r>
                  <w:r>
                    <w:rPr>
                      <w:b/>
                      <w:color w:val="009483"/>
                      <w:sz w:val="72"/>
                    </w:rPr>
                    <w:t>4</w:t>
                  </w:r>
                </w:p>
              </w:txbxContent>
            </v:textbox>
            <v:fill type="solid"/>
            <w10:wrap type="topAndBottom"/>
          </v:shape>
        </w:pict>
      </w:r>
    </w:p>
    <w:p>
      <w:pPr>
        <w:pStyle w:val="BodyText"/>
        <w:rPr>
          <w:sz w:val="20"/>
        </w:rPr>
      </w:pPr>
    </w:p>
    <w:p>
      <w:pPr>
        <w:pStyle w:val="BodyText"/>
        <w:rPr>
          <w:sz w:val="20"/>
        </w:rPr>
      </w:pPr>
    </w:p>
    <w:p>
      <w:pPr>
        <w:spacing w:line="242" w:lineRule="auto" w:before="215"/>
        <w:ind w:left="4999" w:right="522" w:firstLine="0"/>
        <w:jc w:val="left"/>
        <w:rPr>
          <w:sz w:val="24"/>
        </w:rPr>
      </w:pPr>
      <w:r>
        <w:rPr>
          <w:sz w:val="24"/>
        </w:rPr>
        <w:t>RPIX inflation remained constant at 2.2% in the last three months of 1999, below the government’s 2</w:t>
      </w:r>
      <w:r>
        <w:rPr>
          <w:position w:val="8"/>
          <w:sz w:val="12"/>
        </w:rPr>
        <w:t>1</w:t>
      </w:r>
      <w:r>
        <w:rPr>
          <w:sz w:val="24"/>
        </w:rPr>
        <w:t>/</w:t>
      </w:r>
      <w:r>
        <w:rPr>
          <w:sz w:val="12"/>
        </w:rPr>
        <w:t>2</w:t>
      </w:r>
      <w:r>
        <w:rPr>
          <w:sz w:val="24"/>
        </w:rPr>
        <w:t>% target. Retail goods and services price inflation have diverged further: services price inflation has risen to 3.9%, while goods price inflation has fallen to 0.3%. Commodity price rises, notably for oil, have put upward pressure on producer input prices, which have increased sharply in recent months. Producer output price inflation has also risen but remains low.</w:t>
      </w:r>
    </w:p>
    <w:p>
      <w:pPr>
        <w:spacing w:line="242" w:lineRule="auto" w:before="11"/>
        <w:ind w:left="4999" w:right="215" w:firstLine="0"/>
        <w:jc w:val="left"/>
        <w:rPr>
          <w:sz w:val="24"/>
        </w:rPr>
      </w:pPr>
      <w:r>
        <w:rPr>
          <w:sz w:val="24"/>
        </w:rPr>
        <w:t>Strong competitive pressures and the appreciation of the sterling effective exchange rate have continued to</w:t>
      </w:r>
    </w:p>
    <w:p>
      <w:pPr>
        <w:spacing w:line="242" w:lineRule="auto" w:before="3"/>
        <w:ind w:left="4999" w:right="942" w:firstLine="0"/>
        <w:jc w:val="left"/>
        <w:rPr>
          <w:sz w:val="24"/>
        </w:rPr>
      </w:pPr>
      <w:r>
        <w:rPr>
          <w:sz w:val="24"/>
        </w:rPr>
        <w:t>put downward pressure on producer and retail goods price inflation. Measures of domestically generated inflation have fallen, but remain in the 2</w:t>
      </w:r>
      <w:r>
        <w:rPr>
          <w:position w:val="8"/>
          <w:sz w:val="12"/>
        </w:rPr>
        <w:t>1</w:t>
      </w:r>
      <w:r>
        <w:rPr>
          <w:sz w:val="24"/>
        </w:rPr>
        <w:t>/</w:t>
      </w:r>
      <w:r>
        <w:rPr>
          <w:sz w:val="12"/>
        </w:rPr>
        <w:t>2</w:t>
      </w:r>
      <w:r>
        <w:rPr>
          <w:sz w:val="24"/>
        </w:rPr>
        <w:t>%–4% range.</w:t>
      </w:r>
    </w:p>
    <w:p>
      <w:pPr>
        <w:pStyle w:val="BodyText"/>
        <w:spacing w:before="6"/>
        <w:rPr>
          <w:sz w:val="21"/>
        </w:rPr>
      </w:pPr>
    </w:p>
    <w:p>
      <w:pPr>
        <w:pStyle w:val="Heading3"/>
        <w:numPr>
          <w:ilvl w:val="1"/>
          <w:numId w:val="28"/>
        </w:numPr>
        <w:tabs>
          <w:tab w:pos="5832" w:val="left" w:leader="none"/>
          <w:tab w:pos="5833" w:val="left" w:leader="none"/>
          <w:tab w:pos="10489" w:val="left" w:leader="none"/>
        </w:tabs>
        <w:spacing w:line="240" w:lineRule="auto" w:before="0" w:after="0"/>
        <w:ind w:left="5832" w:right="0" w:hanging="833"/>
        <w:jc w:val="left"/>
        <w:rPr>
          <w:color w:val="009483"/>
        </w:rPr>
      </w:pPr>
      <w:r>
        <w:rPr>
          <w:color w:val="009483"/>
          <w:u w:val="thick" w:color="0093C1"/>
        </w:rPr>
        <w:t>Raw materials and commodity prices</w:t>
        <w:tab/>
      </w:r>
    </w:p>
    <w:p>
      <w:pPr>
        <w:pStyle w:val="BodyText"/>
        <w:spacing w:before="9"/>
        <w:rPr>
          <w:b/>
          <w:sz w:val="14"/>
        </w:rPr>
      </w:pPr>
    </w:p>
    <w:p>
      <w:pPr>
        <w:spacing w:after="0"/>
        <w:rPr>
          <w:sz w:val="14"/>
        </w:rPr>
        <w:sectPr>
          <w:headerReference w:type="default" r:id="rId122"/>
          <w:footerReference w:type="default" r:id="rId123"/>
          <w:footerReference w:type="even" r:id="rId124"/>
          <w:pgSz w:w="11900" w:h="16840"/>
          <w:pgMar w:header="0" w:footer="617" w:top="780" w:bottom="800" w:left="620" w:right="640"/>
          <w:pgNumType w:start="33"/>
        </w:sectPr>
      </w:pPr>
    </w:p>
    <w:p>
      <w:pPr>
        <w:pStyle w:val="BodyText"/>
        <w:rPr>
          <w:b/>
          <w:sz w:val="22"/>
        </w:rPr>
      </w:pPr>
    </w:p>
    <w:p>
      <w:pPr>
        <w:pStyle w:val="BodyText"/>
        <w:rPr>
          <w:b/>
          <w:sz w:val="22"/>
        </w:rPr>
      </w:pPr>
    </w:p>
    <w:p>
      <w:pPr>
        <w:pStyle w:val="BodyText"/>
        <w:spacing w:before="8"/>
        <w:rPr>
          <w:b/>
          <w:sz w:val="21"/>
        </w:rPr>
      </w:pPr>
    </w:p>
    <w:p>
      <w:pPr>
        <w:pStyle w:val="Heading9"/>
        <w:spacing w:before="0"/>
      </w:pPr>
      <w:r>
        <w:rPr>
          <w:color w:val="0093C1"/>
        </w:rPr>
        <w:t>Chart 4.1</w:t>
      </w:r>
    </w:p>
    <w:p>
      <w:pPr>
        <w:spacing w:before="10"/>
        <w:ind w:left="190" w:right="0" w:firstLine="0"/>
        <w:jc w:val="left"/>
        <w:rPr>
          <w:sz w:val="12"/>
        </w:rPr>
      </w:pPr>
      <w:r>
        <w:rPr>
          <w:b/>
          <w:color w:val="0093C1"/>
          <w:sz w:val="20"/>
        </w:rPr>
        <w:t>Implied distribution for oil prices</w:t>
      </w:r>
      <w:r>
        <w:rPr>
          <w:position w:val="4"/>
          <w:sz w:val="12"/>
        </w:rPr>
        <w:t>(a)(b)</w:t>
      </w:r>
    </w:p>
    <w:p>
      <w:pPr>
        <w:pStyle w:val="BodyText"/>
        <w:spacing w:before="3"/>
        <w:rPr>
          <w:sz w:val="22"/>
        </w:rPr>
      </w:pPr>
    </w:p>
    <w:p>
      <w:pPr>
        <w:tabs>
          <w:tab w:pos="2829" w:val="left" w:leader="none"/>
        </w:tabs>
        <w:spacing w:line="432" w:lineRule="auto" w:before="0"/>
        <w:ind w:left="3415" w:right="362" w:hanging="3145"/>
        <w:jc w:val="right"/>
        <w:rPr>
          <w:sz w:val="11"/>
        </w:rPr>
      </w:pPr>
      <w:r>
        <w:rPr/>
        <w:pict>
          <v:group style="position:absolute;margin-left:45pt;margin-top:6.52976pt;width:155pt;height:129.0500pt;mso-position-horizontal-relative:page;mso-position-vertical-relative:paragraph;z-index:-21993472" coordorigin="900,131" coordsize="3100,2581">
            <v:shape style="position:absolute;left:3200;top:196;width:660;height:2191" coordorigin="3200,197" coordsize="660,2191" path="m3500,197l3320,406,3200,855,3320,1064,3500,1905,3680,2195,3860,2387,3860,398,3680,293,3500,197xe" filled="true" fillcolor="#e6dcd6" stroked="false">
              <v:path arrowok="t"/>
              <v:fill type="solid"/>
            </v:shape>
            <v:shape style="position:absolute;left:3200;top:415;width:660;height:1806" coordorigin="3200,416" coordsize="660,1806" path="m3500,416l3320,472,3200,852,3320,968,3500,1733,3680,2029,3860,2221,3860,683,3680,558,3500,416xe" filled="true" fillcolor="#d4c3b8" stroked="false">
              <v:path arrowok="t"/>
              <v:fill type="solid"/>
            </v:shape>
            <v:shape style="position:absolute;left:3200;top:521;width:660;height:1578" coordorigin="3200,521" coordsize="660,1578" path="m3320,521l3200,853,3320,907,3500,1605,3680,1907,3860,2098,3860,859,3680,723,3500,550,3320,521xe" filled="true" fillcolor="#c4ac9d" stroked="false">
              <v:path arrowok="t"/>
              <v:fill type="solid"/>
            </v:shape>
            <v:shape style="position:absolute;left:3200;top:558;width:660;height:1429" coordorigin="3200,558" coordsize="660,1429" path="m3320,558l3200,850,3320,859,3500,1491,3680,1797,3860,1986,3860,984,3680,841,3500,645,3320,558xe" filled="true" fillcolor="#b59784" stroked="false">
              <v:path arrowok="t"/>
              <v:fill type="solid"/>
            </v:shape>
            <v:shape style="position:absolute;left:3200;top:591;width:660;height:1297" coordorigin="3200,591" coordsize="660,1297" path="m3320,591l3200,850,3320,825,3500,1396,3680,1704,3860,1888,3860,1086,3680,938,3500,726,3320,591xe" filled="true" fillcolor="#a6836e" stroked="false">
              <v:path arrowok="t"/>
              <v:fill type="solid"/>
            </v:shape>
            <v:shape style="position:absolute;left:3200;top:618;width:660;height:1178" coordorigin="3200,618" coordsize="660,1178" path="m3320,618l3200,849,3320,796,3500,1311,3680,1615,3860,1796,3860,1171,3680,1021,3500,794,3320,618xe" filled="true" fillcolor="#99715b" stroked="false">
              <v:path arrowok="t"/>
              <v:fill type="solid"/>
            </v:shape>
            <v:shape style="position:absolute;left:3200;top:643;width:660;height:1068" coordorigin="3200,643" coordsize="660,1068" path="m3320,643l3200,849,3320,772,3500,1236,3680,1533,3860,1711,3860,1249,3680,1097,3500,858,3320,643xe" filled="true" fillcolor="#8d614a" stroked="false">
              <v:path arrowok="t"/>
              <v:fill type="solid"/>
            </v:shape>
            <v:shape style="position:absolute;left:3200;top:668;width:660;height:964" coordorigin="3200,668" coordsize="660,964" path="m3320,668l3200,850,3320,751,3500,1168,3680,1456,3860,1631,3860,1326,3680,1170,3320,668xe" filled="true" fillcolor="#815239" stroked="false">
              <v:path arrowok="t"/>
              <v:fill type="solid"/>
            </v:shape>
            <v:shape style="position:absolute;left:3200;top:728;width:660;height:825" coordorigin="3200,728" coordsize="660,825" path="m3320,728l3200,850,3320,730,3500,1108,3680,1387,3860,1553,3860,1431,3680,1275,3500,1061,3320,728xe" filled="true" fillcolor="#75442b" stroked="false">
              <v:path arrowok="t"/>
              <v:fill type="solid"/>
            </v:shape>
            <v:shape style="position:absolute;left:900;top:135;width:3100;height:2256" coordorigin="900,136" coordsize="3100,2256" path="m4000,2392l3928,2392m4000,2166l3928,2166m4000,1940l3928,1940m4000,1715l3928,1715m4000,1489l3928,1489m4000,1264l3928,1264m4000,1038l3928,1038m4000,812l3928,812m4000,587l3928,587m4000,361l3928,361m4000,136l3928,136m900,1715l972,1715m900,1489l972,1489m900,1264l972,1264e" filled="false" stroked="true" strokeweight=".5pt" strokecolor="#000000">
              <v:path arrowok="t"/>
              <v:stroke dashstyle="solid"/>
            </v:shape>
            <v:shape style="position:absolute;left:1040;top:853;width:2160;height:1848" coordorigin="1040,853" coordsize="2160,1848" path="m1100,1681l1040,1247m1160,1669l1100,1681m1220,1691l1160,1669m1280,1616l1220,1691m1340,1737l1280,1616m1400,1699l1340,1737m1460,1759l1400,1699m1520,1582l1460,1759m1580,1593l1520,1582m1640,1811l1580,1593m1700,1981l1640,1811m1760,2030l1700,1981m1820,2222l1760,2030m1880,2200l1820,2222m1940,2225l1880,2200m2000,2253l1940,2225m2060,2362l2000,2253m2120,2362l2060,2362m2180,2462l2120,2362m2240,2147l2180,2462m2300,2341l2240,2147m2360,2701l2300,2341m2420,2607l2360,2701m2480,2531l2420,2607m2540,2586l2480,2531m2600,2080l2540,2586m2660,1866l2600,2080m2720,2071l2660,1866m2780,1795l2720,2071m2840,1655l2780,1795m2900,1477l2840,1655m2960,1206l2900,1477m3020,1517l2960,1206m3080,1197l3020,1517m3140,1083l3080,1197m3200,853l3140,1083e" filled="false" stroked="true" strokeweight="1pt" strokecolor="#75442b">
              <v:path arrowok="t"/>
              <v:stroke dashstyle="solid"/>
            </v:shape>
            <w10:wrap type="none"/>
          </v:group>
        </w:pict>
      </w:r>
      <w:r>
        <w:rPr/>
        <w:pict>
          <v:line style="position:absolute;mso-position-horizontal-relative:page;mso-position-vertical-relative:paragraph;z-index:-21988864" from="45pt,18.05876pt" to="48.6pt,18.05876pt" stroked="true" strokeweight=".5pt" strokecolor="#000000">
            <v:stroke dashstyle="solid"/>
            <w10:wrap type="none"/>
          </v:line>
        </w:pict>
      </w:r>
      <w:r>
        <w:rPr/>
        <w:pict>
          <v:line style="position:absolute;mso-position-horizontal-relative:page;mso-position-vertical-relative:paragraph;z-index:-21988352" from="45pt,6.77976pt" to="48.6pt,6.77976pt" stroked="true" strokeweight=".5pt" strokecolor="#000000">
            <v:stroke dashstyle="solid"/>
            <w10:wrap type="none"/>
          </v:line>
        </w:pict>
      </w:r>
      <w:r>
        <w:rPr>
          <w:color w:val="231F20"/>
          <w:w w:val="105"/>
          <w:sz w:val="11"/>
        </w:rPr>
        <w:t>Expectations</w:t>
      </w:r>
      <w:r>
        <w:rPr>
          <w:color w:val="231F20"/>
          <w:spacing w:val="-6"/>
          <w:w w:val="105"/>
          <w:sz w:val="11"/>
        </w:rPr>
        <w:t> </w:t>
      </w:r>
      <w:r>
        <w:rPr>
          <w:color w:val="231F20"/>
          <w:w w:val="105"/>
          <w:sz w:val="11"/>
        </w:rPr>
        <w:t>as</w:t>
      </w:r>
      <w:r>
        <w:rPr>
          <w:color w:val="231F20"/>
          <w:spacing w:val="-5"/>
          <w:w w:val="105"/>
          <w:sz w:val="11"/>
        </w:rPr>
        <w:t> </w:t>
      </w:r>
      <w:r>
        <w:rPr>
          <w:color w:val="231F20"/>
          <w:w w:val="105"/>
          <w:sz w:val="11"/>
        </w:rPr>
        <w:t>at</w:t>
      </w:r>
      <w:r>
        <w:rPr>
          <w:color w:val="231F20"/>
          <w:spacing w:val="-6"/>
          <w:w w:val="105"/>
          <w:sz w:val="11"/>
        </w:rPr>
        <w:t> </w:t>
      </w:r>
      <w:r>
        <w:rPr>
          <w:color w:val="231F20"/>
          <w:w w:val="105"/>
          <w:sz w:val="11"/>
        </w:rPr>
        <w:t>cob</w:t>
      </w:r>
      <w:r>
        <w:rPr>
          <w:color w:val="231F20"/>
          <w:spacing w:val="-5"/>
          <w:w w:val="105"/>
          <w:sz w:val="11"/>
        </w:rPr>
        <w:t> </w:t>
      </w:r>
      <w:r>
        <w:rPr>
          <w:color w:val="231F20"/>
          <w:w w:val="105"/>
          <w:sz w:val="11"/>
        </w:rPr>
        <w:t>9</w:t>
      </w:r>
      <w:r>
        <w:rPr>
          <w:color w:val="231F20"/>
          <w:spacing w:val="-6"/>
          <w:w w:val="105"/>
          <w:sz w:val="11"/>
        </w:rPr>
        <w:t> </w:t>
      </w:r>
      <w:r>
        <w:rPr>
          <w:color w:val="231F20"/>
          <w:w w:val="105"/>
          <w:sz w:val="11"/>
        </w:rPr>
        <w:t>February</w:t>
      </w:r>
      <w:r>
        <w:rPr>
          <w:color w:val="231F20"/>
          <w:spacing w:val="-5"/>
          <w:w w:val="105"/>
          <w:sz w:val="11"/>
        </w:rPr>
        <w:t> </w:t>
      </w:r>
      <w:r>
        <w:rPr>
          <w:color w:val="231F20"/>
          <w:w w:val="105"/>
          <w:sz w:val="11"/>
        </w:rPr>
        <w:t>2000</w:t>
        <w:tab/>
        <w:t>$ per</w:t>
      </w:r>
      <w:r>
        <w:rPr>
          <w:color w:val="231F20"/>
          <w:spacing w:val="-9"/>
          <w:w w:val="105"/>
          <w:sz w:val="11"/>
        </w:rPr>
        <w:t> </w:t>
      </w:r>
      <w:r>
        <w:rPr>
          <w:color w:val="231F20"/>
          <w:w w:val="105"/>
          <w:sz w:val="11"/>
        </w:rPr>
        <w:t>barrel</w:t>
      </w:r>
      <w:r>
        <w:rPr>
          <w:color w:val="231F20"/>
          <w:spacing w:val="28"/>
          <w:w w:val="105"/>
          <w:sz w:val="11"/>
        </w:rPr>
        <w:t> </w:t>
      </w:r>
      <w:r>
        <w:rPr>
          <w:color w:val="231F20"/>
          <w:w w:val="105"/>
          <w:position w:val="-5"/>
          <w:sz w:val="11"/>
        </w:rPr>
        <w:t>34</w:t>
      </w:r>
      <w:r>
        <w:rPr>
          <w:color w:val="231F20"/>
          <w:w w:val="102"/>
          <w:position w:val="-5"/>
          <w:sz w:val="11"/>
        </w:rPr>
        <w:t> </w:t>
      </w:r>
      <w:r>
        <w:rPr>
          <w:color w:val="231F20"/>
          <w:sz w:val="11"/>
        </w:rPr>
        <w:t>32</w:t>
      </w:r>
    </w:p>
    <w:p>
      <w:pPr>
        <w:spacing w:line="124" w:lineRule="exact" w:before="0"/>
        <w:ind w:left="3415" w:right="0" w:firstLine="0"/>
        <w:jc w:val="left"/>
        <w:rPr>
          <w:sz w:val="11"/>
        </w:rPr>
      </w:pPr>
      <w:r>
        <w:rPr/>
        <w:pict>
          <v:line style="position:absolute;mso-position-horizontal-relative:page;mso-position-vertical-relative:paragraph;z-index:16155648" from="45pt,3.572694pt" to="48.6pt,3.572694pt" stroked="true" strokeweight=".5pt" strokecolor="#000000">
            <v:stroke dashstyle="solid"/>
            <w10:wrap type="none"/>
          </v:line>
        </w:pict>
      </w:r>
      <w:r>
        <w:rPr>
          <w:color w:val="231F20"/>
          <w:w w:val="105"/>
          <w:sz w:val="11"/>
        </w:rPr>
        <w:t>30</w:t>
      </w:r>
    </w:p>
    <w:p>
      <w:pPr>
        <w:spacing w:before="100"/>
        <w:ind w:left="3415" w:right="0" w:firstLine="0"/>
        <w:jc w:val="left"/>
        <w:rPr>
          <w:sz w:val="11"/>
        </w:rPr>
      </w:pPr>
      <w:r>
        <w:rPr/>
        <w:pict>
          <v:line style="position:absolute;mso-position-horizontal-relative:page;mso-position-vertical-relative:paragraph;z-index:16155136" from="45pt,8.689675pt" to="48.6pt,8.689675pt" stroked="true" strokeweight=".5pt" strokecolor="#000000">
            <v:stroke dashstyle="solid"/>
            <w10:wrap type="none"/>
          </v:line>
        </w:pict>
      </w:r>
      <w:r>
        <w:rPr>
          <w:color w:val="231F20"/>
          <w:w w:val="105"/>
          <w:sz w:val="11"/>
        </w:rPr>
        <w:t>28</w:t>
      </w:r>
    </w:p>
    <w:p>
      <w:pPr>
        <w:spacing w:before="99"/>
        <w:ind w:left="3415" w:right="0" w:firstLine="0"/>
        <w:jc w:val="left"/>
        <w:rPr>
          <w:sz w:val="11"/>
        </w:rPr>
      </w:pPr>
      <w:r>
        <w:rPr/>
        <w:pict>
          <v:line style="position:absolute;mso-position-horizontal-relative:page;mso-position-vertical-relative:paragraph;z-index:16154624" from="45pt,8.639256pt" to="48.6pt,8.639256pt" stroked="true" strokeweight=".5pt" strokecolor="#000000">
            <v:stroke dashstyle="solid"/>
            <w10:wrap type="none"/>
          </v:line>
        </w:pict>
      </w:r>
      <w:r>
        <w:rPr>
          <w:color w:val="231F20"/>
          <w:w w:val="105"/>
          <w:sz w:val="11"/>
        </w:rPr>
        <w:t>26</w:t>
      </w:r>
    </w:p>
    <w:p>
      <w:pPr>
        <w:spacing w:before="99"/>
        <w:ind w:left="3415" w:right="0" w:firstLine="0"/>
        <w:jc w:val="left"/>
        <w:rPr>
          <w:sz w:val="11"/>
        </w:rPr>
      </w:pPr>
      <w:r>
        <w:rPr>
          <w:color w:val="231F20"/>
          <w:w w:val="105"/>
          <w:sz w:val="11"/>
        </w:rPr>
        <w:t>24</w:t>
      </w:r>
    </w:p>
    <w:p>
      <w:pPr>
        <w:spacing w:before="99"/>
        <w:ind w:left="3415" w:right="0" w:firstLine="0"/>
        <w:jc w:val="left"/>
        <w:rPr>
          <w:sz w:val="11"/>
        </w:rPr>
      </w:pPr>
      <w:r>
        <w:rPr>
          <w:color w:val="231F20"/>
          <w:w w:val="105"/>
          <w:sz w:val="11"/>
        </w:rPr>
        <w:t>22</w:t>
      </w:r>
    </w:p>
    <w:p>
      <w:pPr>
        <w:spacing w:before="99"/>
        <w:ind w:left="3415" w:right="0" w:firstLine="0"/>
        <w:jc w:val="left"/>
        <w:rPr>
          <w:sz w:val="11"/>
        </w:rPr>
      </w:pPr>
      <w:r>
        <w:rPr>
          <w:color w:val="231F20"/>
          <w:w w:val="105"/>
          <w:sz w:val="11"/>
        </w:rPr>
        <w:t>20</w:t>
      </w:r>
    </w:p>
    <w:p>
      <w:pPr>
        <w:spacing w:before="99"/>
        <w:ind w:left="3415" w:right="0" w:firstLine="0"/>
        <w:jc w:val="left"/>
        <w:rPr>
          <w:sz w:val="11"/>
        </w:rPr>
      </w:pPr>
      <w:r>
        <w:rPr/>
        <w:pict>
          <v:line style="position:absolute;mso-position-horizontal-relative:page;mso-position-vertical-relative:paragraph;z-index:16154112" from="45pt,8.64352pt" to="48.6pt,8.64352pt" stroked="true" strokeweight=".5pt" strokecolor="#000000">
            <v:stroke dashstyle="solid"/>
            <w10:wrap type="none"/>
          </v:line>
        </w:pict>
      </w:r>
      <w:r>
        <w:rPr>
          <w:color w:val="231F20"/>
          <w:w w:val="105"/>
          <w:sz w:val="11"/>
        </w:rPr>
        <w:t>18</w:t>
      </w:r>
    </w:p>
    <w:p>
      <w:pPr>
        <w:spacing w:before="99"/>
        <w:ind w:left="3415" w:right="0" w:firstLine="0"/>
        <w:jc w:val="left"/>
        <w:rPr>
          <w:sz w:val="11"/>
        </w:rPr>
      </w:pPr>
      <w:r>
        <w:rPr/>
        <w:pict>
          <v:line style="position:absolute;mso-position-horizontal-relative:page;mso-position-vertical-relative:paragraph;z-index:16153600" from="45pt,8.64307pt" to="48.6pt,8.64307pt" stroked="true" strokeweight=".5pt" strokecolor="#000000">
            <v:stroke dashstyle="solid"/>
            <w10:wrap type="none"/>
          </v:line>
        </w:pict>
      </w:r>
      <w:r>
        <w:rPr>
          <w:color w:val="231F20"/>
          <w:w w:val="105"/>
          <w:sz w:val="11"/>
        </w:rPr>
        <w:t>16</w:t>
      </w:r>
    </w:p>
    <w:p>
      <w:pPr>
        <w:spacing w:before="99"/>
        <w:ind w:left="3415" w:right="0" w:firstLine="0"/>
        <w:jc w:val="left"/>
        <w:rPr>
          <w:sz w:val="11"/>
        </w:rPr>
      </w:pPr>
      <w:r>
        <w:rPr/>
        <w:pict>
          <v:line style="position:absolute;mso-position-horizontal-relative:page;mso-position-vertical-relative:paragraph;z-index:16153088" from="45pt,8.642636pt" to="48.6pt,8.642636pt" stroked="true" strokeweight=".5pt" strokecolor="#000000">
            <v:stroke dashstyle="solid"/>
            <w10:wrap type="none"/>
          </v:line>
        </w:pict>
      </w:r>
      <w:r>
        <w:rPr>
          <w:color w:val="231F20"/>
          <w:w w:val="105"/>
          <w:sz w:val="11"/>
        </w:rPr>
        <w:t>14</w:t>
      </w:r>
    </w:p>
    <w:p>
      <w:pPr>
        <w:spacing w:before="99"/>
        <w:ind w:left="3415" w:right="0" w:firstLine="0"/>
        <w:jc w:val="left"/>
        <w:rPr>
          <w:sz w:val="11"/>
        </w:rPr>
      </w:pPr>
      <w:r>
        <w:rPr/>
        <w:pict>
          <v:line style="position:absolute;mso-position-horizontal-relative:page;mso-position-vertical-relative:paragraph;z-index:16152576" from="45pt,8.645202pt" to="48.6pt,8.645202pt" stroked="true" strokeweight=".5pt" strokecolor="#000000">
            <v:stroke dashstyle="solid"/>
            <w10:wrap type="none"/>
          </v:line>
        </w:pict>
      </w:r>
      <w:r>
        <w:rPr/>
        <w:pict>
          <v:line style="position:absolute;mso-position-horizontal-relative:page;mso-position-vertical-relative:paragraph;z-index:16157184" from="199.999994pt,8.645202pt" to="196.399994pt,8.645202pt" stroked="true" strokeweight=".5pt" strokecolor="#000000">
            <v:stroke dashstyle="solid"/>
            <w10:wrap type="none"/>
          </v:line>
        </w:pict>
      </w:r>
      <w:r>
        <w:rPr>
          <w:color w:val="231F20"/>
          <w:w w:val="105"/>
          <w:sz w:val="11"/>
        </w:rPr>
        <w:t>12</w:t>
      </w:r>
    </w:p>
    <w:p>
      <w:pPr>
        <w:spacing w:before="99"/>
        <w:ind w:left="3415" w:right="0" w:firstLine="0"/>
        <w:jc w:val="left"/>
        <w:rPr>
          <w:sz w:val="11"/>
        </w:rPr>
      </w:pPr>
      <w:r>
        <w:rPr/>
        <w:pict>
          <v:shape style="position:absolute;margin-left:45pt;margin-top:8.644768pt;width:156pt;height:6.15pt;mso-position-horizontal-relative:page;mso-position-vertical-relative:paragraph;z-index:16152064" coordorigin="900,173" coordsize="3120,123" path="m910,295l3995,295m1040,295l1040,196m1100,295l1100,256m1160,295l1160,256m1220,295l1220,256m1280,295l1280,256m1340,295l1340,256m1400,295l1400,256m1460,295l1460,256m1520,295l1520,256m1580,295l1580,256m1640,295l1640,256m1700,295l1700,256m1760,295l1760,209m1820,295l1820,256m1880,295l1880,256m1940,295l1940,256m2000,295l2000,256m2060,295l2060,256m2120,295l2120,256m2180,295l2180,256m2240,295l2240,256m2300,295l2300,256m2360,295l2360,256m2420,295l2420,256m2480,295l2480,209m2540,295l2540,256m2600,295l2600,256m2660,295l2660,256m2720,295l2720,256m2780,295l2780,256m2840,295l2840,256m2900,295l2900,256m2960,295l2960,256m3020,295l3020,256m3080,295l3080,256m3140,295l3140,256m3200,295l3200,209m3260,295l3260,256m3320,295l3320,256m3380,295l3380,256m3440,295l3440,256m3500,295l3500,256m3560,295l3560,256m3620,295l3620,256m3680,295l3680,256m3740,295l3740,256m3800,295l3800,256m3860,295l3860,256m900,173l972,173m4000,173l3928,173m4000,176l4000,201,3980,216,4020,229,3980,248,4020,264,3997,273,3996,295m974,174l974,199,954,214,994,227,954,246,994,261,970,271,970,293e" filled="false" stroked="true" strokeweight=".5pt" strokecolor="#000000">
            <v:path arrowok="t"/>
            <v:stroke dashstyle="solid"/>
            <w10:wrap type="none"/>
          </v:shape>
        </w:pict>
      </w:r>
      <w:r>
        <w:rPr>
          <w:color w:val="231F20"/>
          <w:w w:val="105"/>
          <w:sz w:val="11"/>
        </w:rPr>
        <w:t>10</w:t>
      </w:r>
    </w:p>
    <w:p>
      <w:pPr>
        <w:spacing w:line="109" w:lineRule="exact" w:before="5"/>
        <w:ind w:left="3475" w:right="0" w:firstLine="0"/>
        <w:jc w:val="left"/>
        <w:rPr>
          <w:sz w:val="11"/>
        </w:rPr>
      </w:pPr>
      <w:r>
        <w:rPr>
          <w:color w:val="231F20"/>
          <w:w w:val="102"/>
          <w:sz w:val="11"/>
        </w:rPr>
        <w:t>0</w:t>
      </w:r>
    </w:p>
    <w:p>
      <w:pPr>
        <w:tabs>
          <w:tab w:pos="1389" w:val="left" w:leader="none"/>
          <w:tab w:pos="2124" w:val="left" w:leader="none"/>
          <w:tab w:pos="2804" w:val="left" w:leader="none"/>
        </w:tabs>
        <w:spacing w:line="109" w:lineRule="exact" w:before="0"/>
        <w:ind w:left="674" w:right="0" w:firstLine="0"/>
        <w:jc w:val="left"/>
        <w:rPr>
          <w:sz w:val="11"/>
        </w:rPr>
      </w:pPr>
      <w:r>
        <w:rPr>
          <w:color w:val="231F20"/>
          <w:w w:val="105"/>
          <w:sz w:val="11"/>
        </w:rPr>
        <w:t>1997</w:t>
        <w:tab/>
        <w:t>98</w:t>
        <w:tab/>
        <w:t>99</w:t>
        <w:tab/>
        <w:t>2000</w:t>
      </w:r>
    </w:p>
    <w:p>
      <w:pPr>
        <w:pStyle w:val="BodyText"/>
        <w:spacing w:before="6"/>
        <w:rPr>
          <w:sz w:val="13"/>
        </w:rPr>
      </w:pPr>
    </w:p>
    <w:p>
      <w:pPr>
        <w:spacing w:before="1"/>
        <w:ind w:left="180" w:right="0" w:firstLine="0"/>
        <w:jc w:val="left"/>
        <w:rPr>
          <w:sz w:val="12"/>
        </w:rPr>
      </w:pPr>
      <w:r>
        <w:rPr>
          <w:color w:val="231F20"/>
          <w:sz w:val="12"/>
        </w:rPr>
        <w:t>Sources: NYMEX and Bank of England.</w:t>
      </w:r>
    </w:p>
    <w:p>
      <w:pPr>
        <w:pStyle w:val="BodyText"/>
        <w:spacing w:before="1"/>
        <w:rPr>
          <w:sz w:val="10"/>
        </w:rPr>
      </w:pPr>
    </w:p>
    <w:p>
      <w:pPr>
        <w:pStyle w:val="ListParagraph"/>
        <w:numPr>
          <w:ilvl w:val="0"/>
          <w:numId w:val="29"/>
        </w:numPr>
        <w:tabs>
          <w:tab w:pos="420" w:val="left" w:leader="none"/>
        </w:tabs>
        <w:spacing w:line="208" w:lineRule="auto" w:before="0" w:after="0"/>
        <w:ind w:left="420" w:right="214" w:hanging="240"/>
        <w:jc w:val="both"/>
        <w:rPr>
          <w:sz w:val="12"/>
        </w:rPr>
      </w:pPr>
      <w:r>
        <w:rPr>
          <w:color w:val="231F20"/>
          <w:sz w:val="12"/>
        </w:rPr>
        <w:t>Derived from option prices for West Texas Intermediate oil (WTI). Prices for WTI tend to be around $1 per barrel higher than those </w:t>
      </w:r>
      <w:r>
        <w:rPr>
          <w:color w:val="231F20"/>
          <w:spacing w:val="-6"/>
          <w:sz w:val="12"/>
        </w:rPr>
        <w:t>for </w:t>
      </w:r>
      <w:r>
        <w:rPr>
          <w:color w:val="231F20"/>
          <w:sz w:val="12"/>
        </w:rPr>
        <w:t>Brent crude oil.</w:t>
      </w:r>
    </w:p>
    <w:p>
      <w:pPr>
        <w:pStyle w:val="ListParagraph"/>
        <w:numPr>
          <w:ilvl w:val="0"/>
          <w:numId w:val="29"/>
        </w:numPr>
        <w:tabs>
          <w:tab w:pos="421" w:val="left" w:leader="none"/>
        </w:tabs>
        <w:spacing w:line="208" w:lineRule="auto" w:before="0" w:after="0"/>
        <w:ind w:left="420" w:right="38" w:hanging="240"/>
        <w:jc w:val="left"/>
        <w:rPr>
          <w:sz w:val="12"/>
        </w:rPr>
      </w:pPr>
      <w:r>
        <w:rPr>
          <w:color w:val="231F20"/>
          <w:sz w:val="12"/>
        </w:rPr>
        <w:t>The chart depicts the probability distributions for oil prices, and is rather like a contour map. At any given point, the depth of shading represents the height of the probability density function implied by the markets over a range of outcomes for oil prices.  The markets judge that there is a 10% chance of oil prices being within the darkest, </w:t>
      </w:r>
      <w:r>
        <w:rPr>
          <w:color w:val="231F20"/>
          <w:spacing w:val="-3"/>
          <w:sz w:val="12"/>
        </w:rPr>
        <w:t>central </w:t>
      </w:r>
      <w:r>
        <w:rPr>
          <w:color w:val="231F20"/>
          <w:sz w:val="12"/>
        </w:rPr>
        <w:t>band at any date. Each successive pair of bands covers a further 10% of the distribution until 90% of the distribution is covered. The</w:t>
      </w:r>
    </w:p>
    <w:p>
      <w:pPr>
        <w:spacing w:line="208" w:lineRule="auto" w:before="0"/>
        <w:ind w:left="420" w:right="307" w:firstLine="0"/>
        <w:jc w:val="left"/>
        <w:rPr>
          <w:sz w:val="12"/>
        </w:rPr>
      </w:pPr>
      <w:r>
        <w:rPr>
          <w:color w:val="231F20"/>
          <w:sz w:val="12"/>
        </w:rPr>
        <w:t>bands widen as the time horizon is extended, indicating increased uncertainty about oil price outcomes.</w:t>
      </w:r>
    </w:p>
    <w:p>
      <w:pPr>
        <w:pStyle w:val="Heading6"/>
        <w:spacing w:line="242" w:lineRule="auto" w:before="90"/>
        <w:ind w:left="180" w:right="172"/>
      </w:pPr>
      <w:r>
        <w:rPr/>
        <w:br w:type="column"/>
      </w:r>
      <w:r>
        <w:rPr>
          <w:spacing w:val="-4"/>
        </w:rPr>
        <w:t>World </w:t>
      </w:r>
      <w:r>
        <w:rPr/>
        <w:t>prices for crude oil have risen further since the November </w:t>
      </w:r>
      <w:r>
        <w:rPr>
          <w:i/>
          <w:color w:val="231F20"/>
        </w:rPr>
        <w:t>Report </w:t>
      </w:r>
      <w:r>
        <w:rPr>
          <w:color w:val="231F20"/>
        </w:rPr>
        <w:t>to their highest level since 1991. The one-month forward price of Brent crude oil averaged more than $25 per barrel in January. Oil prices have been underpinned by restrictions on production, which were renewed by the Organisation of Petroleum Exporting Countries (OPEC) in September. These are due to be reviewed at the end of March. Oil prices have also been supported by the improved prospects for </w:t>
      </w:r>
      <w:r>
        <w:rPr>
          <w:color w:val="231F20"/>
          <w:spacing w:val="-4"/>
        </w:rPr>
        <w:t>world </w:t>
      </w:r>
      <w:r>
        <w:rPr>
          <w:color w:val="231F20"/>
        </w:rPr>
        <w:t>demand, particularly the strong recovery in Asia, which is a relatively intensive user of primary commodities.</w:t>
      </w:r>
    </w:p>
    <w:p>
      <w:pPr>
        <w:pStyle w:val="BodyText"/>
        <w:spacing w:before="10"/>
        <w:rPr>
          <w:sz w:val="23"/>
        </w:rPr>
      </w:pPr>
    </w:p>
    <w:p>
      <w:pPr>
        <w:spacing w:line="242" w:lineRule="auto" w:before="0"/>
        <w:ind w:left="180" w:right="153" w:firstLine="0"/>
        <w:jc w:val="left"/>
        <w:rPr>
          <w:sz w:val="24"/>
        </w:rPr>
      </w:pPr>
      <w:r>
        <w:rPr>
          <w:color w:val="231F20"/>
          <w:sz w:val="24"/>
        </w:rPr>
        <w:t>Oil futures prices may contain useful information about the expected future spot price.</w:t>
      </w:r>
      <w:r>
        <w:rPr>
          <w:color w:val="231F20"/>
          <w:position w:val="5"/>
          <w:sz w:val="16"/>
        </w:rPr>
        <w:t>(1) </w:t>
      </w:r>
      <w:r>
        <w:rPr>
          <w:color w:val="231F20"/>
          <w:sz w:val="24"/>
        </w:rPr>
        <w:t>Futures prices indicate that the price of oil is expected to decline over the course of this year. That may partly reflect expectations that non-OPEC oil producers will increase supplies. But a range of outcomes is possible, as illustrated by the</w:t>
      </w:r>
    </w:p>
    <w:p>
      <w:pPr>
        <w:spacing w:line="242" w:lineRule="auto" w:before="7"/>
        <w:ind w:left="180" w:right="265" w:firstLine="0"/>
        <w:jc w:val="left"/>
        <w:rPr>
          <w:sz w:val="24"/>
        </w:rPr>
      </w:pPr>
      <w:r>
        <w:rPr>
          <w:color w:val="231F20"/>
          <w:sz w:val="24"/>
        </w:rPr>
        <w:t>risk-neutral probability distribution of oil prices derived from futures prices, shown in Chart 4.1. The increasing width of the distribution illustrates that the market is more uncertain about prospects for oil prices further ahead in time. But it is possible to abstract from this ‘time-to-maturity’ effect and see how the implied distribution for oil prices a fixed number of months</w:t>
      </w:r>
    </w:p>
    <w:p>
      <w:pPr>
        <w:pStyle w:val="BodyText"/>
        <w:spacing w:before="6"/>
        <w:rPr>
          <w:sz w:val="11"/>
        </w:rPr>
      </w:pPr>
      <w:r>
        <w:rPr/>
        <w:pict>
          <v:shape style="position:absolute;margin-left:279pt;margin-top:8.720312pt;width:278pt;height:.1pt;mso-position-horizontal-relative:page;mso-position-vertical-relative:paragraph;z-index:-15306240;mso-wrap-distance-left:0;mso-wrap-distance-right:0" coordorigin="5580,174" coordsize="5560,0" path="m5580,174l11140,174e" filled="false" stroked="true" strokeweight=".125pt" strokecolor="#231f20">
            <v:path arrowok="t"/>
            <v:stroke dashstyle="solid"/>
            <w10:wrap type="topAndBottom"/>
          </v:shape>
        </w:pict>
      </w:r>
    </w:p>
    <w:p>
      <w:pPr>
        <w:pStyle w:val="ListParagraph"/>
        <w:numPr>
          <w:ilvl w:val="1"/>
          <w:numId w:val="29"/>
        </w:numPr>
        <w:tabs>
          <w:tab w:pos="421" w:val="left" w:leader="none"/>
        </w:tabs>
        <w:spacing w:line="208" w:lineRule="auto" w:before="0" w:after="0"/>
        <w:ind w:left="420" w:right="781" w:hanging="240"/>
        <w:jc w:val="left"/>
        <w:rPr>
          <w:sz w:val="16"/>
        </w:rPr>
      </w:pPr>
      <w:r>
        <w:rPr>
          <w:color w:val="231F20"/>
          <w:sz w:val="16"/>
        </w:rPr>
        <w:t>See for example, Fama, E, and French, K, ‘Commodity futures prices: some evidence on forecast power, premiums, and the theory of storage’, </w:t>
      </w:r>
      <w:r>
        <w:rPr>
          <w:i/>
          <w:color w:val="231F20"/>
          <w:sz w:val="16"/>
        </w:rPr>
        <w:t>Journal of Business</w:t>
      </w:r>
      <w:r>
        <w:rPr>
          <w:color w:val="231F20"/>
          <w:sz w:val="16"/>
        </w:rPr>
        <w:t>, January 1987, pages</w:t>
      </w:r>
      <w:r>
        <w:rPr>
          <w:color w:val="231F20"/>
          <w:spacing w:val="-1"/>
          <w:sz w:val="16"/>
        </w:rPr>
        <w:t> </w:t>
      </w:r>
      <w:r>
        <w:rPr>
          <w:color w:val="231F20"/>
          <w:sz w:val="16"/>
        </w:rPr>
        <w:t>55–73.</w:t>
      </w:r>
    </w:p>
    <w:p>
      <w:pPr>
        <w:spacing w:after="0" w:line="208" w:lineRule="auto"/>
        <w:jc w:val="left"/>
        <w:rPr>
          <w:sz w:val="16"/>
        </w:rPr>
        <w:sectPr>
          <w:type w:val="continuous"/>
          <w:pgSz w:w="11900" w:h="16840"/>
          <w:pgMar w:top="1220" w:bottom="280" w:left="620" w:right="640"/>
          <w:cols w:num="2" w:equalWidth="0">
            <w:col w:w="3893" w:space="927"/>
            <w:col w:w="5820"/>
          </w:cols>
        </w:sectPr>
      </w:pPr>
    </w:p>
    <w:p>
      <w:pPr>
        <w:pStyle w:val="BodyText"/>
        <w:rPr>
          <w:sz w:val="20"/>
        </w:rPr>
      </w:pPr>
    </w:p>
    <w:p>
      <w:pPr>
        <w:spacing w:after="0"/>
        <w:rPr>
          <w:sz w:val="20"/>
        </w:rPr>
        <w:sectPr>
          <w:headerReference w:type="default" r:id="rId125"/>
          <w:headerReference w:type="even" r:id="rId126"/>
          <w:pgSz w:w="11900" w:h="16840"/>
          <w:pgMar w:header="584" w:footer="617" w:top="780" w:bottom="780" w:left="620" w:right="640"/>
        </w:sectPr>
      </w:pPr>
    </w:p>
    <w:p>
      <w:pPr>
        <w:pStyle w:val="BodyText"/>
        <w:spacing w:before="9"/>
        <w:rPr>
          <w:sz w:val="21"/>
        </w:rPr>
      </w:pPr>
    </w:p>
    <w:p>
      <w:pPr>
        <w:pStyle w:val="Heading9"/>
        <w:spacing w:before="0"/>
      </w:pPr>
      <w:bookmarkStart w:name="Import prices and the exchange rate" w:id="57"/>
      <w:bookmarkEnd w:id="57"/>
      <w:r>
        <w:rPr>
          <w:b w:val="0"/>
        </w:rPr>
      </w:r>
      <w:bookmarkStart w:name="_bookmark22" w:id="58"/>
      <w:bookmarkEnd w:id="58"/>
      <w:r>
        <w:rPr>
          <w:b w:val="0"/>
        </w:rPr>
      </w:r>
      <w:r>
        <w:rPr>
          <w:color w:val="0093C1"/>
        </w:rPr>
        <w:t>Chart 4.2</w:t>
      </w:r>
    </w:p>
    <w:p>
      <w:pPr>
        <w:spacing w:line="249" w:lineRule="auto" w:before="10"/>
        <w:ind w:left="190" w:right="20" w:firstLine="0"/>
        <w:jc w:val="left"/>
        <w:rPr>
          <w:sz w:val="12"/>
        </w:rPr>
      </w:pPr>
      <w:r>
        <w:rPr>
          <w:b/>
          <w:color w:val="0093C1"/>
          <w:sz w:val="20"/>
        </w:rPr>
        <w:t>Information from futures prices about the oil price six months ahead</w:t>
      </w:r>
      <w:r>
        <w:rPr>
          <w:position w:val="4"/>
          <w:sz w:val="12"/>
        </w:rPr>
        <w:t>(a)</w:t>
      </w:r>
    </w:p>
    <w:p>
      <w:pPr>
        <w:spacing w:line="242" w:lineRule="auto" w:before="206"/>
        <w:ind w:left="190" w:right="219" w:firstLine="0"/>
        <w:jc w:val="left"/>
        <w:rPr>
          <w:sz w:val="24"/>
        </w:rPr>
      </w:pPr>
      <w:r>
        <w:rPr/>
        <w:br w:type="column"/>
      </w:r>
      <w:r>
        <w:rPr>
          <w:sz w:val="24"/>
        </w:rPr>
        <w:t>ahead has changed over time.</w:t>
      </w:r>
      <w:r>
        <w:rPr>
          <w:position w:val="5"/>
          <w:sz w:val="16"/>
        </w:rPr>
        <w:t>(1)   </w:t>
      </w:r>
      <w:r>
        <w:rPr>
          <w:sz w:val="24"/>
        </w:rPr>
        <w:t>Chart 4.2 shows features of those distributions. During the second half </w:t>
      </w:r>
      <w:r>
        <w:rPr>
          <w:spacing w:val="-9"/>
          <w:sz w:val="24"/>
        </w:rPr>
        <w:t>of </w:t>
      </w:r>
      <w:r>
        <w:rPr>
          <w:sz w:val="24"/>
        </w:rPr>
        <w:t>1999, uncertainty about the oil price six months ahead</w:t>
      </w:r>
    </w:p>
    <w:p>
      <w:pPr>
        <w:spacing w:after="0" w:line="242" w:lineRule="auto"/>
        <w:jc w:val="left"/>
        <w:rPr>
          <w:sz w:val="24"/>
        </w:rPr>
        <w:sectPr>
          <w:type w:val="continuous"/>
          <w:pgSz w:w="11900" w:h="16840"/>
          <w:pgMar w:top="1220" w:bottom="280" w:left="620" w:right="640"/>
          <w:cols w:num="2" w:equalWidth="0">
            <w:col w:w="3508" w:space="1282"/>
            <w:col w:w="5850"/>
          </w:cols>
        </w:sectPr>
      </w:pPr>
    </w:p>
    <w:p>
      <w:pPr>
        <w:pStyle w:val="BodyText"/>
        <w:spacing w:before="7"/>
        <w:rPr>
          <w:sz w:val="11"/>
        </w:rPr>
      </w:pPr>
    </w:p>
    <w:p>
      <w:pPr>
        <w:spacing w:before="1"/>
        <w:ind w:left="244" w:right="0" w:firstLine="0"/>
        <w:jc w:val="left"/>
        <w:rPr>
          <w:sz w:val="12"/>
        </w:rPr>
      </w:pPr>
      <w:r>
        <w:rPr/>
        <w:drawing>
          <wp:anchor distT="0" distB="0" distL="0" distR="0" allowOverlap="1" layoutInCell="1" locked="0" behindDoc="0" simplePos="0" relativeHeight="16166912">
            <wp:simplePos x="0" y="0"/>
            <wp:positionH relativeFrom="page">
              <wp:posOffset>548220</wp:posOffset>
            </wp:positionH>
            <wp:positionV relativeFrom="paragraph">
              <wp:posOffset>119281</wp:posOffset>
            </wp:positionV>
            <wp:extent cx="2040458" cy="495300"/>
            <wp:effectExtent l="0" t="0" r="0" b="0"/>
            <wp:wrapNone/>
            <wp:docPr id="135" name="image60.png"/>
            <wp:cNvGraphicFramePr>
              <a:graphicFrameLocks noChangeAspect="1"/>
            </wp:cNvGraphicFramePr>
            <a:graphic>
              <a:graphicData uri="http://schemas.openxmlformats.org/drawingml/2006/picture">
                <pic:pic>
                  <pic:nvPicPr>
                    <pic:cNvPr id="136" name="image60.png"/>
                    <pic:cNvPicPr/>
                  </pic:nvPicPr>
                  <pic:blipFill>
                    <a:blip r:embed="rId127" cstate="print"/>
                    <a:stretch>
                      <a:fillRect/>
                    </a:stretch>
                  </pic:blipFill>
                  <pic:spPr>
                    <a:xfrm>
                      <a:off x="0" y="0"/>
                      <a:ext cx="2040458" cy="495300"/>
                    </a:xfrm>
                    <a:prstGeom prst="rect">
                      <a:avLst/>
                    </a:prstGeom>
                  </pic:spPr>
                </pic:pic>
              </a:graphicData>
            </a:graphic>
          </wp:anchor>
        </w:drawing>
      </w:r>
      <w:r>
        <w:rPr>
          <w:sz w:val="12"/>
          <w:u w:val="single"/>
        </w:rPr>
        <w:t>M</w:t>
      </w:r>
      <w:r>
        <w:rPr>
          <w:sz w:val="12"/>
        </w:rPr>
        <w:t>ean</w:t>
      </w:r>
    </w:p>
    <w:p>
      <w:pPr>
        <w:pStyle w:val="BodyText"/>
        <w:rPr>
          <w:sz w:val="20"/>
        </w:rPr>
      </w:pPr>
    </w:p>
    <w:p>
      <w:pPr>
        <w:pStyle w:val="BodyText"/>
        <w:rPr>
          <w:sz w:val="20"/>
        </w:rPr>
      </w:pPr>
    </w:p>
    <w:p>
      <w:pPr>
        <w:pStyle w:val="BodyText"/>
        <w:rPr>
          <w:sz w:val="20"/>
        </w:rPr>
      </w:pPr>
    </w:p>
    <w:p>
      <w:pPr>
        <w:pStyle w:val="BodyText"/>
        <w:spacing w:before="4"/>
        <w:rPr>
          <w:sz w:val="19"/>
        </w:rPr>
      </w:pPr>
      <w:r>
        <w:rPr/>
        <w:drawing>
          <wp:anchor distT="0" distB="0" distL="0" distR="0" allowOverlap="1" layoutInCell="1" locked="0" behindDoc="0" simplePos="0" relativeHeight="838">
            <wp:simplePos x="0" y="0"/>
            <wp:positionH relativeFrom="page">
              <wp:posOffset>548220</wp:posOffset>
            </wp:positionH>
            <wp:positionV relativeFrom="paragraph">
              <wp:posOffset>166358</wp:posOffset>
            </wp:positionV>
            <wp:extent cx="55304" cy="6381"/>
            <wp:effectExtent l="0" t="0" r="0" b="0"/>
            <wp:wrapTopAndBottom/>
            <wp:docPr id="137" name="image12.png"/>
            <wp:cNvGraphicFramePr>
              <a:graphicFrameLocks noChangeAspect="1"/>
            </wp:cNvGraphicFramePr>
            <a:graphic>
              <a:graphicData uri="http://schemas.openxmlformats.org/drawingml/2006/picture">
                <pic:pic>
                  <pic:nvPicPr>
                    <pic:cNvPr id="138" name="image12.png"/>
                    <pic:cNvPicPr/>
                  </pic:nvPicPr>
                  <pic:blipFill>
                    <a:blip r:embed="rId47" cstate="print"/>
                    <a:stretch>
                      <a:fillRect/>
                    </a:stretch>
                  </pic:blipFill>
                  <pic:spPr>
                    <a:xfrm>
                      <a:off x="0" y="0"/>
                      <a:ext cx="55304" cy="6381"/>
                    </a:xfrm>
                    <a:prstGeom prst="rect">
                      <a:avLst/>
                    </a:prstGeom>
                  </pic:spPr>
                </pic:pic>
              </a:graphicData>
            </a:graphic>
          </wp:anchor>
        </w:drawing>
      </w:r>
    </w:p>
    <w:p>
      <w:pPr>
        <w:pStyle w:val="BodyText"/>
        <w:spacing w:before="8"/>
        <w:rPr>
          <w:sz w:val="11"/>
        </w:rPr>
      </w:pPr>
      <w:r>
        <w:rPr/>
        <w:br w:type="column"/>
      </w:r>
      <w:r>
        <w:rPr>
          <w:sz w:val="11"/>
        </w:rPr>
      </w:r>
    </w:p>
    <w:p>
      <w:pPr>
        <w:spacing w:before="0"/>
        <w:ind w:left="243" w:right="0" w:firstLine="0"/>
        <w:jc w:val="left"/>
        <w:rPr>
          <w:sz w:val="12"/>
        </w:rPr>
      </w:pPr>
      <w:r>
        <w:rPr>
          <w:sz w:val="12"/>
        </w:rPr>
        <w:t>$ per barr</w:t>
      </w:r>
      <w:r>
        <w:rPr>
          <w:sz w:val="12"/>
          <w:u w:val="single"/>
        </w:rPr>
        <w:t>e</w:t>
      </w:r>
      <w:r>
        <w:rPr>
          <w:sz w:val="12"/>
        </w:rPr>
        <w:t>l</w:t>
      </w:r>
    </w:p>
    <w:p>
      <w:pPr>
        <w:pStyle w:val="BodyText"/>
        <w:rPr>
          <w:sz w:val="20"/>
        </w:rPr>
      </w:pPr>
    </w:p>
    <w:p>
      <w:pPr>
        <w:pStyle w:val="BodyText"/>
        <w:rPr>
          <w:sz w:val="20"/>
        </w:rPr>
      </w:pPr>
    </w:p>
    <w:p>
      <w:pPr>
        <w:pStyle w:val="BodyText"/>
        <w:rPr>
          <w:sz w:val="20"/>
        </w:rPr>
      </w:pPr>
    </w:p>
    <w:p>
      <w:pPr>
        <w:pStyle w:val="BodyText"/>
        <w:spacing w:before="9"/>
        <w:rPr>
          <w:sz w:val="22"/>
        </w:rPr>
      </w:pPr>
    </w:p>
    <w:p>
      <w:pPr>
        <w:pStyle w:val="BodyText"/>
        <w:spacing w:line="20" w:lineRule="exact"/>
        <w:ind w:left="710" w:right="-44"/>
        <w:rPr>
          <w:sz w:val="2"/>
        </w:rPr>
      </w:pPr>
      <w:r>
        <w:rPr>
          <w:sz w:val="2"/>
        </w:rPr>
        <w:drawing>
          <wp:inline distT="0" distB="0" distL="0" distR="0">
            <wp:extent cx="55304" cy="6381"/>
            <wp:effectExtent l="0" t="0" r="0" b="0"/>
            <wp:docPr id="139" name="image12.png"/>
            <wp:cNvGraphicFramePr>
              <a:graphicFrameLocks noChangeAspect="1"/>
            </wp:cNvGraphicFramePr>
            <a:graphic>
              <a:graphicData uri="http://schemas.openxmlformats.org/drawingml/2006/picture">
                <pic:pic>
                  <pic:nvPicPr>
                    <pic:cNvPr id="140" name="image12.png"/>
                    <pic:cNvPicPr/>
                  </pic:nvPicPr>
                  <pic:blipFill>
                    <a:blip r:embed="rId47" cstate="print"/>
                    <a:stretch>
                      <a:fillRect/>
                    </a:stretch>
                  </pic:blipFill>
                  <pic:spPr>
                    <a:xfrm>
                      <a:off x="0" y="0"/>
                      <a:ext cx="55304" cy="6381"/>
                    </a:xfrm>
                    <a:prstGeom prst="rect">
                      <a:avLst/>
                    </a:prstGeom>
                  </pic:spPr>
                </pic:pic>
              </a:graphicData>
            </a:graphic>
          </wp:inline>
        </w:drawing>
      </w:r>
      <w:r>
        <w:rPr>
          <w:sz w:val="2"/>
        </w:rPr>
      </w:r>
    </w:p>
    <w:p>
      <w:pPr>
        <w:pStyle w:val="BodyText"/>
        <w:rPr>
          <w:sz w:val="12"/>
        </w:rPr>
      </w:pPr>
      <w:r>
        <w:rPr/>
        <w:br w:type="column"/>
      </w:r>
      <w:r>
        <w:rPr>
          <w:sz w:val="12"/>
        </w:rPr>
      </w:r>
    </w:p>
    <w:p>
      <w:pPr>
        <w:spacing w:before="69"/>
        <w:ind w:left="-11" w:right="0" w:firstLine="0"/>
        <w:jc w:val="left"/>
        <w:rPr>
          <w:sz w:val="12"/>
        </w:rPr>
      </w:pPr>
      <w:r>
        <w:rPr>
          <w:sz w:val="12"/>
        </w:rPr>
        <w:t>26.0</w:t>
      </w:r>
    </w:p>
    <w:p>
      <w:pPr>
        <w:spacing w:before="100"/>
        <w:ind w:left="-11" w:right="0" w:firstLine="0"/>
        <w:jc w:val="left"/>
        <w:rPr>
          <w:sz w:val="12"/>
        </w:rPr>
      </w:pPr>
      <w:r>
        <w:rPr>
          <w:sz w:val="12"/>
        </w:rPr>
        <w:t>22.0</w:t>
      </w:r>
    </w:p>
    <w:p>
      <w:pPr>
        <w:spacing w:before="102"/>
        <w:ind w:left="-11" w:right="0" w:firstLine="0"/>
        <w:jc w:val="left"/>
        <w:rPr>
          <w:sz w:val="12"/>
        </w:rPr>
      </w:pPr>
      <w:r>
        <w:rPr>
          <w:sz w:val="12"/>
        </w:rPr>
        <w:t>18.0</w:t>
      </w:r>
    </w:p>
    <w:p>
      <w:pPr>
        <w:spacing w:before="99"/>
        <w:ind w:left="-11" w:right="0" w:firstLine="0"/>
        <w:jc w:val="left"/>
        <w:rPr>
          <w:sz w:val="12"/>
        </w:rPr>
      </w:pPr>
      <w:r>
        <w:rPr>
          <w:sz w:val="12"/>
        </w:rPr>
        <w:t>14.0</w:t>
      </w:r>
    </w:p>
    <w:p>
      <w:pPr>
        <w:spacing w:before="100"/>
        <w:ind w:left="-11" w:right="0" w:firstLine="0"/>
        <w:jc w:val="left"/>
        <w:rPr>
          <w:sz w:val="12"/>
        </w:rPr>
      </w:pPr>
      <w:r>
        <w:rPr>
          <w:sz w:val="12"/>
        </w:rPr>
        <w:t>10.0</w:t>
      </w:r>
    </w:p>
    <w:p>
      <w:pPr>
        <w:pStyle w:val="Heading6"/>
        <w:spacing w:line="242" w:lineRule="auto" w:before="4"/>
        <w:ind w:left="243" w:right="275"/>
      </w:pPr>
      <w:r>
        <w:rPr/>
        <w:br w:type="column"/>
      </w:r>
      <w:r>
        <w:rPr/>
        <w:t>increased, but has since stabilised. The positive skew indicates that the market assesses the balance of risks to future oil prices to be on the upside, but slightly less so than at the beginning of 1999, before oil prices rose.</w:t>
      </w:r>
    </w:p>
    <w:p>
      <w:pPr>
        <w:spacing w:line="205" w:lineRule="exact" w:before="5"/>
        <w:ind w:left="243" w:right="0" w:firstLine="0"/>
        <w:jc w:val="left"/>
        <w:rPr>
          <w:sz w:val="24"/>
        </w:rPr>
      </w:pPr>
      <w:r>
        <w:rPr>
          <w:sz w:val="24"/>
        </w:rPr>
        <w:t>Consistent with the information from oil futures prices,</w:t>
      </w:r>
    </w:p>
    <w:p>
      <w:pPr>
        <w:spacing w:after="0" w:line="205" w:lineRule="exact"/>
        <w:jc w:val="left"/>
        <w:rPr>
          <w:sz w:val="24"/>
        </w:rPr>
        <w:sectPr>
          <w:type w:val="continuous"/>
          <w:pgSz w:w="11900" w:h="16840"/>
          <w:pgMar w:top="1220" w:bottom="280" w:left="620" w:right="640"/>
          <w:cols w:num="4" w:equalWidth="0">
            <w:col w:w="558" w:space="2102"/>
            <w:col w:w="797" w:space="40"/>
            <w:col w:w="240" w:space="1000"/>
            <w:col w:w="5903"/>
          </w:cols>
        </w:sectPr>
      </w:pPr>
    </w:p>
    <w:p>
      <w:pPr>
        <w:spacing w:line="133" w:lineRule="exact" w:before="0"/>
        <w:ind w:left="244" w:right="0" w:firstLine="0"/>
        <w:jc w:val="left"/>
        <w:rPr>
          <w:sz w:val="12"/>
        </w:rPr>
      </w:pPr>
      <w:r>
        <w:rPr/>
        <w:drawing>
          <wp:anchor distT="0" distB="0" distL="0" distR="0" allowOverlap="1" layoutInCell="1" locked="0" behindDoc="0" simplePos="0" relativeHeight="16167424">
            <wp:simplePos x="0" y="0"/>
            <wp:positionH relativeFrom="page">
              <wp:posOffset>548220</wp:posOffset>
            </wp:positionH>
            <wp:positionV relativeFrom="paragraph">
              <wp:posOffset>234649</wp:posOffset>
            </wp:positionV>
            <wp:extent cx="2040458" cy="227012"/>
            <wp:effectExtent l="0" t="0" r="0" b="0"/>
            <wp:wrapNone/>
            <wp:docPr id="141" name="image61.png"/>
            <wp:cNvGraphicFramePr>
              <a:graphicFrameLocks noChangeAspect="1"/>
            </wp:cNvGraphicFramePr>
            <a:graphic>
              <a:graphicData uri="http://schemas.openxmlformats.org/drawingml/2006/picture">
                <pic:pic>
                  <pic:nvPicPr>
                    <pic:cNvPr id="142" name="image61.png"/>
                    <pic:cNvPicPr/>
                  </pic:nvPicPr>
                  <pic:blipFill>
                    <a:blip r:embed="rId128" cstate="print"/>
                    <a:stretch>
                      <a:fillRect/>
                    </a:stretch>
                  </pic:blipFill>
                  <pic:spPr>
                    <a:xfrm>
                      <a:off x="0" y="0"/>
                      <a:ext cx="2040458" cy="227012"/>
                    </a:xfrm>
                    <a:prstGeom prst="rect">
                      <a:avLst/>
                    </a:prstGeom>
                  </pic:spPr>
                </pic:pic>
              </a:graphicData>
            </a:graphic>
          </wp:anchor>
        </w:drawing>
      </w:r>
      <w:r>
        <w:rPr>
          <w:sz w:val="12"/>
          <w:u w:val="single"/>
        </w:rPr>
        <w:t>S</w:t>
      </w:r>
      <w:r>
        <w:rPr>
          <w:sz w:val="12"/>
        </w:rPr>
        <w:t>tandard deviation</w:t>
      </w:r>
    </w:p>
    <w:p>
      <w:pPr>
        <w:pStyle w:val="BodyText"/>
        <w:rPr>
          <w:sz w:val="20"/>
        </w:rPr>
      </w:pPr>
    </w:p>
    <w:p>
      <w:pPr>
        <w:pStyle w:val="BodyText"/>
        <w:rPr>
          <w:sz w:val="20"/>
        </w:rPr>
      </w:pPr>
    </w:p>
    <w:p>
      <w:pPr>
        <w:pStyle w:val="BodyText"/>
        <w:spacing w:before="6"/>
      </w:pPr>
      <w:r>
        <w:rPr/>
        <w:drawing>
          <wp:anchor distT="0" distB="0" distL="0" distR="0" allowOverlap="1" layoutInCell="1" locked="0" behindDoc="0" simplePos="0" relativeHeight="839">
            <wp:simplePos x="0" y="0"/>
            <wp:positionH relativeFrom="page">
              <wp:posOffset>548220</wp:posOffset>
            </wp:positionH>
            <wp:positionV relativeFrom="paragraph">
              <wp:posOffset>160461</wp:posOffset>
            </wp:positionV>
            <wp:extent cx="55304" cy="6381"/>
            <wp:effectExtent l="0" t="0" r="0" b="0"/>
            <wp:wrapTopAndBottom/>
            <wp:docPr id="143" name="image12.png"/>
            <wp:cNvGraphicFramePr>
              <a:graphicFrameLocks noChangeAspect="1"/>
            </wp:cNvGraphicFramePr>
            <a:graphic>
              <a:graphicData uri="http://schemas.openxmlformats.org/drawingml/2006/picture">
                <pic:pic>
                  <pic:nvPicPr>
                    <pic:cNvPr id="144" name="image12.png"/>
                    <pic:cNvPicPr/>
                  </pic:nvPicPr>
                  <pic:blipFill>
                    <a:blip r:embed="rId47"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840">
            <wp:simplePos x="0" y="0"/>
            <wp:positionH relativeFrom="page">
              <wp:posOffset>548220</wp:posOffset>
            </wp:positionH>
            <wp:positionV relativeFrom="paragraph">
              <wp:posOffset>312467</wp:posOffset>
            </wp:positionV>
            <wp:extent cx="55304" cy="6381"/>
            <wp:effectExtent l="0" t="0" r="0" b="0"/>
            <wp:wrapTopAndBottom/>
            <wp:docPr id="145" name="image12.png"/>
            <wp:cNvGraphicFramePr>
              <a:graphicFrameLocks noChangeAspect="1"/>
            </wp:cNvGraphicFramePr>
            <a:graphic>
              <a:graphicData uri="http://schemas.openxmlformats.org/drawingml/2006/picture">
                <pic:pic>
                  <pic:nvPicPr>
                    <pic:cNvPr id="146" name="image12.png"/>
                    <pic:cNvPicPr/>
                  </pic:nvPicPr>
                  <pic:blipFill>
                    <a:blip r:embed="rId47" cstate="print"/>
                    <a:stretch>
                      <a:fillRect/>
                    </a:stretch>
                  </pic:blipFill>
                  <pic:spPr>
                    <a:xfrm>
                      <a:off x="0" y="0"/>
                      <a:ext cx="55304" cy="6381"/>
                    </a:xfrm>
                    <a:prstGeom prst="rect">
                      <a:avLst/>
                    </a:prstGeom>
                  </pic:spPr>
                </pic:pic>
              </a:graphicData>
            </a:graphic>
          </wp:anchor>
        </w:drawing>
      </w:r>
    </w:p>
    <w:p>
      <w:pPr>
        <w:pStyle w:val="BodyText"/>
        <w:rPr>
          <w:sz w:val="14"/>
        </w:rPr>
      </w:pPr>
    </w:p>
    <w:p>
      <w:pPr>
        <w:spacing w:before="70"/>
        <w:ind w:left="244" w:right="0" w:firstLine="0"/>
        <w:jc w:val="left"/>
        <w:rPr>
          <w:sz w:val="12"/>
        </w:rPr>
      </w:pPr>
      <w:r>
        <w:rPr>
          <w:sz w:val="12"/>
          <w:u w:val="single"/>
        </w:rPr>
        <w:t>S</w:t>
      </w:r>
      <w:r>
        <w:rPr>
          <w:sz w:val="12"/>
        </w:rPr>
        <w:t>kew (b)</w:t>
      </w:r>
    </w:p>
    <w:p>
      <w:pPr>
        <w:spacing w:line="228" w:lineRule="auto" w:before="0"/>
        <w:ind w:left="243" w:right="0" w:firstLine="0"/>
        <w:jc w:val="left"/>
        <w:rPr>
          <w:sz w:val="12"/>
        </w:rPr>
      </w:pPr>
      <w:r>
        <w:rPr/>
        <w:br w:type="column"/>
      </w:r>
      <w:r>
        <w:rPr>
          <w:sz w:val="12"/>
        </w:rPr>
        <w:t>$ per barr</w:t>
      </w:r>
      <w:r>
        <w:rPr>
          <w:sz w:val="12"/>
          <w:u w:val="single"/>
        </w:rPr>
        <w:t>e</w:t>
      </w:r>
      <w:r>
        <w:rPr>
          <w:sz w:val="12"/>
        </w:rPr>
        <w:t>l </w:t>
      </w:r>
      <w:r>
        <w:rPr>
          <w:spacing w:val="29"/>
          <w:sz w:val="12"/>
        </w:rPr>
        <w:t> </w:t>
      </w:r>
      <w:r>
        <w:rPr>
          <w:position w:val="-7"/>
          <w:sz w:val="12"/>
        </w:rPr>
        <w:t>8.0</w:t>
      </w:r>
    </w:p>
    <w:p>
      <w:pPr>
        <w:spacing w:before="103"/>
        <w:ind w:left="0" w:right="38" w:firstLine="0"/>
        <w:jc w:val="right"/>
        <w:rPr>
          <w:sz w:val="12"/>
        </w:rPr>
      </w:pPr>
      <w:r>
        <w:rPr>
          <w:sz w:val="12"/>
        </w:rPr>
        <w:t>6.0</w:t>
      </w:r>
    </w:p>
    <w:p>
      <w:pPr>
        <w:spacing w:before="104"/>
        <w:ind w:left="0" w:right="38" w:firstLine="0"/>
        <w:jc w:val="right"/>
        <w:rPr>
          <w:sz w:val="12"/>
        </w:rPr>
      </w:pPr>
      <w:r>
        <w:rPr>
          <w:sz w:val="12"/>
        </w:rPr>
        <w:t>4.0</w:t>
      </w:r>
    </w:p>
    <w:p>
      <w:pPr>
        <w:spacing w:before="90"/>
        <w:ind w:left="0" w:right="38" w:firstLine="0"/>
        <w:jc w:val="right"/>
        <w:rPr>
          <w:sz w:val="12"/>
        </w:rPr>
      </w:pPr>
      <w:r>
        <w:rPr/>
        <w:drawing>
          <wp:anchor distT="0" distB="0" distL="0" distR="0" allowOverlap="1" layoutInCell="1" locked="0" behindDoc="0" simplePos="0" relativeHeight="16168960">
            <wp:simplePos x="0" y="0"/>
            <wp:positionH relativeFrom="page">
              <wp:posOffset>2533650</wp:posOffset>
            </wp:positionH>
            <wp:positionV relativeFrom="paragraph">
              <wp:posOffset>95662</wp:posOffset>
            </wp:positionV>
            <wp:extent cx="55029" cy="6350"/>
            <wp:effectExtent l="0" t="0" r="0" b="0"/>
            <wp:wrapNone/>
            <wp:docPr id="147" name="image12.png"/>
            <wp:cNvGraphicFramePr>
              <a:graphicFrameLocks noChangeAspect="1"/>
            </wp:cNvGraphicFramePr>
            <a:graphic>
              <a:graphicData uri="http://schemas.openxmlformats.org/drawingml/2006/picture">
                <pic:pic>
                  <pic:nvPicPr>
                    <pic:cNvPr id="148" name="image12.png"/>
                    <pic:cNvPicPr/>
                  </pic:nvPicPr>
                  <pic:blipFill>
                    <a:blip r:embed="rId47" cstate="print"/>
                    <a:stretch>
                      <a:fillRect/>
                    </a:stretch>
                  </pic:blipFill>
                  <pic:spPr>
                    <a:xfrm>
                      <a:off x="0" y="0"/>
                      <a:ext cx="55029" cy="6350"/>
                    </a:xfrm>
                    <a:prstGeom prst="rect">
                      <a:avLst/>
                    </a:prstGeom>
                  </pic:spPr>
                </pic:pic>
              </a:graphicData>
            </a:graphic>
          </wp:anchor>
        </w:drawing>
      </w:r>
      <w:r>
        <w:rPr>
          <w:sz w:val="12"/>
        </w:rPr>
        <w:t>2.0</w:t>
      </w:r>
    </w:p>
    <w:p>
      <w:pPr>
        <w:spacing w:before="102"/>
        <w:ind w:left="0" w:right="38" w:firstLine="0"/>
        <w:jc w:val="right"/>
        <w:rPr>
          <w:sz w:val="12"/>
        </w:rPr>
      </w:pPr>
      <w:r>
        <w:rPr/>
        <w:drawing>
          <wp:anchor distT="0" distB="0" distL="0" distR="0" allowOverlap="1" layoutInCell="1" locked="0" behindDoc="0" simplePos="0" relativeHeight="16169472">
            <wp:simplePos x="0" y="0"/>
            <wp:positionH relativeFrom="page">
              <wp:posOffset>2533650</wp:posOffset>
            </wp:positionH>
            <wp:positionV relativeFrom="paragraph">
              <wp:posOffset>102888</wp:posOffset>
            </wp:positionV>
            <wp:extent cx="55029" cy="6350"/>
            <wp:effectExtent l="0" t="0" r="0" b="0"/>
            <wp:wrapNone/>
            <wp:docPr id="149" name="image12.png"/>
            <wp:cNvGraphicFramePr>
              <a:graphicFrameLocks noChangeAspect="1"/>
            </wp:cNvGraphicFramePr>
            <a:graphic>
              <a:graphicData uri="http://schemas.openxmlformats.org/drawingml/2006/picture">
                <pic:pic>
                  <pic:nvPicPr>
                    <pic:cNvPr id="150" name="image12.png"/>
                    <pic:cNvPicPr/>
                  </pic:nvPicPr>
                  <pic:blipFill>
                    <a:blip r:embed="rId47" cstate="print"/>
                    <a:stretch>
                      <a:fillRect/>
                    </a:stretch>
                  </pic:blipFill>
                  <pic:spPr>
                    <a:xfrm>
                      <a:off x="0" y="0"/>
                      <a:ext cx="55029" cy="6350"/>
                    </a:xfrm>
                    <a:prstGeom prst="rect">
                      <a:avLst/>
                    </a:prstGeom>
                  </pic:spPr>
                </pic:pic>
              </a:graphicData>
            </a:graphic>
          </wp:anchor>
        </w:drawing>
      </w:r>
      <w:r>
        <w:rPr>
          <w:sz w:val="12"/>
        </w:rPr>
        <w:t>0.0</w:t>
      </w:r>
    </w:p>
    <w:p>
      <w:pPr>
        <w:pStyle w:val="BodyText"/>
        <w:spacing w:before="6"/>
        <w:rPr>
          <w:sz w:val="9"/>
        </w:rPr>
      </w:pPr>
    </w:p>
    <w:p>
      <w:pPr>
        <w:spacing w:before="0"/>
        <w:ind w:left="0" w:right="38" w:firstLine="0"/>
        <w:jc w:val="right"/>
        <w:rPr>
          <w:sz w:val="12"/>
        </w:rPr>
      </w:pPr>
      <w:r>
        <w:rPr/>
        <w:drawing>
          <wp:anchor distT="0" distB="0" distL="0" distR="0" allowOverlap="1" layoutInCell="1" locked="0" behindDoc="0" simplePos="0" relativeHeight="16169984">
            <wp:simplePos x="0" y="0"/>
            <wp:positionH relativeFrom="page">
              <wp:posOffset>2533650</wp:posOffset>
            </wp:positionH>
            <wp:positionV relativeFrom="paragraph">
              <wp:posOffset>39846</wp:posOffset>
            </wp:positionV>
            <wp:extent cx="55029" cy="6350"/>
            <wp:effectExtent l="0" t="0" r="0" b="0"/>
            <wp:wrapNone/>
            <wp:docPr id="151" name="image19.png"/>
            <wp:cNvGraphicFramePr>
              <a:graphicFrameLocks noChangeAspect="1"/>
            </wp:cNvGraphicFramePr>
            <a:graphic>
              <a:graphicData uri="http://schemas.openxmlformats.org/drawingml/2006/picture">
                <pic:pic>
                  <pic:nvPicPr>
                    <pic:cNvPr id="152" name="image19.png"/>
                    <pic:cNvPicPr/>
                  </pic:nvPicPr>
                  <pic:blipFill>
                    <a:blip r:embed="rId54" cstate="print"/>
                    <a:stretch>
                      <a:fillRect/>
                    </a:stretch>
                  </pic:blipFill>
                  <pic:spPr>
                    <a:xfrm>
                      <a:off x="0" y="0"/>
                      <a:ext cx="55029" cy="6350"/>
                    </a:xfrm>
                    <a:prstGeom prst="rect">
                      <a:avLst/>
                    </a:prstGeom>
                  </pic:spPr>
                </pic:pic>
              </a:graphicData>
            </a:graphic>
          </wp:anchor>
        </w:drawing>
      </w:r>
      <w:r>
        <w:rPr>
          <w:sz w:val="12"/>
        </w:rPr>
        <w:t>1.2</w:t>
      </w:r>
    </w:p>
    <w:p>
      <w:pPr>
        <w:spacing w:before="17"/>
        <w:ind w:left="0" w:right="38" w:firstLine="0"/>
        <w:jc w:val="right"/>
        <w:rPr>
          <w:sz w:val="12"/>
        </w:rPr>
      </w:pPr>
      <w:r>
        <w:rPr/>
        <w:drawing>
          <wp:anchor distT="0" distB="0" distL="0" distR="0" allowOverlap="1" layoutInCell="1" locked="0" behindDoc="0" simplePos="0" relativeHeight="16167936">
            <wp:simplePos x="0" y="0"/>
            <wp:positionH relativeFrom="page">
              <wp:posOffset>548220</wp:posOffset>
            </wp:positionH>
            <wp:positionV relativeFrom="paragraph">
              <wp:posOffset>30737</wp:posOffset>
            </wp:positionV>
            <wp:extent cx="2040458" cy="344487"/>
            <wp:effectExtent l="0" t="0" r="0" b="0"/>
            <wp:wrapNone/>
            <wp:docPr id="153" name="image62.png"/>
            <wp:cNvGraphicFramePr>
              <a:graphicFrameLocks noChangeAspect="1"/>
            </wp:cNvGraphicFramePr>
            <a:graphic>
              <a:graphicData uri="http://schemas.openxmlformats.org/drawingml/2006/picture">
                <pic:pic>
                  <pic:nvPicPr>
                    <pic:cNvPr id="154" name="image62.png"/>
                    <pic:cNvPicPr/>
                  </pic:nvPicPr>
                  <pic:blipFill>
                    <a:blip r:embed="rId129" cstate="print"/>
                    <a:stretch>
                      <a:fillRect/>
                    </a:stretch>
                  </pic:blipFill>
                  <pic:spPr>
                    <a:xfrm>
                      <a:off x="0" y="0"/>
                      <a:ext cx="2040458" cy="344487"/>
                    </a:xfrm>
                    <a:prstGeom prst="rect">
                      <a:avLst/>
                    </a:prstGeom>
                  </pic:spPr>
                </pic:pic>
              </a:graphicData>
            </a:graphic>
          </wp:anchor>
        </w:drawing>
      </w:r>
      <w:r>
        <w:rPr>
          <w:sz w:val="12"/>
        </w:rPr>
        <w:t>1.0</w:t>
      </w:r>
    </w:p>
    <w:p>
      <w:pPr>
        <w:spacing w:before="29"/>
        <w:ind w:left="0" w:right="38" w:firstLine="0"/>
        <w:jc w:val="right"/>
        <w:rPr>
          <w:sz w:val="12"/>
        </w:rPr>
      </w:pPr>
      <w:r>
        <w:rPr>
          <w:sz w:val="12"/>
        </w:rPr>
        <w:t>0.8</w:t>
      </w:r>
    </w:p>
    <w:p>
      <w:pPr>
        <w:spacing w:before="17"/>
        <w:ind w:left="0" w:right="38" w:firstLine="0"/>
        <w:jc w:val="right"/>
        <w:rPr>
          <w:sz w:val="12"/>
        </w:rPr>
      </w:pPr>
      <w:r>
        <w:rPr>
          <w:sz w:val="12"/>
        </w:rPr>
        <w:t>0.6</w:t>
      </w:r>
    </w:p>
    <w:p>
      <w:pPr>
        <w:spacing w:before="17"/>
        <w:ind w:left="0" w:right="38" w:firstLine="0"/>
        <w:jc w:val="right"/>
        <w:rPr>
          <w:sz w:val="12"/>
        </w:rPr>
      </w:pPr>
      <w:r>
        <w:rPr>
          <w:sz w:val="12"/>
        </w:rPr>
        <w:t>0.4</w:t>
      </w:r>
    </w:p>
    <w:p>
      <w:pPr>
        <w:spacing w:before="27"/>
        <w:ind w:left="0" w:right="38" w:firstLine="0"/>
        <w:jc w:val="right"/>
        <w:rPr>
          <w:sz w:val="12"/>
        </w:rPr>
      </w:pPr>
      <w:r>
        <w:rPr/>
        <w:pict>
          <v:group style="position:absolute;margin-left:43.167pt;margin-top:4.867129pt;width:160.7pt;height:7.9pt;mso-position-horizontal-relative:page;mso-position-vertical-relative:paragraph;z-index:16168448" coordorigin="863,97" coordsize="3214,158">
            <v:shape style="position:absolute;left:863;top:97;width:3214;height:158" type="#_x0000_t75" stroked="false">
              <v:imagedata r:id="rId130" o:title=""/>
            </v:shape>
            <v:shape style="position:absolute;left:3990;top:97;width:87;height:10" type="#_x0000_t75" stroked="false">
              <v:imagedata r:id="rId47" o:title=""/>
            </v:shape>
            <w10:wrap type="none"/>
          </v:group>
        </w:pict>
      </w:r>
      <w:r>
        <w:rPr>
          <w:sz w:val="12"/>
        </w:rPr>
        <w:t>0.2</w:t>
      </w:r>
    </w:p>
    <w:p>
      <w:pPr>
        <w:spacing w:line="19" w:lineRule="exact" w:before="17"/>
        <w:ind w:left="0" w:right="38" w:firstLine="0"/>
        <w:jc w:val="right"/>
        <w:rPr>
          <w:sz w:val="12"/>
        </w:rPr>
      </w:pPr>
      <w:r>
        <w:rPr>
          <w:sz w:val="12"/>
        </w:rPr>
        <w:t>0.0</w:t>
      </w:r>
    </w:p>
    <w:p>
      <w:pPr>
        <w:pStyle w:val="Heading6"/>
        <w:spacing w:line="242" w:lineRule="auto" w:before="74"/>
        <w:ind w:left="243" w:right="389"/>
      </w:pPr>
      <w:r>
        <w:rPr/>
        <w:br w:type="column"/>
      </w:r>
      <w:r>
        <w:rPr/>
        <w:t>the MPC has assumed in its central projection that the Brent oil price will decline to around $18 per barrel by the start of 2002.</w:t>
      </w:r>
    </w:p>
    <w:p>
      <w:pPr>
        <w:spacing w:line="242" w:lineRule="auto" w:before="204"/>
        <w:ind w:left="243" w:right="249" w:firstLine="0"/>
        <w:jc w:val="left"/>
        <w:rPr>
          <w:sz w:val="24"/>
        </w:rPr>
      </w:pPr>
      <w:r>
        <w:rPr>
          <w:sz w:val="24"/>
        </w:rPr>
        <w:t>Non-oil commodity prices are also higher than expected at the time of the November </w:t>
      </w:r>
      <w:r>
        <w:rPr>
          <w:i/>
          <w:sz w:val="24"/>
        </w:rPr>
        <w:t>Report</w:t>
      </w:r>
      <w:r>
        <w:rPr>
          <w:sz w:val="24"/>
        </w:rPr>
        <w:t>. In December the Bank’s index of sterling non-oil commodity prices was 3.7% higher than a year earlier. The prices of hard</w:t>
      </w:r>
    </w:p>
    <w:p>
      <w:pPr>
        <w:spacing w:after="0" w:line="242" w:lineRule="auto"/>
        <w:jc w:val="left"/>
        <w:rPr>
          <w:sz w:val="24"/>
        </w:rPr>
        <w:sectPr>
          <w:type w:val="continuous"/>
          <w:pgSz w:w="11900" w:h="16840"/>
          <w:pgMar w:top="1220" w:bottom="280" w:left="620" w:right="640"/>
          <w:cols w:num="3" w:equalWidth="0">
            <w:col w:w="1188" w:space="1472"/>
            <w:col w:w="1076" w:space="1000"/>
            <w:col w:w="5904"/>
          </w:cols>
        </w:sectPr>
      </w:pPr>
    </w:p>
    <w:p>
      <w:pPr>
        <w:tabs>
          <w:tab w:pos="419" w:val="left" w:leader="none"/>
          <w:tab w:pos="854" w:val="left" w:leader="none"/>
          <w:tab w:pos="1299" w:val="left" w:leader="none"/>
          <w:tab w:pos="1731" w:val="left" w:leader="none"/>
          <w:tab w:pos="2188" w:val="left" w:leader="none"/>
        </w:tabs>
        <w:spacing w:before="77"/>
        <w:ind w:left="0" w:right="603" w:firstLine="0"/>
        <w:jc w:val="right"/>
        <w:rPr>
          <w:sz w:val="12"/>
        </w:rPr>
      </w:pPr>
      <w:r>
        <w:rPr>
          <w:sz w:val="12"/>
        </w:rPr>
        <w:t>Jan.</w:t>
        <w:tab/>
        <w:t>Mar.</w:t>
        <w:tab/>
        <w:t>May</w:t>
        <w:tab/>
        <w:t>July</w:t>
        <w:tab/>
        <w:t>Sept.</w:t>
        <w:tab/>
        <w:t>Nov.</w:t>
      </w:r>
      <w:r>
        <w:rPr>
          <w:spacing w:val="7"/>
          <w:sz w:val="12"/>
        </w:rPr>
        <w:t> </w:t>
      </w:r>
      <w:r>
        <w:rPr>
          <w:sz w:val="12"/>
        </w:rPr>
        <w:t>Jan.</w:t>
      </w:r>
    </w:p>
    <w:p>
      <w:pPr>
        <w:tabs>
          <w:tab w:pos="1422" w:val="left" w:leader="none"/>
        </w:tabs>
        <w:spacing w:before="20"/>
        <w:ind w:left="0" w:right="530" w:firstLine="0"/>
        <w:jc w:val="right"/>
        <w:rPr>
          <w:sz w:val="12"/>
        </w:rPr>
      </w:pPr>
      <w:r>
        <w:rPr>
          <w:sz w:val="12"/>
        </w:rPr>
        <w:t>1999</w:t>
        <w:tab/>
        <w:t>2000</w:t>
      </w:r>
    </w:p>
    <w:p>
      <w:pPr>
        <w:pStyle w:val="BodyText"/>
        <w:rPr>
          <w:sz w:val="11"/>
        </w:rPr>
      </w:pPr>
    </w:p>
    <w:p>
      <w:pPr>
        <w:spacing w:before="1"/>
        <w:ind w:left="190" w:right="0" w:firstLine="0"/>
        <w:jc w:val="left"/>
        <w:rPr>
          <w:sz w:val="12"/>
        </w:rPr>
      </w:pPr>
      <w:r>
        <w:rPr>
          <w:sz w:val="12"/>
        </w:rPr>
        <w:t>Sources: NYMEX and Bank of England.</w:t>
      </w:r>
    </w:p>
    <w:p>
      <w:pPr>
        <w:pStyle w:val="BodyText"/>
        <w:spacing w:before="1"/>
        <w:rPr>
          <w:sz w:val="10"/>
        </w:rPr>
      </w:pPr>
    </w:p>
    <w:p>
      <w:pPr>
        <w:pStyle w:val="ListParagraph"/>
        <w:numPr>
          <w:ilvl w:val="0"/>
          <w:numId w:val="30"/>
        </w:numPr>
        <w:tabs>
          <w:tab w:pos="430" w:val="left" w:leader="none"/>
        </w:tabs>
        <w:spacing w:line="208" w:lineRule="auto" w:before="0" w:after="0"/>
        <w:ind w:left="430" w:right="146" w:hanging="240"/>
        <w:jc w:val="both"/>
        <w:rPr>
          <w:sz w:val="12"/>
        </w:rPr>
      </w:pPr>
      <w:r>
        <w:rPr>
          <w:sz w:val="12"/>
        </w:rPr>
        <w:t>Derived from option prices for West Texas Intermediate oil (WTI). Prices for WTI tend to be around $1 per barrel higher than those </w:t>
      </w:r>
      <w:r>
        <w:rPr>
          <w:spacing w:val="-7"/>
          <w:sz w:val="12"/>
        </w:rPr>
        <w:t>for </w:t>
      </w:r>
      <w:r>
        <w:rPr>
          <w:sz w:val="12"/>
        </w:rPr>
        <w:t>Brent crude oil.</w:t>
      </w:r>
    </w:p>
    <w:p>
      <w:pPr>
        <w:pStyle w:val="ListParagraph"/>
        <w:numPr>
          <w:ilvl w:val="0"/>
          <w:numId w:val="30"/>
        </w:numPr>
        <w:tabs>
          <w:tab w:pos="431" w:val="left" w:leader="none"/>
        </w:tabs>
        <w:spacing w:line="208" w:lineRule="auto" w:before="0" w:after="0"/>
        <w:ind w:left="430" w:right="38" w:hanging="240"/>
        <w:jc w:val="both"/>
        <w:rPr>
          <w:sz w:val="12"/>
        </w:rPr>
      </w:pPr>
      <w:r>
        <w:rPr>
          <w:sz w:val="12"/>
        </w:rPr>
        <w:t>A positive skew indicates that the market assesses the balance of </w:t>
      </w:r>
      <w:r>
        <w:rPr>
          <w:spacing w:val="-4"/>
          <w:sz w:val="12"/>
        </w:rPr>
        <w:t>risks </w:t>
      </w:r>
      <w:r>
        <w:rPr>
          <w:sz w:val="12"/>
        </w:rPr>
        <w:t>to be on the upside.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0"/>
        </w:rPr>
      </w:pPr>
    </w:p>
    <w:p>
      <w:pPr>
        <w:pStyle w:val="Heading9"/>
        <w:spacing w:before="0"/>
        <w:ind w:left="210"/>
      </w:pPr>
      <w:r>
        <w:rPr>
          <w:color w:val="0093C1"/>
        </w:rPr>
        <w:t>Chart 4.3</w:t>
      </w:r>
    </w:p>
    <w:p>
      <w:pPr>
        <w:spacing w:line="249" w:lineRule="auto" w:before="11"/>
        <w:ind w:left="210" w:right="314" w:firstLine="0"/>
        <w:jc w:val="left"/>
        <w:rPr>
          <w:sz w:val="12"/>
        </w:rPr>
      </w:pPr>
      <w:r>
        <w:rPr>
          <w:b/>
          <w:color w:val="0093C1"/>
          <w:sz w:val="20"/>
        </w:rPr>
        <w:t>Bank sterling non-oil commodity price index</w:t>
      </w:r>
      <w:r>
        <w:rPr>
          <w:position w:val="4"/>
          <w:sz w:val="12"/>
        </w:rPr>
        <w:t>(a)</w:t>
      </w:r>
    </w:p>
    <w:p>
      <w:pPr>
        <w:spacing w:before="99"/>
        <w:ind w:left="1724" w:right="0" w:firstLine="0"/>
        <w:jc w:val="left"/>
        <w:rPr>
          <w:sz w:val="12"/>
        </w:rPr>
      </w:pPr>
      <w:r>
        <w:rPr/>
        <w:pict>
          <v:group style="position:absolute;margin-left:52pt;margin-top:16.696583pt;width:152.4pt;height:122.95pt;mso-position-horizontal-relative:page;mso-position-vertical-relative:paragraph;z-index:16160768" coordorigin="1040,334" coordsize="3048,2459">
            <v:shape style="position:absolute;left:1040;top:333;width:3048;height:2459" type="#_x0000_t75" stroked="false">
              <v:imagedata r:id="rId131" o:title=""/>
            </v:shape>
            <v:shape style="position:absolute;left:2712;top:443;width:1160;height:134" type="#_x0000_t202" filled="false" stroked="false">
              <v:textbox inset="0,0,0,0">
                <w:txbxContent>
                  <w:p>
                    <w:pPr>
                      <w:spacing w:line="133" w:lineRule="exact" w:before="0"/>
                      <w:ind w:left="0" w:right="0" w:firstLine="0"/>
                      <w:jc w:val="left"/>
                      <w:rPr>
                        <w:sz w:val="12"/>
                      </w:rPr>
                    </w:pPr>
                    <w:r>
                      <w:rPr>
                        <w:color w:val="231F20"/>
                        <w:sz w:val="12"/>
                      </w:rPr>
                      <w:t>‘Hard’ commodities (b)</w:t>
                    </w:r>
                  </w:p>
                </w:txbxContent>
              </v:textbox>
              <w10:wrap type="none"/>
            </v:shape>
            <v:shape style="position:absolute;left:1217;top:717;width:1114;height:134" type="#_x0000_t202" filled="false" stroked="false">
              <v:textbox inset="0,0,0,0">
                <w:txbxContent>
                  <w:p>
                    <w:pPr>
                      <w:spacing w:line="133" w:lineRule="exact" w:before="0"/>
                      <w:ind w:left="0" w:right="0" w:firstLine="0"/>
                      <w:jc w:val="left"/>
                      <w:rPr>
                        <w:sz w:val="12"/>
                      </w:rPr>
                    </w:pPr>
                    <w:r>
                      <w:rPr>
                        <w:color w:val="231F20"/>
                        <w:sz w:val="12"/>
                      </w:rPr>
                      <w:t>‘Soft’ commodities (c)</w:t>
                    </w:r>
                  </w:p>
                </w:txbxContent>
              </v:textbox>
              <w10:wrap type="none"/>
            </v:shape>
            <w10:wrap type="none"/>
          </v:group>
        </w:pict>
      </w:r>
      <w:r>
        <w:rPr/>
        <w:drawing>
          <wp:anchor distT="0" distB="0" distL="0" distR="0" allowOverlap="1" layoutInCell="1" locked="0" behindDoc="0" simplePos="0" relativeHeight="16161280">
            <wp:simplePos x="0" y="0"/>
            <wp:positionH relativeFrom="page">
              <wp:posOffset>558952</wp:posOffset>
            </wp:positionH>
            <wp:positionV relativeFrom="paragraph">
              <wp:posOffset>165107</wp:posOffset>
            </wp:positionV>
            <wp:extent cx="55029" cy="6350"/>
            <wp:effectExtent l="0" t="0" r="0" b="0"/>
            <wp:wrapNone/>
            <wp:docPr id="155" name="image12.png"/>
            <wp:cNvGraphicFramePr>
              <a:graphicFrameLocks noChangeAspect="1"/>
            </wp:cNvGraphicFramePr>
            <a:graphic>
              <a:graphicData uri="http://schemas.openxmlformats.org/drawingml/2006/picture">
                <pic:pic>
                  <pic:nvPicPr>
                    <pic:cNvPr id="156" name="image12.png"/>
                    <pic:cNvPicPr/>
                  </pic:nvPicPr>
                  <pic:blipFill>
                    <a:blip r:embed="rId47" cstate="print"/>
                    <a:stretch>
                      <a:fillRect/>
                    </a:stretch>
                  </pic:blipFill>
                  <pic:spPr>
                    <a:xfrm>
                      <a:off x="0" y="0"/>
                      <a:ext cx="55029" cy="6350"/>
                    </a:xfrm>
                    <a:prstGeom prst="rect">
                      <a:avLst/>
                    </a:prstGeom>
                  </pic:spPr>
                </pic:pic>
              </a:graphicData>
            </a:graphic>
          </wp:anchor>
        </w:drawing>
      </w:r>
      <w:r>
        <w:rPr>
          <w:color w:val="231F20"/>
          <w:sz w:val="12"/>
        </w:rPr>
        <w:t>Percentage changes on a year earl</w:t>
      </w:r>
      <w:r>
        <w:rPr>
          <w:color w:val="231F20"/>
          <w:sz w:val="12"/>
          <w:u w:val="single" w:color="000000"/>
        </w:rPr>
        <w:t>ie</w:t>
      </w:r>
      <w:r>
        <w:rPr>
          <w:color w:val="231F20"/>
          <w:sz w:val="12"/>
        </w:rPr>
        <w:t>r</w:t>
      </w:r>
      <w:r>
        <w:rPr>
          <w:color w:val="231F20"/>
          <w:spacing w:val="-5"/>
          <w:sz w:val="12"/>
        </w:rPr>
        <w:t> </w:t>
      </w:r>
      <w:r>
        <w:rPr>
          <w:color w:val="231F20"/>
          <w:position w:val="-7"/>
          <w:sz w:val="12"/>
        </w:rPr>
        <w:t>20</w:t>
      </w:r>
    </w:p>
    <w:p>
      <w:pPr>
        <w:pStyle w:val="BodyText"/>
        <w:spacing w:before="6"/>
        <w:rPr>
          <w:sz w:val="19"/>
        </w:rPr>
      </w:pPr>
    </w:p>
    <w:p>
      <w:pPr>
        <w:spacing w:before="0"/>
        <w:ind w:left="0" w:right="211" w:firstLine="0"/>
        <w:jc w:val="right"/>
        <w:rPr>
          <w:sz w:val="12"/>
        </w:rPr>
      </w:pPr>
      <w:r>
        <w:rPr/>
        <w:drawing>
          <wp:anchor distT="0" distB="0" distL="0" distR="0" allowOverlap="1" layoutInCell="1" locked="0" behindDoc="0" simplePos="0" relativeHeight="16161792">
            <wp:simplePos x="0" y="0"/>
            <wp:positionH relativeFrom="page">
              <wp:posOffset>558952</wp:posOffset>
            </wp:positionH>
            <wp:positionV relativeFrom="paragraph">
              <wp:posOffset>49880</wp:posOffset>
            </wp:positionV>
            <wp:extent cx="55029" cy="6350"/>
            <wp:effectExtent l="0" t="0" r="0" b="0"/>
            <wp:wrapNone/>
            <wp:docPr id="157" name="image12.png"/>
            <wp:cNvGraphicFramePr>
              <a:graphicFrameLocks noChangeAspect="1"/>
            </wp:cNvGraphicFramePr>
            <a:graphic>
              <a:graphicData uri="http://schemas.openxmlformats.org/drawingml/2006/picture">
                <pic:pic>
                  <pic:nvPicPr>
                    <pic:cNvPr id="158" name="image12.png"/>
                    <pic:cNvPicPr/>
                  </pic:nvPicPr>
                  <pic:blipFill>
                    <a:blip r:embed="rId47" cstate="print"/>
                    <a:stretch>
                      <a:fillRect/>
                    </a:stretch>
                  </pic:blipFill>
                  <pic:spPr>
                    <a:xfrm>
                      <a:off x="0" y="0"/>
                      <a:ext cx="55029" cy="6350"/>
                    </a:xfrm>
                    <a:prstGeom prst="rect">
                      <a:avLst/>
                    </a:prstGeom>
                  </pic:spPr>
                </pic:pic>
              </a:graphicData>
            </a:graphic>
          </wp:anchor>
        </w:drawing>
      </w:r>
      <w:r>
        <w:rPr>
          <w:color w:val="231F20"/>
          <w:sz w:val="12"/>
        </w:rPr>
        <w:t>15</w:t>
      </w:r>
    </w:p>
    <w:p>
      <w:pPr>
        <w:pStyle w:val="Heading6"/>
        <w:spacing w:line="242" w:lineRule="auto"/>
        <w:ind w:right="172"/>
      </w:pPr>
      <w:r>
        <w:rPr/>
        <w:br w:type="column"/>
      </w:r>
      <w:r>
        <w:rPr/>
        <w:t>commodities such as metals and non-oil fuels have risen since the beginning of 1999, as world industrial production has picked up (see Chart 4.3). The prices of soft commodities such as food and other agricultural products remain well below their levels a year earlier, although they rose slightly in November and December. Soft commodity prices are also likely to have been affected by stronger world economic activity, but in addition they have been affected by weather-related supply shocks. Reflecting the stronger outlook for world growth, the Committee now assumes a faster increase in non-oil commodity prices in 2000, with some slowdown thereafter.</w:t>
      </w:r>
    </w:p>
    <w:p>
      <w:pPr>
        <w:spacing w:after="0" w:line="242" w:lineRule="auto"/>
        <w:sectPr>
          <w:type w:val="continuous"/>
          <w:pgSz w:w="11900" w:h="16840"/>
          <w:pgMar w:top="1220" w:bottom="280" w:left="620" w:right="640"/>
          <w:cols w:num="2" w:equalWidth="0">
            <w:col w:w="3833" w:space="957"/>
            <w:col w:w="5850"/>
          </w:cols>
        </w:sectPr>
      </w:pPr>
    </w:p>
    <w:p>
      <w:pPr>
        <w:pStyle w:val="BodyText"/>
        <w:spacing w:before="7"/>
        <w:rPr>
          <w:sz w:val="13"/>
        </w:rPr>
      </w:pPr>
    </w:p>
    <w:p>
      <w:pPr>
        <w:spacing w:before="0"/>
        <w:ind w:left="0" w:right="38" w:firstLine="0"/>
        <w:jc w:val="right"/>
        <w:rPr>
          <w:sz w:val="12"/>
        </w:rPr>
      </w:pPr>
      <w:r>
        <w:rPr/>
        <w:drawing>
          <wp:anchor distT="0" distB="0" distL="0" distR="0" allowOverlap="1" layoutInCell="1" locked="0" behindDoc="0" simplePos="0" relativeHeight="16162304">
            <wp:simplePos x="0" y="0"/>
            <wp:positionH relativeFrom="page">
              <wp:posOffset>558952</wp:posOffset>
            </wp:positionH>
            <wp:positionV relativeFrom="paragraph">
              <wp:posOffset>50159</wp:posOffset>
            </wp:positionV>
            <wp:extent cx="55029" cy="6350"/>
            <wp:effectExtent l="0" t="0" r="0" b="0"/>
            <wp:wrapNone/>
            <wp:docPr id="159" name="image12.png"/>
            <wp:cNvGraphicFramePr>
              <a:graphicFrameLocks noChangeAspect="1"/>
            </wp:cNvGraphicFramePr>
            <a:graphic>
              <a:graphicData uri="http://schemas.openxmlformats.org/drawingml/2006/picture">
                <pic:pic>
                  <pic:nvPicPr>
                    <pic:cNvPr id="160" name="image12.png"/>
                    <pic:cNvPicPr/>
                  </pic:nvPicPr>
                  <pic:blipFill>
                    <a:blip r:embed="rId47" cstate="print"/>
                    <a:stretch>
                      <a:fillRect/>
                    </a:stretch>
                  </pic:blipFill>
                  <pic:spPr>
                    <a:xfrm>
                      <a:off x="0" y="0"/>
                      <a:ext cx="55029" cy="6350"/>
                    </a:xfrm>
                    <a:prstGeom prst="rect">
                      <a:avLst/>
                    </a:prstGeom>
                  </pic:spPr>
                </pic:pic>
              </a:graphicData>
            </a:graphic>
          </wp:anchor>
        </w:drawing>
      </w:r>
      <w:r>
        <w:rPr>
          <w:color w:val="231F20"/>
          <w:sz w:val="12"/>
        </w:rPr>
        <w:t>10</w:t>
      </w:r>
    </w:p>
    <w:p>
      <w:pPr>
        <w:pStyle w:val="BodyText"/>
        <w:rPr>
          <w:sz w:val="12"/>
        </w:rPr>
      </w:pPr>
    </w:p>
    <w:p>
      <w:pPr>
        <w:spacing w:before="84"/>
        <w:ind w:left="0" w:right="38" w:firstLine="0"/>
        <w:jc w:val="right"/>
        <w:rPr>
          <w:sz w:val="12"/>
        </w:rPr>
      </w:pPr>
      <w:r>
        <w:rPr/>
        <w:drawing>
          <wp:anchor distT="0" distB="0" distL="0" distR="0" allowOverlap="1" layoutInCell="1" locked="0" behindDoc="0" simplePos="0" relativeHeight="16164352">
            <wp:simplePos x="0" y="0"/>
            <wp:positionH relativeFrom="page">
              <wp:posOffset>558952</wp:posOffset>
            </wp:positionH>
            <wp:positionV relativeFrom="paragraph">
              <wp:posOffset>103785</wp:posOffset>
            </wp:positionV>
            <wp:extent cx="55029" cy="6350"/>
            <wp:effectExtent l="0" t="0" r="0" b="0"/>
            <wp:wrapNone/>
            <wp:docPr id="161" name="image12.png"/>
            <wp:cNvGraphicFramePr>
              <a:graphicFrameLocks noChangeAspect="1"/>
            </wp:cNvGraphicFramePr>
            <a:graphic>
              <a:graphicData uri="http://schemas.openxmlformats.org/drawingml/2006/picture">
                <pic:pic>
                  <pic:nvPicPr>
                    <pic:cNvPr id="162" name="image12.png"/>
                    <pic:cNvPicPr/>
                  </pic:nvPicPr>
                  <pic:blipFill>
                    <a:blip r:embed="rId47" cstate="print"/>
                    <a:stretch>
                      <a:fillRect/>
                    </a:stretch>
                  </pic:blipFill>
                  <pic:spPr>
                    <a:xfrm>
                      <a:off x="0" y="0"/>
                      <a:ext cx="55029" cy="6350"/>
                    </a:xfrm>
                    <a:prstGeom prst="rect">
                      <a:avLst/>
                    </a:prstGeom>
                  </pic:spPr>
                </pic:pic>
              </a:graphicData>
            </a:graphic>
          </wp:anchor>
        </w:drawing>
      </w:r>
      <w:r>
        <w:rPr>
          <w:color w:val="231F20"/>
          <w:sz w:val="12"/>
        </w:rPr>
        <w:t>5</w:t>
      </w:r>
    </w:p>
    <w:p>
      <w:pPr>
        <w:spacing w:before="22"/>
        <w:ind w:left="3461" w:right="0" w:firstLine="0"/>
        <w:jc w:val="left"/>
        <w:rPr>
          <w:sz w:val="16"/>
        </w:rPr>
      </w:pPr>
      <w:r>
        <w:rPr>
          <w:color w:val="231F20"/>
          <w:sz w:val="16"/>
        </w:rPr>
        <w:t>+</w:t>
      </w:r>
    </w:p>
    <w:p>
      <w:pPr>
        <w:spacing w:line="107" w:lineRule="exact" w:before="16"/>
        <w:ind w:left="3559" w:right="0" w:firstLine="0"/>
        <w:jc w:val="left"/>
        <w:rPr>
          <w:sz w:val="12"/>
        </w:rPr>
      </w:pPr>
      <w:r>
        <w:rPr/>
        <w:drawing>
          <wp:anchor distT="0" distB="0" distL="0" distR="0" allowOverlap="1" layoutInCell="1" locked="0" behindDoc="0" simplePos="0" relativeHeight="16162816">
            <wp:simplePos x="0" y="0"/>
            <wp:positionH relativeFrom="page">
              <wp:posOffset>558952</wp:posOffset>
            </wp:positionH>
            <wp:positionV relativeFrom="paragraph">
              <wp:posOffset>60884</wp:posOffset>
            </wp:positionV>
            <wp:extent cx="55029" cy="6350"/>
            <wp:effectExtent l="0" t="0" r="0" b="0"/>
            <wp:wrapNone/>
            <wp:docPr id="163" name="image12.png"/>
            <wp:cNvGraphicFramePr>
              <a:graphicFrameLocks noChangeAspect="1"/>
            </wp:cNvGraphicFramePr>
            <a:graphic>
              <a:graphicData uri="http://schemas.openxmlformats.org/drawingml/2006/picture">
                <pic:pic>
                  <pic:nvPicPr>
                    <pic:cNvPr id="164" name="image12.png"/>
                    <pic:cNvPicPr/>
                  </pic:nvPicPr>
                  <pic:blipFill>
                    <a:blip r:embed="rId47" cstate="print"/>
                    <a:stretch>
                      <a:fillRect/>
                    </a:stretch>
                  </pic:blipFill>
                  <pic:spPr>
                    <a:xfrm>
                      <a:off x="0" y="0"/>
                      <a:ext cx="55029" cy="6350"/>
                    </a:xfrm>
                    <a:prstGeom prst="rect">
                      <a:avLst/>
                    </a:prstGeom>
                  </pic:spPr>
                </pic:pic>
              </a:graphicData>
            </a:graphic>
          </wp:anchor>
        </w:drawing>
      </w:r>
      <w:r>
        <w:rPr>
          <w:color w:val="231F20"/>
          <w:sz w:val="12"/>
        </w:rPr>
        <w:t>0</w:t>
      </w:r>
    </w:p>
    <w:p>
      <w:pPr>
        <w:spacing w:line="153" w:lineRule="exact" w:before="0"/>
        <w:ind w:left="3466" w:right="0" w:firstLine="0"/>
        <w:jc w:val="left"/>
        <w:rPr>
          <w:sz w:val="16"/>
        </w:rPr>
      </w:pPr>
      <w:r>
        <w:rPr>
          <w:color w:val="231F20"/>
          <w:sz w:val="16"/>
        </w:rPr>
        <w:t>_</w:t>
      </w:r>
    </w:p>
    <w:p>
      <w:pPr>
        <w:spacing w:before="101"/>
        <w:ind w:left="0" w:right="38" w:firstLine="0"/>
        <w:jc w:val="right"/>
        <w:rPr>
          <w:sz w:val="12"/>
        </w:rPr>
      </w:pPr>
      <w:r>
        <w:rPr/>
        <w:drawing>
          <wp:anchor distT="0" distB="0" distL="0" distR="0" allowOverlap="1" layoutInCell="1" locked="0" behindDoc="0" simplePos="0" relativeHeight="16164864">
            <wp:simplePos x="0" y="0"/>
            <wp:positionH relativeFrom="page">
              <wp:posOffset>558952</wp:posOffset>
            </wp:positionH>
            <wp:positionV relativeFrom="paragraph">
              <wp:posOffset>115126</wp:posOffset>
            </wp:positionV>
            <wp:extent cx="55029" cy="6350"/>
            <wp:effectExtent l="0" t="0" r="0" b="0"/>
            <wp:wrapNone/>
            <wp:docPr id="165" name="image12.png"/>
            <wp:cNvGraphicFramePr>
              <a:graphicFrameLocks noChangeAspect="1"/>
            </wp:cNvGraphicFramePr>
            <a:graphic>
              <a:graphicData uri="http://schemas.openxmlformats.org/drawingml/2006/picture">
                <pic:pic>
                  <pic:nvPicPr>
                    <pic:cNvPr id="166" name="image12.png"/>
                    <pic:cNvPicPr/>
                  </pic:nvPicPr>
                  <pic:blipFill>
                    <a:blip r:embed="rId47" cstate="print"/>
                    <a:stretch>
                      <a:fillRect/>
                    </a:stretch>
                  </pic:blipFill>
                  <pic:spPr>
                    <a:xfrm>
                      <a:off x="0" y="0"/>
                      <a:ext cx="55029" cy="6350"/>
                    </a:xfrm>
                    <a:prstGeom prst="rect">
                      <a:avLst/>
                    </a:prstGeom>
                  </pic:spPr>
                </pic:pic>
              </a:graphicData>
            </a:graphic>
          </wp:anchor>
        </w:drawing>
      </w:r>
      <w:r>
        <w:rPr>
          <w:color w:val="231F20"/>
          <w:sz w:val="12"/>
        </w:rPr>
        <w:t>5</w:t>
      </w:r>
    </w:p>
    <w:p>
      <w:pPr>
        <w:pStyle w:val="BodyText"/>
        <w:rPr>
          <w:sz w:val="12"/>
        </w:rPr>
      </w:pPr>
    </w:p>
    <w:p>
      <w:pPr>
        <w:spacing w:before="84"/>
        <w:ind w:left="0" w:right="38" w:firstLine="0"/>
        <w:jc w:val="right"/>
        <w:rPr>
          <w:sz w:val="12"/>
        </w:rPr>
      </w:pPr>
      <w:r>
        <w:rPr/>
        <w:drawing>
          <wp:anchor distT="0" distB="0" distL="0" distR="0" allowOverlap="1" layoutInCell="1" locked="0" behindDoc="0" simplePos="0" relativeHeight="16163328">
            <wp:simplePos x="0" y="0"/>
            <wp:positionH relativeFrom="page">
              <wp:posOffset>558952</wp:posOffset>
            </wp:positionH>
            <wp:positionV relativeFrom="paragraph">
              <wp:posOffset>104604</wp:posOffset>
            </wp:positionV>
            <wp:extent cx="55029" cy="6350"/>
            <wp:effectExtent l="0" t="0" r="0" b="0"/>
            <wp:wrapNone/>
            <wp:docPr id="167" name="image12.png"/>
            <wp:cNvGraphicFramePr>
              <a:graphicFrameLocks noChangeAspect="1"/>
            </wp:cNvGraphicFramePr>
            <a:graphic>
              <a:graphicData uri="http://schemas.openxmlformats.org/drawingml/2006/picture">
                <pic:pic>
                  <pic:nvPicPr>
                    <pic:cNvPr id="168" name="image12.png"/>
                    <pic:cNvPicPr/>
                  </pic:nvPicPr>
                  <pic:blipFill>
                    <a:blip r:embed="rId47" cstate="print"/>
                    <a:stretch>
                      <a:fillRect/>
                    </a:stretch>
                  </pic:blipFill>
                  <pic:spPr>
                    <a:xfrm>
                      <a:off x="0" y="0"/>
                      <a:ext cx="55029" cy="6350"/>
                    </a:xfrm>
                    <a:prstGeom prst="rect">
                      <a:avLst/>
                    </a:prstGeom>
                  </pic:spPr>
                </pic:pic>
              </a:graphicData>
            </a:graphic>
          </wp:anchor>
        </w:drawing>
      </w:r>
      <w:r>
        <w:rPr>
          <w:color w:val="231F20"/>
          <w:sz w:val="12"/>
        </w:rPr>
        <w:t>10</w:t>
      </w:r>
    </w:p>
    <w:p>
      <w:pPr>
        <w:pStyle w:val="BodyText"/>
        <w:rPr>
          <w:sz w:val="12"/>
        </w:rPr>
      </w:pPr>
    </w:p>
    <w:p>
      <w:pPr>
        <w:spacing w:before="84"/>
        <w:ind w:left="0" w:right="38" w:firstLine="0"/>
        <w:jc w:val="right"/>
        <w:rPr>
          <w:sz w:val="12"/>
        </w:rPr>
      </w:pPr>
      <w:r>
        <w:rPr/>
        <w:drawing>
          <wp:anchor distT="0" distB="0" distL="0" distR="0" allowOverlap="1" layoutInCell="1" locked="0" behindDoc="0" simplePos="0" relativeHeight="16165376">
            <wp:simplePos x="0" y="0"/>
            <wp:positionH relativeFrom="page">
              <wp:posOffset>558952</wp:posOffset>
            </wp:positionH>
            <wp:positionV relativeFrom="paragraph">
              <wp:posOffset>104883</wp:posOffset>
            </wp:positionV>
            <wp:extent cx="55029" cy="6350"/>
            <wp:effectExtent l="0" t="0" r="0" b="0"/>
            <wp:wrapNone/>
            <wp:docPr id="169" name="image19.png"/>
            <wp:cNvGraphicFramePr>
              <a:graphicFrameLocks noChangeAspect="1"/>
            </wp:cNvGraphicFramePr>
            <a:graphic>
              <a:graphicData uri="http://schemas.openxmlformats.org/drawingml/2006/picture">
                <pic:pic>
                  <pic:nvPicPr>
                    <pic:cNvPr id="170" name="image19.png"/>
                    <pic:cNvPicPr/>
                  </pic:nvPicPr>
                  <pic:blipFill>
                    <a:blip r:embed="rId54" cstate="print"/>
                    <a:stretch>
                      <a:fillRect/>
                    </a:stretch>
                  </pic:blipFill>
                  <pic:spPr>
                    <a:xfrm>
                      <a:off x="0" y="0"/>
                      <a:ext cx="55029" cy="6350"/>
                    </a:xfrm>
                    <a:prstGeom prst="rect">
                      <a:avLst/>
                    </a:prstGeom>
                  </pic:spPr>
                </pic:pic>
              </a:graphicData>
            </a:graphic>
          </wp:anchor>
        </w:drawing>
      </w:r>
      <w:r>
        <w:rPr>
          <w:color w:val="231F20"/>
          <w:sz w:val="12"/>
        </w:rPr>
        <w:t>15</w:t>
      </w:r>
    </w:p>
    <w:p>
      <w:pPr>
        <w:pStyle w:val="BodyText"/>
        <w:rPr>
          <w:sz w:val="12"/>
        </w:rPr>
      </w:pPr>
    </w:p>
    <w:p>
      <w:pPr>
        <w:spacing w:line="130" w:lineRule="exact" w:before="84"/>
        <w:ind w:left="3499" w:right="0" w:firstLine="0"/>
        <w:jc w:val="left"/>
        <w:rPr>
          <w:sz w:val="12"/>
        </w:rPr>
      </w:pPr>
      <w:r>
        <w:rPr/>
        <w:drawing>
          <wp:anchor distT="0" distB="0" distL="0" distR="0" allowOverlap="1" layoutInCell="1" locked="0" behindDoc="0" simplePos="0" relativeHeight="16163840">
            <wp:simplePos x="0" y="0"/>
            <wp:positionH relativeFrom="page">
              <wp:posOffset>558952</wp:posOffset>
            </wp:positionH>
            <wp:positionV relativeFrom="paragraph">
              <wp:posOffset>105163</wp:posOffset>
            </wp:positionV>
            <wp:extent cx="55029" cy="6350"/>
            <wp:effectExtent l="0" t="0" r="0" b="0"/>
            <wp:wrapNone/>
            <wp:docPr id="171" name="image19.png"/>
            <wp:cNvGraphicFramePr>
              <a:graphicFrameLocks noChangeAspect="1"/>
            </wp:cNvGraphicFramePr>
            <a:graphic>
              <a:graphicData uri="http://schemas.openxmlformats.org/drawingml/2006/picture">
                <pic:pic>
                  <pic:nvPicPr>
                    <pic:cNvPr id="172" name="image19.png"/>
                    <pic:cNvPicPr/>
                  </pic:nvPicPr>
                  <pic:blipFill>
                    <a:blip r:embed="rId54"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65888">
            <wp:simplePos x="0" y="0"/>
            <wp:positionH relativeFrom="page">
              <wp:posOffset>661339</wp:posOffset>
            </wp:positionH>
            <wp:positionV relativeFrom="paragraph">
              <wp:posOffset>74479</wp:posOffset>
            </wp:positionV>
            <wp:extent cx="1829981" cy="37299"/>
            <wp:effectExtent l="0" t="0" r="0" b="0"/>
            <wp:wrapNone/>
            <wp:docPr id="173" name="image65.png"/>
            <wp:cNvGraphicFramePr>
              <a:graphicFrameLocks noChangeAspect="1"/>
            </wp:cNvGraphicFramePr>
            <a:graphic>
              <a:graphicData uri="http://schemas.openxmlformats.org/drawingml/2006/picture">
                <pic:pic>
                  <pic:nvPicPr>
                    <pic:cNvPr id="174" name="image65.png"/>
                    <pic:cNvPicPr/>
                  </pic:nvPicPr>
                  <pic:blipFill>
                    <a:blip r:embed="rId132" cstate="print"/>
                    <a:stretch>
                      <a:fillRect/>
                    </a:stretch>
                  </pic:blipFill>
                  <pic:spPr>
                    <a:xfrm>
                      <a:off x="0" y="0"/>
                      <a:ext cx="1829981" cy="37299"/>
                    </a:xfrm>
                    <a:prstGeom prst="rect">
                      <a:avLst/>
                    </a:prstGeom>
                  </pic:spPr>
                </pic:pic>
              </a:graphicData>
            </a:graphic>
          </wp:anchor>
        </w:drawing>
      </w:r>
      <w:r>
        <w:rPr/>
        <w:drawing>
          <wp:anchor distT="0" distB="0" distL="0" distR="0" allowOverlap="1" layoutInCell="1" locked="0" behindDoc="0" simplePos="0" relativeHeight="16166400">
            <wp:simplePos x="0" y="0"/>
            <wp:positionH relativeFrom="page">
              <wp:posOffset>2540533</wp:posOffset>
            </wp:positionH>
            <wp:positionV relativeFrom="paragraph">
              <wp:posOffset>104896</wp:posOffset>
            </wp:positionV>
            <wp:extent cx="55029" cy="6350"/>
            <wp:effectExtent l="0" t="0" r="0" b="0"/>
            <wp:wrapNone/>
            <wp:docPr id="175" name="image19.png"/>
            <wp:cNvGraphicFramePr>
              <a:graphicFrameLocks noChangeAspect="1"/>
            </wp:cNvGraphicFramePr>
            <a:graphic>
              <a:graphicData uri="http://schemas.openxmlformats.org/drawingml/2006/picture">
                <pic:pic>
                  <pic:nvPicPr>
                    <pic:cNvPr id="176" name="image19.png"/>
                    <pic:cNvPicPr/>
                  </pic:nvPicPr>
                  <pic:blipFill>
                    <a:blip r:embed="rId54" cstate="print"/>
                    <a:stretch>
                      <a:fillRect/>
                    </a:stretch>
                  </pic:blipFill>
                  <pic:spPr>
                    <a:xfrm>
                      <a:off x="0" y="0"/>
                      <a:ext cx="55029" cy="6350"/>
                    </a:xfrm>
                    <a:prstGeom prst="rect">
                      <a:avLst/>
                    </a:prstGeom>
                  </pic:spPr>
                </pic:pic>
              </a:graphicData>
            </a:graphic>
          </wp:anchor>
        </w:drawing>
      </w:r>
      <w:r>
        <w:rPr>
          <w:color w:val="231F20"/>
          <w:sz w:val="12"/>
        </w:rPr>
        <w:t>20</w:t>
      </w:r>
    </w:p>
    <w:p>
      <w:pPr>
        <w:tabs>
          <w:tab w:pos="1263" w:val="left" w:leader="none"/>
          <w:tab w:pos="1845" w:val="left" w:leader="none"/>
          <w:tab w:pos="2425" w:val="left" w:leader="none"/>
          <w:tab w:pos="3020" w:val="left" w:leader="none"/>
        </w:tabs>
        <w:spacing w:line="130" w:lineRule="exact" w:before="0"/>
        <w:ind w:left="623" w:right="0" w:firstLine="0"/>
        <w:jc w:val="left"/>
        <w:rPr>
          <w:sz w:val="12"/>
        </w:rPr>
      </w:pPr>
      <w:r>
        <w:rPr>
          <w:color w:val="231F20"/>
          <w:sz w:val="12"/>
        </w:rPr>
        <w:t>1995</w:t>
        <w:tab/>
        <w:t>96</w:t>
        <w:tab/>
        <w:t>97</w:t>
        <w:tab/>
        <w:t>98</w:t>
        <w:tab/>
        <w:t>99</w:t>
      </w:r>
    </w:p>
    <w:p>
      <w:pPr>
        <w:pStyle w:val="BodyText"/>
        <w:spacing w:before="9"/>
        <w:rPr>
          <w:sz w:val="17"/>
        </w:rPr>
      </w:pPr>
    </w:p>
    <w:p>
      <w:pPr>
        <w:pStyle w:val="ListParagraph"/>
        <w:numPr>
          <w:ilvl w:val="0"/>
          <w:numId w:val="31"/>
        </w:numPr>
        <w:tabs>
          <w:tab w:pos="450" w:val="left" w:leader="none"/>
        </w:tabs>
        <w:spacing w:line="208" w:lineRule="auto" w:before="0" w:after="0"/>
        <w:ind w:left="450" w:right="104" w:hanging="240"/>
        <w:jc w:val="left"/>
        <w:rPr>
          <w:sz w:val="12"/>
        </w:rPr>
      </w:pPr>
      <w:r>
        <w:rPr>
          <w:sz w:val="12"/>
        </w:rPr>
        <w:t>Monthly average of prices of primary commodities, weighted </w:t>
      </w:r>
      <w:r>
        <w:rPr>
          <w:spacing w:val="-9"/>
          <w:sz w:val="12"/>
        </w:rPr>
        <w:t>by </w:t>
      </w:r>
      <w:r>
        <w:rPr>
          <w:sz w:val="12"/>
        </w:rPr>
        <w:t>their shares in UK demand.</w:t>
      </w:r>
    </w:p>
    <w:p>
      <w:pPr>
        <w:pStyle w:val="ListParagraph"/>
        <w:numPr>
          <w:ilvl w:val="0"/>
          <w:numId w:val="31"/>
        </w:numPr>
        <w:tabs>
          <w:tab w:pos="451" w:val="left" w:leader="none"/>
        </w:tabs>
        <w:spacing w:line="114" w:lineRule="exact" w:before="0" w:after="0"/>
        <w:ind w:left="450" w:right="0" w:hanging="241"/>
        <w:jc w:val="left"/>
        <w:rPr>
          <w:sz w:val="12"/>
        </w:rPr>
      </w:pPr>
      <w:r>
        <w:rPr>
          <w:sz w:val="12"/>
        </w:rPr>
        <w:t>Includes prices of non-oil fuels and metals.</w:t>
      </w:r>
    </w:p>
    <w:p>
      <w:pPr>
        <w:pStyle w:val="ListParagraph"/>
        <w:numPr>
          <w:ilvl w:val="0"/>
          <w:numId w:val="31"/>
        </w:numPr>
        <w:tabs>
          <w:tab w:pos="450" w:val="left" w:leader="none"/>
        </w:tabs>
        <w:spacing w:line="208" w:lineRule="auto" w:before="6" w:after="0"/>
        <w:ind w:left="450" w:right="569" w:hanging="240"/>
        <w:jc w:val="left"/>
        <w:rPr>
          <w:sz w:val="12"/>
        </w:rPr>
      </w:pPr>
      <w:r>
        <w:rPr>
          <w:sz w:val="12"/>
        </w:rPr>
        <w:t>Includes prices of domestically produced and </w:t>
      </w:r>
      <w:r>
        <w:rPr>
          <w:spacing w:val="-3"/>
          <w:sz w:val="12"/>
        </w:rPr>
        <w:t>imported </w:t>
      </w:r>
      <w:r>
        <w:rPr>
          <w:sz w:val="12"/>
        </w:rPr>
        <w:t>foodstuffs and non-food agricultural products.</w:t>
      </w:r>
    </w:p>
    <w:p>
      <w:pPr>
        <w:pStyle w:val="Heading3"/>
        <w:numPr>
          <w:ilvl w:val="1"/>
          <w:numId w:val="28"/>
        </w:numPr>
        <w:tabs>
          <w:tab w:pos="1159" w:val="left" w:leader="none"/>
          <w:tab w:pos="1160" w:val="left" w:leader="none"/>
          <w:tab w:pos="5709" w:val="left" w:leader="none"/>
        </w:tabs>
        <w:spacing w:line="240" w:lineRule="auto" w:before="269" w:after="0"/>
        <w:ind w:left="1159" w:right="0" w:hanging="950"/>
        <w:jc w:val="left"/>
        <w:rPr>
          <w:color w:val="009483"/>
        </w:rPr>
      </w:pPr>
      <w:r>
        <w:rPr>
          <w:color w:val="009483"/>
          <w:u w:val="thick" w:color="0093C1"/>
        </w:rPr>
        <w:br w:type="column"/>
        <w:t>Import prices and the exchange rate</w:t>
        <w:tab/>
      </w:r>
    </w:p>
    <w:p>
      <w:pPr>
        <w:pStyle w:val="Heading6"/>
        <w:spacing w:line="242" w:lineRule="auto" w:before="260"/>
        <w:ind w:left="210" w:right="292"/>
      </w:pPr>
      <w:r>
        <w:rPr/>
        <w:t>Sterling import prices of goods and services in 1999 </w:t>
      </w:r>
      <w:r>
        <w:rPr>
          <w:spacing w:val="-9"/>
        </w:rPr>
        <w:t>Q3 </w:t>
      </w:r>
      <w:r>
        <w:rPr/>
        <w:t>were 0.3% lower than in the previous quarter, and 1.9% lower than a year earlier. Within the total, services import prices fell by 0.8% in Q3, whereas goods import prices were flat. Even excluding oil, import prices for goods have stabilised, despite the appreciation of the sterling effective exchange rate in 1999 (see Chart 4.4). Higher oil and other commodity prices are beginning to push up world producer prices.  But world export prices were weaker than expected in Q3, as a sharp</w:t>
      </w:r>
    </w:p>
    <w:p>
      <w:pPr>
        <w:spacing w:line="242" w:lineRule="auto" w:before="13"/>
        <w:ind w:left="210" w:right="157" w:firstLine="0"/>
        <w:jc w:val="left"/>
        <w:rPr>
          <w:sz w:val="24"/>
        </w:rPr>
      </w:pPr>
      <w:r>
        <w:rPr>
          <w:sz w:val="24"/>
        </w:rPr>
        <w:t>decline in Japanese export prices offset increases in </w:t>
      </w:r>
      <w:r>
        <w:rPr>
          <w:spacing w:val="-4"/>
          <w:sz w:val="24"/>
        </w:rPr>
        <w:t>other </w:t>
      </w:r>
      <w:r>
        <w:rPr>
          <w:sz w:val="24"/>
        </w:rPr>
        <w:t>countries. Japanese manufacturers have reduced local currency prices in response to the appreciation of the yen.</w:t>
      </w:r>
    </w:p>
    <w:p>
      <w:pPr>
        <w:spacing w:line="242" w:lineRule="auto" w:before="205"/>
        <w:ind w:left="210" w:right="0" w:firstLine="0"/>
        <w:jc w:val="left"/>
        <w:rPr>
          <w:sz w:val="24"/>
        </w:rPr>
      </w:pPr>
      <w:r>
        <w:rPr>
          <w:sz w:val="24"/>
        </w:rPr>
        <w:t>Consistent with the upturn in global activity, the MPC’s central projection assumes that world export price</w:t>
      </w:r>
    </w:p>
    <w:p>
      <w:pPr>
        <w:pStyle w:val="BodyText"/>
        <w:rPr>
          <w:sz w:val="11"/>
        </w:rPr>
      </w:pPr>
      <w:r>
        <w:rPr/>
        <w:pict>
          <v:shape style="position:absolute;margin-left:279.5pt;margin-top:8.400709pt;width:278pt;height:.1pt;mso-position-horizontal-relative:page;mso-position-vertical-relative:paragraph;z-index:-15298048;mso-wrap-distance-left:0;mso-wrap-distance-right:0" coordorigin="5590,168" coordsize="5560,0" path="m5590,168l11150,168e" filled="false" stroked="true" strokeweight=".125pt" strokecolor="#000000">
            <v:path arrowok="t"/>
            <v:stroke dashstyle="solid"/>
            <w10:wrap type="topAndBottom"/>
          </v:shape>
        </w:pict>
      </w:r>
    </w:p>
    <w:p>
      <w:pPr>
        <w:spacing w:line="208" w:lineRule="auto" w:before="0"/>
        <w:ind w:left="450" w:right="898" w:hanging="240"/>
        <w:jc w:val="left"/>
        <w:rPr>
          <w:sz w:val="16"/>
        </w:rPr>
      </w:pPr>
      <w:hyperlink r:id="rId19">
        <w:r>
          <w:rPr>
            <w:sz w:val="16"/>
          </w:rPr>
          <w:t>(1) For a discussion of the technique, see Clews, R, Panigirtzoglou, N and Proudman, J, ‘Recent developments in extracting information from options markets’, </w:t>
        </w:r>
        <w:r>
          <w:rPr>
            <w:i/>
            <w:sz w:val="16"/>
          </w:rPr>
          <w:t>Bank of England Quarterly Bulletin</w:t>
        </w:r>
        <w:r>
          <w:rPr>
            <w:sz w:val="16"/>
          </w:rPr>
          <w:t>, February 2000, pages 50–60.</w:t>
        </w:r>
      </w:hyperlink>
    </w:p>
    <w:p>
      <w:pPr>
        <w:spacing w:after="0" w:line="208" w:lineRule="auto"/>
        <w:jc w:val="left"/>
        <w:rPr>
          <w:sz w:val="16"/>
        </w:rPr>
        <w:sectPr>
          <w:type w:val="continuous"/>
          <w:pgSz w:w="11900" w:h="16840"/>
          <w:pgMar w:top="1220" w:bottom="280" w:left="620" w:right="640"/>
          <w:cols w:num="2" w:equalWidth="0">
            <w:col w:w="3660" w:space="1110"/>
            <w:col w:w="5870"/>
          </w:cols>
        </w:sectPr>
      </w:pPr>
    </w:p>
    <w:p>
      <w:pPr>
        <w:pStyle w:val="BodyText"/>
        <w:rPr>
          <w:sz w:val="20"/>
        </w:rPr>
      </w:pPr>
    </w:p>
    <w:p>
      <w:pPr>
        <w:spacing w:after="0"/>
        <w:rPr>
          <w:sz w:val="20"/>
        </w:rPr>
        <w:sectPr>
          <w:footerReference w:type="default" r:id="rId133"/>
          <w:footerReference w:type="even" r:id="rId134"/>
          <w:pgSz w:w="11900" w:h="16840"/>
          <w:pgMar w:footer="617" w:header="584" w:top="780" w:bottom="800" w:left="620" w:right="640"/>
          <w:pgNumType w:start="35"/>
        </w:sectPr>
      </w:pPr>
    </w:p>
    <w:p>
      <w:pPr>
        <w:pStyle w:val="BodyText"/>
        <w:spacing w:before="3"/>
        <w:rPr>
          <w:sz w:val="22"/>
        </w:rPr>
      </w:pPr>
    </w:p>
    <w:p>
      <w:pPr>
        <w:pStyle w:val="Heading9"/>
        <w:spacing w:before="0"/>
        <w:ind w:left="175"/>
      </w:pPr>
      <w:bookmarkStart w:name="Costs and prices in manufacturing" w:id="59"/>
      <w:bookmarkEnd w:id="59"/>
      <w:r>
        <w:rPr>
          <w:b w:val="0"/>
        </w:rPr>
      </w:r>
      <w:bookmarkStart w:name="_bookmark23" w:id="60"/>
      <w:bookmarkEnd w:id="60"/>
      <w:r>
        <w:rPr>
          <w:b w:val="0"/>
        </w:rPr>
      </w:r>
      <w:r>
        <w:rPr>
          <w:color w:val="0093C1"/>
        </w:rPr>
        <w:t>Chart 4.4</w:t>
      </w:r>
    </w:p>
    <w:p>
      <w:pPr>
        <w:spacing w:line="249" w:lineRule="auto" w:before="10"/>
        <w:ind w:left="175" w:right="851" w:firstLine="0"/>
        <w:jc w:val="left"/>
        <w:rPr>
          <w:b/>
          <w:sz w:val="20"/>
        </w:rPr>
      </w:pPr>
      <w:r>
        <w:rPr>
          <w:b/>
          <w:color w:val="0093C1"/>
          <w:sz w:val="20"/>
        </w:rPr>
        <w:t>UK sterling non-oil goods import prices and the exchange rate</w:t>
      </w:r>
    </w:p>
    <w:p>
      <w:pPr>
        <w:spacing w:before="176"/>
        <w:ind w:left="2730" w:right="0" w:firstLine="0"/>
        <w:jc w:val="left"/>
        <w:rPr>
          <w:sz w:val="12"/>
        </w:rPr>
      </w:pPr>
      <w:r>
        <w:rPr/>
        <w:pict>
          <v:line style="position:absolute;mso-position-horizontal-relative:page;mso-position-vertical-relative:paragraph;z-index:16177152" from="48.779999pt,16.742146pt" to="44.446999pt,16.742146pt" stroked="true" strokeweight=".5pt" strokecolor="#000000">
            <v:stroke dashstyle="solid"/>
            <w10:wrap type="none"/>
          </v:line>
        </w:pict>
      </w:r>
      <w:r>
        <w:rPr>
          <w:sz w:val="12"/>
        </w:rPr>
        <w:t>Jan. 1995 =1</w:t>
      </w:r>
      <w:r>
        <w:rPr>
          <w:sz w:val="12"/>
          <w:u w:val="single"/>
        </w:rPr>
        <w:t>00</w:t>
      </w:r>
      <w:r>
        <w:rPr>
          <w:spacing w:val="-8"/>
          <w:sz w:val="12"/>
        </w:rPr>
        <w:t> </w:t>
      </w:r>
      <w:r>
        <w:rPr>
          <w:position w:val="-6"/>
          <w:sz w:val="12"/>
        </w:rPr>
        <w:t>110</w:t>
      </w:r>
    </w:p>
    <w:p>
      <w:pPr>
        <w:pStyle w:val="BodyText"/>
        <w:spacing w:before="11"/>
        <w:rPr>
          <w:sz w:val="28"/>
        </w:rPr>
      </w:pPr>
    </w:p>
    <w:p>
      <w:pPr>
        <w:spacing w:before="0"/>
        <w:ind w:left="0" w:right="757" w:firstLine="0"/>
        <w:jc w:val="right"/>
        <w:rPr>
          <w:sz w:val="12"/>
        </w:rPr>
      </w:pPr>
      <w:r>
        <w:rPr/>
        <w:pict>
          <v:group style="position:absolute;margin-left:44.821999pt;margin-top:-8.273743pt;width:159.5pt;height:125.75pt;mso-position-horizontal-relative:page;mso-position-vertical-relative:paragraph;z-index:16175616" coordorigin="896,-165" coordsize="3190,2515">
            <v:shape style="position:absolute;left:1063;top:137;width:588;height:443" coordorigin="1063,137" coordsize="588,443" path="m1063,580l1111,497m1111,497l1158,530m1158,530l1208,415m1208,415l1256,400m1256,400l1303,335m1303,335l1351,220m1351,220l1398,155m1398,155l1458,137m1458,137l1508,252m1508,252l1556,285m1556,285l1603,237m1603,237l1651,205e" filled="false" stroked="true" strokeweight="1pt" strokecolor="#95459a">
              <v:path arrowok="t"/>
              <v:stroke dashstyle="solid"/>
            </v:shape>
            <v:shape style="position:absolute;left:1640;top:205;width:115;height:2" coordorigin="1641,206" coordsize="115,0" path="m1641,206l1708,206m1688,206l1756,206e" filled="false" stroked="true" strokeweight="1.125pt" strokecolor="#95459a">
              <v:path arrowok="t"/>
              <v:stroke dashstyle="solid"/>
            </v:shape>
            <v:shape style="position:absolute;left:1745;top:154;width:493;height:685" coordorigin="1746,155" coordsize="493,685" path="m1746,205l1796,155m1796,155l1843,187m1843,187l1891,270m1891,270l1938,447m1938,447l1986,465m1986,465l2036,530m2036,530l2083,515m2083,515l2131,710m2131,710l2191,742m2191,742l2238,840e" filled="false" stroked="true" strokeweight="1pt" strokecolor="#95459a">
              <v:path arrowok="t"/>
              <v:stroke dashstyle="solid"/>
            </v:shape>
            <v:line style="position:absolute" from="2228,841" to="2296,841" stroked="true" strokeweight="1.125pt" strokecolor="#95459a">
              <v:stroke dashstyle="solid"/>
            </v:line>
            <v:shape style="position:absolute;left:2285;top:839;width:830;height:703" coordorigin="2286,840" coordsize="830,703" path="m2286,840l2336,857m2336,857l2383,922m2383,922l2478,987m2478,987l2526,1052m2526,1052l2576,970m2576,970l2623,1020m2623,1020l2671,1067m2671,1067l2718,1182m2718,1182l2766,1200m2766,1200l2816,1280m2816,1280l2876,1330m2876,1330l2971,1460m2971,1460l3018,1377m3018,1377l3066,1477m3066,1477l3116,1542e" filled="false" stroked="true" strokeweight="1pt" strokecolor="#95459a">
              <v:path arrowok="t"/>
              <v:stroke dashstyle="solid"/>
            </v:shape>
            <v:line style="position:absolute" from="3106,1543" to="3173,1543" stroked="true" strokeweight="1.125pt" strokecolor="#95459a">
              <v:stroke dashstyle="solid"/>
            </v:line>
            <v:shape style="position:absolute;left:3163;top:1542;width:240;height:113" coordorigin="3163,1542" coordsize="240,113" path="m3163,1542l3211,1590m3211,1590l3258,1640m3258,1640l3306,1607m3306,1607l3356,1640m3356,1640l3403,1655e" filled="false" stroked="true" strokeweight="1pt" strokecolor="#95459a">
              <v:path arrowok="t"/>
              <v:stroke dashstyle="solid"/>
            </v:shape>
            <v:line style="position:absolute" from="3393,1656" to="3461,1656" stroked="true" strokeweight="1.125pt" strokecolor="#95459a">
              <v:stroke dashstyle="solid"/>
            </v:line>
            <v:line style="position:absolute" from="3451,1655" to="3498,1672" stroked="true" strokeweight="1pt" strokecolor="#95459a">
              <v:stroke dashstyle="solid"/>
            </v:line>
            <v:line style="position:absolute" from="3488,1673" to="3556,1673" stroked="true" strokeweight="1.125pt" strokecolor="#95459a">
              <v:stroke dashstyle="solid"/>
            </v:line>
            <v:shape style="position:absolute;left:3545;top:1622;width:348;height:98" coordorigin="3546,1622" coordsize="348,98" path="m3546,1672l3606,1705m3606,1705l3653,1687m3653,1687l3703,1655m3703,1655l3751,1672m3751,1672l3798,1687m3798,1687l3846,1720m3846,1720l3893,1622e" filled="false" stroked="true" strokeweight="1pt" strokecolor="#95459a">
              <v:path arrowok="t"/>
              <v:stroke dashstyle="solid"/>
            </v:shape>
            <v:shape style="position:absolute;left:1063;top:-41;width:240;height:620" coordorigin="1063,-40" coordsize="240,620" path="m1063,580l1111,367m1111,367l1158,205m1158,205l1208,105m1208,105l1256,72m1256,72l1303,-40e" filled="false" stroked="true" strokeweight="1pt" strokecolor="#40ad49">
              <v:path arrowok="t"/>
              <v:stroke dashstyle="solid"/>
            </v:shape>
            <v:line style="position:absolute" from="1293,-39" to="1361,-39" stroked="true" strokeweight="1.125pt" strokecolor="#40ad49">
              <v:stroke dashstyle="solid"/>
            </v:line>
            <v:shape style="position:absolute;left:1350;top:-156;width:348;height:278" coordorigin="1351,-155" coordsize="348,278" path="m1351,-40l1398,105m1398,105l1458,122m1458,122l1508,40m1508,40l1556,-155m1556,-155l1603,-73m1603,-73l1651,-40m1651,-40l1698,-25e" filled="false" stroked="true" strokeweight="1pt" strokecolor="#40ad49">
              <v:path arrowok="t"/>
              <v:stroke dashstyle="solid"/>
            </v:shape>
            <v:line style="position:absolute" from="1688,-24" to="1756,-24" stroked="true" strokeweight="1.125pt" strokecolor="#40ad49">
              <v:stroke dashstyle="solid"/>
            </v:line>
            <v:shape style="position:absolute;left:1745;top:-26;width:1070;height:2088" coordorigin="1746,-25" coordsize="1070,2088" path="m1746,-25l1796,7m1796,7l1843,302m1843,302l1891,317m1891,317l1938,105m1938,105l1986,187m1986,187l2036,382m2036,382l2083,725m2083,725l2131,1117m2131,1117l2191,1312m2191,1312l2238,1150m2238,1150l2286,1510m2286,1510l2336,1492m2336,1492l2383,1655m2383,1655l2431,1590m2431,1590l2478,1835m2478,1835l2526,2030m2526,2030l2576,1835m2576,1835l2623,1687m2623,1687l2671,1852m2671,1852l2718,2062m2718,2062l2766,2015m2766,2015l2816,2062e" filled="false" stroked="true" strokeweight="1pt" strokecolor="#40ad49">
              <v:path arrowok="t"/>
              <v:stroke dashstyle="solid"/>
            </v:shape>
            <v:line style="position:absolute" from="2806,2063" to="2886,2063" stroked="true" strokeweight="1.125pt" strokecolor="#40ad49">
              <v:stroke dashstyle="solid"/>
            </v:line>
            <v:shape style="position:absolute;left:2875;top:1622;width:828;height:718" coordorigin="2876,1622" coordsize="828,718" path="m2876,2062l2923,2340m2923,2340l2971,2162m2971,2162l3018,1950m3018,1950l3066,2210m3066,2210l3116,1997m3116,1997l3163,2130m3163,2130l3211,1917m3211,1917l3258,1655m3258,1655l3306,1705m3306,1705l3356,1622m3356,1622l3403,1720m3403,1720l3451,1737m3451,1737l3498,1885m3498,1885l3546,1997m3546,1997l3606,2030m3606,2030l3653,1982m3653,1982l3703,1950e" filled="false" stroked="true" strokeweight="1pt" strokecolor="#40ad49">
              <v:path arrowok="t"/>
              <v:stroke dashstyle="solid"/>
            </v:shape>
            <v:line style="position:absolute" from="3693,1951" to="3761,1951" stroked="true" strokeweight="1.125pt" strokecolor="#40ad49">
              <v:stroke dashstyle="solid"/>
            </v:line>
            <v:shape style="position:absolute;left:3750;top:1949;width:193;height:278" coordorigin="3751,1950" coordsize="193,278" path="m3751,1950l3798,2062m3798,2062l3846,2112m3846,2112l3893,2097m3893,2097l3943,2227e" filled="false" stroked="true" strokeweight="1pt" strokecolor="#40ad49">
              <v:path arrowok="t"/>
              <v:stroke dashstyle="solid"/>
            </v:shape>
            <v:shape style="position:absolute;left:896;top:84;width:3190;height:1928" coordorigin="896,85" coordsize="3190,1928" path="m983,85l896,85m983,578l896,578m983,1045l896,1045m983,1526l896,1526m983,2012l896,2012m4086,86l3999,86m4086,579l3999,579m4086,1046l3999,1046m4086,1527l3999,1527m4086,2013l3999,2013e" filled="false" stroked="true" strokeweight=".5pt" strokecolor="#000000">
              <v:path arrowok="t"/>
              <v:stroke dashstyle="solid"/>
            </v:shape>
            <v:shape style="position:absolute;left:2453;top:804;width:664;height:133" type="#_x0000_t202" filled="false" stroked="false">
              <v:textbox inset="0,0,0,0">
                <w:txbxContent>
                  <w:p>
                    <w:pPr>
                      <w:spacing w:line="133" w:lineRule="exact" w:before="0"/>
                      <w:ind w:left="0" w:right="0" w:firstLine="0"/>
                      <w:jc w:val="left"/>
                      <w:rPr>
                        <w:sz w:val="12"/>
                      </w:rPr>
                    </w:pPr>
                    <w:r>
                      <w:rPr>
                        <w:sz w:val="12"/>
                      </w:rPr>
                      <w:t>Import prices</w:t>
                    </w:r>
                  </w:p>
                </w:txbxContent>
              </v:textbox>
              <w10:wrap type="none"/>
            </v:shape>
            <v:shape style="position:absolute;left:1404;top:1348;width:933;height:414" type="#_x0000_t202" filled="false" stroked="false">
              <v:textbox inset="0,0,0,0">
                <w:txbxContent>
                  <w:p>
                    <w:pPr>
                      <w:spacing w:line="242" w:lineRule="auto" w:before="0"/>
                      <w:ind w:left="30" w:right="0" w:hanging="30"/>
                      <w:jc w:val="left"/>
                      <w:rPr>
                        <w:sz w:val="12"/>
                      </w:rPr>
                    </w:pPr>
                    <w:r>
                      <w:rPr>
                        <w:sz w:val="12"/>
                      </w:rPr>
                      <w:t>Sterling effective exchange rate index, inverted (a)</w:t>
                    </w:r>
                  </w:p>
                </w:txbxContent>
              </v:textbox>
              <w10:wrap type="none"/>
            </v:shape>
            <w10:wrap type="none"/>
          </v:group>
        </w:pict>
      </w:r>
      <w:r>
        <w:rPr>
          <w:sz w:val="12"/>
        </w:rPr>
        <w:t>105</w:t>
      </w:r>
    </w:p>
    <w:p>
      <w:pPr>
        <w:pStyle w:val="BodyText"/>
        <w:rPr>
          <w:sz w:val="12"/>
        </w:rPr>
      </w:pPr>
    </w:p>
    <w:p>
      <w:pPr>
        <w:pStyle w:val="BodyText"/>
        <w:rPr>
          <w:sz w:val="12"/>
        </w:rPr>
      </w:pPr>
    </w:p>
    <w:p>
      <w:pPr>
        <w:spacing w:before="76"/>
        <w:ind w:left="0" w:right="757" w:firstLine="0"/>
        <w:jc w:val="right"/>
        <w:rPr>
          <w:sz w:val="12"/>
        </w:rPr>
      </w:pPr>
      <w:r>
        <w:rPr>
          <w:sz w:val="12"/>
        </w:rPr>
        <w:t>100</w:t>
      </w:r>
    </w:p>
    <w:p>
      <w:pPr>
        <w:pStyle w:val="BodyText"/>
        <w:rPr>
          <w:sz w:val="12"/>
        </w:rPr>
      </w:pPr>
    </w:p>
    <w:p>
      <w:pPr>
        <w:pStyle w:val="BodyText"/>
        <w:spacing w:before="1"/>
        <w:rPr>
          <w:sz w:val="17"/>
        </w:rPr>
      </w:pPr>
    </w:p>
    <w:p>
      <w:pPr>
        <w:spacing w:before="0"/>
        <w:ind w:left="0" w:right="757" w:firstLine="0"/>
        <w:jc w:val="right"/>
        <w:rPr>
          <w:sz w:val="12"/>
        </w:rPr>
      </w:pPr>
      <w:r>
        <w:rPr>
          <w:sz w:val="12"/>
        </w:rPr>
        <w:t>95</w:t>
      </w:r>
    </w:p>
    <w:p>
      <w:pPr>
        <w:pStyle w:val="BodyText"/>
        <w:rPr>
          <w:sz w:val="12"/>
        </w:rPr>
      </w:pPr>
    </w:p>
    <w:p>
      <w:pPr>
        <w:pStyle w:val="BodyText"/>
        <w:spacing w:before="1"/>
        <w:rPr>
          <w:sz w:val="17"/>
        </w:rPr>
      </w:pPr>
    </w:p>
    <w:p>
      <w:pPr>
        <w:spacing w:before="0"/>
        <w:ind w:left="0" w:right="757" w:firstLine="0"/>
        <w:jc w:val="right"/>
        <w:rPr>
          <w:sz w:val="12"/>
        </w:rPr>
      </w:pPr>
      <w:r>
        <w:rPr>
          <w:sz w:val="12"/>
        </w:rPr>
        <w:t>90</w:t>
      </w:r>
    </w:p>
    <w:p>
      <w:pPr>
        <w:pStyle w:val="BodyText"/>
        <w:rPr>
          <w:sz w:val="12"/>
        </w:rPr>
      </w:pPr>
    </w:p>
    <w:p>
      <w:pPr>
        <w:pStyle w:val="BodyText"/>
        <w:rPr>
          <w:sz w:val="12"/>
        </w:rPr>
      </w:pPr>
    </w:p>
    <w:p>
      <w:pPr>
        <w:spacing w:before="76"/>
        <w:ind w:left="0" w:right="757" w:firstLine="0"/>
        <w:jc w:val="right"/>
        <w:rPr>
          <w:sz w:val="12"/>
        </w:rPr>
      </w:pPr>
      <w:r>
        <w:rPr>
          <w:sz w:val="12"/>
        </w:rPr>
        <w:t>85</w:t>
      </w:r>
    </w:p>
    <w:p>
      <w:pPr>
        <w:pStyle w:val="BodyText"/>
        <w:rPr>
          <w:sz w:val="12"/>
        </w:rPr>
      </w:pPr>
    </w:p>
    <w:p>
      <w:pPr>
        <w:pStyle w:val="BodyText"/>
        <w:spacing w:before="1"/>
        <w:rPr>
          <w:sz w:val="17"/>
        </w:rPr>
      </w:pPr>
    </w:p>
    <w:p>
      <w:pPr>
        <w:spacing w:line="118" w:lineRule="exact" w:before="0"/>
        <w:ind w:left="3550" w:right="0" w:firstLine="0"/>
        <w:jc w:val="left"/>
        <w:rPr>
          <w:sz w:val="12"/>
        </w:rPr>
      </w:pPr>
      <w:r>
        <w:rPr/>
        <w:pict>
          <v:line style="position:absolute;mso-position-horizontal-relative:page;mso-position-vertical-relative:paragraph;z-index:16176128" from="49.154999pt,4.018562pt" to="44.821999pt,4.018562pt" stroked="true" strokeweight=".5pt" strokecolor="#000000">
            <v:stroke dashstyle="solid"/>
            <w10:wrap type="none"/>
          </v:line>
        </w:pict>
      </w:r>
      <w:r>
        <w:rPr/>
        <w:pict>
          <v:shape style="position:absolute;margin-left:52.946999pt;margin-top:1.351563pt;width:151.4pt;height:2.75pt;mso-position-horizontal-relative:page;mso-position-vertical-relative:paragraph;z-index:16176640" coordorigin="1059,27" coordsize="3028,55" path="m1059,27l1059,80m1646,27l1646,80m2239,27l2239,80m2819,27l2819,80m4086,81l3999,81m1059,80l3932,80m3399,27l3399,80e" filled="false" stroked="true" strokeweight=".5pt" strokecolor="#000000">
            <v:path arrowok="t"/>
            <v:stroke dashstyle="solid"/>
            <w10:wrap type="none"/>
          </v:shape>
        </w:pict>
      </w:r>
      <w:r>
        <w:rPr>
          <w:sz w:val="12"/>
        </w:rPr>
        <w:t>80</w:t>
      </w:r>
    </w:p>
    <w:p>
      <w:pPr>
        <w:tabs>
          <w:tab w:pos="1268" w:val="left" w:leader="none"/>
          <w:tab w:pos="1855" w:val="left" w:leader="none"/>
          <w:tab w:pos="2430" w:val="left" w:leader="none"/>
          <w:tab w:pos="3048" w:val="left" w:leader="none"/>
        </w:tabs>
        <w:spacing w:line="118" w:lineRule="exact" w:before="0"/>
        <w:ind w:left="638" w:right="0" w:firstLine="0"/>
        <w:jc w:val="left"/>
        <w:rPr>
          <w:sz w:val="12"/>
        </w:rPr>
      </w:pPr>
      <w:r>
        <w:rPr>
          <w:sz w:val="12"/>
        </w:rPr>
        <w:t>1995</w:t>
        <w:tab/>
        <w:t>96</w:t>
        <w:tab/>
        <w:t>97</w:t>
        <w:tab/>
        <w:t>98</w:t>
        <w:tab/>
        <w:t>99</w:t>
      </w:r>
    </w:p>
    <w:p>
      <w:pPr>
        <w:pStyle w:val="BodyText"/>
        <w:rPr>
          <w:sz w:val="12"/>
        </w:rPr>
      </w:pPr>
    </w:p>
    <w:p>
      <w:pPr>
        <w:spacing w:before="82"/>
        <w:ind w:left="180" w:right="0" w:firstLine="0"/>
        <w:jc w:val="left"/>
        <w:rPr>
          <w:sz w:val="12"/>
        </w:rPr>
      </w:pPr>
      <w:r>
        <w:rPr>
          <w:sz w:val="12"/>
        </w:rPr>
        <w:t>Sources:  ONS and Bank of England.</w:t>
      </w:r>
    </w:p>
    <w:p>
      <w:pPr>
        <w:spacing w:before="102"/>
        <w:ind w:left="180" w:right="0" w:firstLine="0"/>
        <w:jc w:val="left"/>
        <w:rPr>
          <w:sz w:val="12"/>
        </w:rPr>
      </w:pPr>
      <w:r>
        <w:rPr>
          <w:sz w:val="12"/>
        </w:rPr>
        <w:t>(a)    A fall indicates an</w:t>
      </w:r>
      <w:r>
        <w:rPr>
          <w:spacing w:val="-14"/>
          <w:sz w:val="12"/>
        </w:rPr>
        <w:t> </w:t>
      </w:r>
      <w:r>
        <w:rPr>
          <w:sz w:val="12"/>
        </w:rPr>
        <w:t>appreciation.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pStyle w:val="Heading9"/>
        <w:spacing w:before="1"/>
        <w:ind w:left="185"/>
      </w:pPr>
      <w:r>
        <w:rPr>
          <w:color w:val="0093C1"/>
        </w:rPr>
        <w:t>Chart 4.5</w:t>
      </w:r>
    </w:p>
    <w:p>
      <w:pPr>
        <w:spacing w:before="10"/>
        <w:ind w:left="185" w:right="0" w:firstLine="0"/>
        <w:jc w:val="left"/>
        <w:rPr>
          <w:b/>
          <w:sz w:val="20"/>
        </w:rPr>
      </w:pPr>
      <w:r>
        <w:rPr>
          <w:b/>
          <w:color w:val="0093C1"/>
          <w:sz w:val="20"/>
        </w:rPr>
        <w:t>Manufacturing input prices</w:t>
      </w:r>
    </w:p>
    <w:p>
      <w:pPr>
        <w:pStyle w:val="BodyText"/>
        <w:spacing w:before="1"/>
        <w:rPr>
          <w:b/>
          <w:sz w:val="20"/>
        </w:rPr>
      </w:pPr>
    </w:p>
    <w:p>
      <w:pPr>
        <w:spacing w:line="206" w:lineRule="auto" w:before="1"/>
        <w:ind w:left="2304" w:right="787" w:hanging="410"/>
        <w:jc w:val="left"/>
        <w:rPr>
          <w:sz w:val="12"/>
        </w:rPr>
      </w:pPr>
      <w:r>
        <w:rPr/>
        <w:pict>
          <v:line style="position:absolute;mso-position-horizontal-relative:page;mso-position-vertical-relative:paragraph;z-index:16173056" from="50.571999pt,13.429352pt" to="46.237999pt,13.429352pt" stroked="true" strokeweight=".5pt" strokecolor="#000000">
            <v:stroke dashstyle="solid"/>
            <w10:wrap type="none"/>
          </v:line>
        </w:pict>
      </w:r>
      <w:r>
        <w:rPr/>
        <w:pict>
          <v:line style="position:absolute;mso-position-horizontal-relative:page;mso-position-vertical-relative:paragraph;z-index:-21970944" from="206.447007pt,13.398352pt" to="202.113007pt,13.398352pt" stroked="true" strokeweight=".5pt" strokecolor="#000000">
            <v:stroke dashstyle="solid"/>
            <w10:wrap type="none"/>
          </v:line>
        </w:pict>
      </w:r>
      <w:r>
        <w:rPr>
          <w:sz w:val="12"/>
        </w:rPr>
        <w:t>Percentage changes, three months on previous three months</w:t>
      </w:r>
      <w:r>
        <w:rPr>
          <w:spacing w:val="9"/>
          <w:sz w:val="12"/>
        </w:rPr>
        <w:t> </w:t>
      </w:r>
      <w:r>
        <w:rPr>
          <w:spacing w:val="-17"/>
          <w:position w:val="-7"/>
          <w:sz w:val="12"/>
        </w:rPr>
        <w:t>8</w:t>
      </w:r>
    </w:p>
    <w:p>
      <w:pPr>
        <w:pStyle w:val="BodyText"/>
        <w:spacing w:before="7"/>
        <w:rPr>
          <w:sz w:val="19"/>
        </w:rPr>
      </w:pPr>
    </w:p>
    <w:p>
      <w:pPr>
        <w:spacing w:before="0"/>
        <w:ind w:left="0" w:right="777" w:firstLine="0"/>
        <w:jc w:val="right"/>
        <w:rPr>
          <w:sz w:val="12"/>
        </w:rPr>
      </w:pPr>
      <w:r>
        <w:rPr/>
        <w:pict>
          <v:group style="position:absolute;margin-left:46.237999pt;margin-top:-5.272827pt;width:164.7pt;height:125.9pt;mso-position-horizontal-relative:page;mso-position-vertical-relative:paragraph;z-index:16172032" coordorigin="925,-105" coordsize="3294,2518">
            <v:line style="position:absolute" from="1089,1155" to="3979,1155" stroked="true" strokeweight=".5pt" strokecolor="#000000">
              <v:stroke dashstyle="solid"/>
            </v:line>
            <v:shape style="position:absolute;left:1083;top:499;width:688;height:1115" coordorigin="1083,500" coordsize="688,1115" path="m1083,545l1136,575m1136,575l1178,500m1178,500l1231,620m1231,620l1286,590m1286,590l1326,620m1326,620l1381,647m1381,647l1421,782m1421,782l1476,945m1476,945l1528,1185m1528,1185l1571,1422m1571,1422l1623,1615m1623,1615l1676,1570m1676,1570l1718,1437m1718,1437l1771,1317e" filled="false" stroked="true" strokeweight="1pt" strokecolor="#0066a5">
              <v:path arrowok="t"/>
              <v:stroke dashstyle="solid"/>
            </v:shape>
            <v:line style="position:absolute" from="1761,1318" to="1823,1318" stroked="true" strokeweight="1.125pt" strokecolor="#0066a5">
              <v:stroke dashstyle="solid"/>
            </v:line>
            <v:shape style="position:absolute;left:1813;top:1317;width:148;height:253" coordorigin="1813,1317" coordsize="148,253" path="m1813,1317l1866,1422m1866,1422l1918,1482m1918,1482l1961,1570e" filled="false" stroked="true" strokeweight="1pt" strokecolor="#0066a5">
              <v:path arrowok="t"/>
              <v:stroke dashstyle="solid"/>
            </v:shape>
            <v:line style="position:absolute" from="1951,1571" to="2023,1571" stroked="true" strokeweight="1.125pt" strokecolor="#0066a5">
              <v:stroke dashstyle="solid"/>
            </v:line>
            <v:shape style="position:absolute;left:2013;top:1377;width:443;height:193" coordorigin="2013,1377" coordsize="443,193" path="m2013,1570l2066,1525m2066,1525l2108,1392m2108,1392l2161,1377m2161,1377l2203,1407m2203,1407l2256,1525m2256,1525l2308,1555m2308,1555l2351,1540m2351,1540l2403,1497m2403,1497l2456,1452e" filled="false" stroked="true" strokeweight="1pt" strokecolor="#0066a5">
              <v:path arrowok="t"/>
              <v:stroke dashstyle="solid"/>
            </v:shape>
            <v:line style="position:absolute" from="2446,1453" to="2508,1453" stroked="true" strokeweight="1.125pt" strokecolor="#0066a5">
              <v:stroke dashstyle="solid"/>
            </v:line>
            <v:shape style="position:absolute;left:2498;top:1257;width:445;height:195" coordorigin="2498,1257" coordsize="445,195" path="m2498,1452l2551,1392m2551,1392l2593,1377m2593,1377l2646,1317m2646,1317l2701,1272m2701,1272l2741,1287m2741,1287l2796,1257m2796,1257l2848,1317m2848,1317l2891,1302m2891,1302l2943,1362e" filled="false" stroked="true" strokeweight="1pt" strokecolor="#0066a5">
              <v:path arrowok="t"/>
              <v:stroke dashstyle="solid"/>
            </v:shape>
            <v:line style="position:absolute" from="2933,1363" to="2996,1363" stroked="true" strokeweight="1.125pt" strokecolor="#0066a5">
              <v:stroke dashstyle="solid"/>
            </v:line>
            <v:shape style="position:absolute;left:2985;top:1272;width:643;height:195" coordorigin="2986,1272" coordsize="643,195" path="m2986,1362l3038,1407m3038,1407l3091,1362m3091,1362l3133,1347m3133,1347l3186,1362m3186,1362l3238,1407m3238,1407l3281,1467m3281,1467l3333,1437m3333,1437l3376,1422m3376,1422l3428,1347m3428,1347l3481,1377m3481,1377l3523,1347m3523,1347l3576,1332m3576,1332l3628,1272e" filled="false" stroked="true" strokeweight="1pt" strokecolor="#0066a5">
              <v:path arrowok="t"/>
              <v:stroke dashstyle="solid"/>
            </v:shape>
            <v:line style="position:absolute" from="3618,1273" to="3681,1273" stroked="true" strokeweight="1.125pt" strokecolor="#0066a5">
              <v:stroke dashstyle="solid"/>
            </v:line>
            <v:shape style="position:absolute;left:3670;top:944;width:295;height:328" coordorigin="3671,945" coordsize="295,328" path="m3671,1272l3723,1227m3723,1227l3766,1170m3766,1170l3818,1050m3818,1050l3871,1020m3871,1020l3913,945m3913,945l3966,960e" filled="false" stroked="true" strokeweight="1pt" strokecolor="#0066a5">
              <v:path arrowok="t"/>
              <v:stroke dashstyle="solid"/>
            </v:shape>
            <v:shape style="position:absolute;left:1083;top:-81;width:148;height:998" coordorigin="1083,-80" coordsize="148,998" path="m1083,-80l1136,55m1136,55l1178,425m1178,425l1231,917e" filled="false" stroked="true" strokeweight="1pt" strokecolor="#008256">
              <v:path arrowok="t"/>
              <v:stroke dashstyle="solid"/>
            </v:shape>
            <v:shape style="position:absolute;left:1220;top:429;width:318;height:570" type="#_x0000_t75" stroked="false">
              <v:imagedata r:id="rId135" o:title=""/>
            </v:shape>
            <v:line style="position:absolute" from="1528,945" to="1571,1347" stroked="true" strokeweight="1pt" strokecolor="#008256">
              <v:stroke dashstyle="solid"/>
            </v:line>
            <v:shape style="position:absolute;left:1560;top:1337;width:368;height:333" type="#_x0000_t75" stroked="false">
              <v:imagedata r:id="rId136" o:title=""/>
            </v:shape>
            <v:line style="position:absolute" from="1939,1650" to="1939,2087" stroked="true" strokeweight="3.125pt" strokecolor="#008256">
              <v:stroke dashstyle="solid"/>
            </v:line>
            <v:shape style="position:absolute;left:1960;top:2077;width:105;height:268" coordorigin="1961,2077" coordsize="105,268" path="m1961,2077l2013,2345m2013,2345l2066,2270e" filled="false" stroked="true" strokeweight="1pt" strokecolor="#008256">
              <v:path arrowok="t"/>
              <v:stroke dashstyle="solid"/>
            </v:shape>
            <v:line style="position:absolute" from="2087,1842" to="2087,2280" stroked="true" strokeweight="3.125pt" strokecolor="#008256">
              <v:stroke dashstyle="solid"/>
            </v:line>
            <v:line style="position:absolute" from="2108,1852" to="2161,1795" stroked="true" strokeweight="1pt" strokecolor="#008256">
              <v:stroke dashstyle="solid"/>
            </v:line>
            <v:line style="position:absolute" from="2151,1796" to="2213,1796" stroked="true" strokeweight="1.125pt" strokecolor="#008256">
              <v:stroke dashstyle="solid"/>
            </v:line>
            <v:shape style="position:absolute;left:2203;top:1467;width:105;height:460" coordorigin="2203,1467" coordsize="105,460" path="m2203,1795l2256,1927m2256,1927l2308,1467e" filled="false" stroked="true" strokeweight="1pt" strokecolor="#008256">
              <v:path arrowok="t"/>
              <v:stroke dashstyle="solid"/>
            </v:shape>
            <v:line style="position:absolute" from="2329,1040" to="2329,1477" stroked="true" strokeweight="3.125pt" strokecolor="#008256">
              <v:stroke dashstyle="solid"/>
            </v:line>
            <v:shape style="position:absolute;left:2350;top:544;width:1615;height:1725" coordorigin="2351,545" coordsize="1615,1725" path="m2351,1050l2403,752m2403,752l2456,887m2456,887l2498,1155m2498,1155l2551,1257m2551,1257l2593,1227m2593,1227l2646,1170m2646,1170l2701,1065m2701,1065l2741,1377m2741,1377l2796,1497m2796,1497l2848,1645m2848,1645l2891,1272m2891,1272l2943,1185m2943,1185l2986,1125m2986,1125l3038,1302m3038,1302l3091,1437m3091,1437l3133,1660m3133,1660l3186,1897m3186,1897l3238,2032m3238,2032l3281,2165m3281,2165l3333,2240m3333,2240l3376,2270m3376,2270l3428,2047m3428,2047l3481,1720m3481,1720l3523,1392m3523,1392l3576,1125m3576,1125l3628,975m3628,975l3671,960m3671,960l3723,990m3723,990l3766,1005m3766,1005l3818,767m3818,767l3871,692m3871,692l3913,545m3913,545l3966,605e" filled="false" stroked="true" strokeweight="1pt" strokecolor="#008256">
              <v:path arrowok="t"/>
              <v:stroke dashstyle="solid"/>
            </v:shape>
            <v:shape style="position:absolute;left:1083;top:-96;width:635;height:2498" coordorigin="1083,-95" coordsize="635,2498" path="m1083,-95l1136,67m1136,67l1178,55m1178,55l1231,127m1231,127l1286,142m1286,142l1326,187m1326,187l1381,380m1381,380l1421,737m1421,737l1476,1170m1476,1170l1528,1630m1528,1630l1571,2032m1571,2032l1623,2402m1623,2402l1676,2315m1676,2315l1718,2002e" filled="false" stroked="true" strokeweight="1pt" strokecolor="#952e40">
              <v:path arrowok="t"/>
              <v:stroke dashstyle="solid"/>
            </v:shape>
            <v:line style="position:absolute" from="1744,1427" to="1744,2012" stroked="true" strokeweight="3.625pt" strokecolor="#952e40">
              <v:stroke dashstyle="solid"/>
            </v:line>
            <v:shape style="position:absolute;left:1770;top:989;width:538;height:878" coordorigin="1771,990" coordsize="538,878" path="m1771,1437l1813,1140m1813,1140l1866,990m1866,990l1918,1110m1918,1110l1961,1272m1961,1272l2013,1452m2013,1452l2066,1525m2066,1525l2108,1467m2108,1467l2161,1437m2161,1437l2203,1497m2203,1497l2256,1705m2256,1705l2308,1867e" filled="false" stroked="true" strokeweight="1pt" strokecolor="#952e40">
              <v:path arrowok="t"/>
              <v:stroke dashstyle="solid"/>
            </v:shape>
            <v:line style="position:absolute" from="2298,1868" to="2361,1868" stroked="true" strokeweight="1.125pt" strokecolor="#952e40">
              <v:stroke dashstyle="solid"/>
            </v:line>
            <v:shape style="position:absolute;left:2350;top:1437;width:243;height:430" coordorigin="2351,1437" coordsize="243,430" path="m2351,1867l2403,1720m2403,1720l2456,1540m2456,1540l2498,1437m2498,1437l2551,1452m2551,1452l2593,1467e" filled="false" stroked="true" strokeweight="1pt" strokecolor="#952e40">
              <v:path arrowok="t"/>
              <v:stroke dashstyle="solid"/>
            </v:shape>
            <v:line style="position:absolute" from="2583,1468" to="2656,1468" stroked="true" strokeweight="1.125pt" strokecolor="#952e40">
              <v:stroke dashstyle="solid"/>
            </v:line>
            <v:shape style="position:absolute;left:2645;top:514;width:1320;height:1220" coordorigin="2646,515" coordsize="1320,1220" path="m2646,1467l2701,1287m2701,1287l2741,1170m2741,1170l2796,1155m2796,1155l2848,1377m2848,1377l2891,1600m2891,1600l2943,1720m2943,1720l2986,1735m2986,1735l3038,1720m3038,1720l3091,1690m3091,1690l3133,1585m3133,1585l3186,1467m3186,1467l3238,1302m3238,1302l3281,1185m3281,1185l3333,1110m3333,1110l3376,1170m3376,1170l3428,1257m3428,1257l3481,1422m3481,1422l3523,1497m3523,1497l3576,1570m3576,1570l3628,1510m3628,1510l3671,1482m3671,1482l3723,1242m3723,1242l3766,990m3766,990l3818,722m3818,722l3871,605m3871,605l3913,575m3913,575l3966,515e" filled="false" stroked="true" strokeweight="1pt" strokecolor="#952e40">
              <v:path arrowok="t"/>
              <v:stroke dashstyle="solid"/>
            </v:shape>
            <v:shape style="position:absolute;left:924;top:83;width:3205;height:2152" coordorigin="925,84" coordsize="3205,2152" path="m1011,795l925,795m1011,1155l925,1155m1011,1505l925,1505m1011,1875l925,1875m1011,2235l925,2235m1011,84l925,84m1011,435l925,435m4129,794l4042,794m4129,1154l4042,1154m4129,1505l4042,1505m4129,1875l4042,1875m4129,2234l4042,2234m4129,84l4042,84m4129,434l4042,434e" filled="false" stroked="true" strokeweight=".5pt" strokecolor="#000000">
              <v:path arrowok="t"/>
              <v:stroke dashstyle="solid"/>
            </v:shape>
            <v:line style="position:absolute" from="2160,600" to="2160,1280" stroked="true" strokeweight=".5pt" strokecolor="#000000">
              <v:stroke dashstyle="solid"/>
            </v:line>
            <v:shape style="position:absolute;left:2134;top:1263;width:51;height:85" coordorigin="2134,1263" coordsize="51,85" path="m2185,1263l2134,1263,2141,1279,2145,1291,2160,1348,2161,1339,2163,1329,2166,1317,2170,1304,2174,1293,2185,1263xe" filled="true" fillcolor="#000000" stroked="false">
              <v:path arrowok="t"/>
              <v:fill type="solid"/>
            </v:shape>
            <v:shape style="position:absolute;left:1320;top:34;width:1255;height:548" type="#_x0000_t202" filled="false" stroked="false">
              <v:textbox inset="0,0,0,0">
                <w:txbxContent>
                  <w:p>
                    <w:pPr>
                      <w:spacing w:line="133" w:lineRule="exact" w:before="0"/>
                      <w:ind w:left="0" w:right="0" w:firstLine="0"/>
                      <w:jc w:val="left"/>
                      <w:rPr>
                        <w:sz w:val="12"/>
                      </w:rPr>
                    </w:pPr>
                    <w:r>
                      <w:rPr>
                        <w:sz w:val="12"/>
                      </w:rPr>
                      <w:t>Imported metals</w:t>
                    </w:r>
                  </w:p>
                  <w:p>
                    <w:pPr>
                      <w:spacing w:line="240" w:lineRule="auto" w:before="0"/>
                      <w:rPr>
                        <w:sz w:val="12"/>
                      </w:rPr>
                    </w:pPr>
                  </w:p>
                  <w:p>
                    <w:pPr>
                      <w:spacing w:line="240" w:lineRule="auto" w:before="0"/>
                      <w:rPr>
                        <w:sz w:val="12"/>
                      </w:rPr>
                    </w:pPr>
                  </w:p>
                  <w:p>
                    <w:pPr>
                      <w:spacing w:before="0"/>
                      <w:ind w:left="501" w:right="0" w:firstLine="0"/>
                      <w:jc w:val="left"/>
                      <w:rPr>
                        <w:sz w:val="12"/>
                      </w:rPr>
                    </w:pPr>
                    <w:r>
                      <w:rPr>
                        <w:sz w:val="12"/>
                      </w:rPr>
                      <w:t>Input prices (a)</w:t>
                    </w:r>
                  </w:p>
                </w:txbxContent>
              </v:textbox>
              <w10:wrap type="none"/>
            </v:shape>
            <v:shape style="position:absolute;left:4108;top:951;width:111;height:400" type="#_x0000_t202" filled="false" stroked="false">
              <v:textbox inset="0,0,0,0">
                <w:txbxContent>
                  <w:p>
                    <w:pPr>
                      <w:spacing w:line="177" w:lineRule="exact" w:before="0"/>
                      <w:ind w:left="0" w:right="0" w:firstLine="0"/>
                      <w:jc w:val="left"/>
                      <w:rPr>
                        <w:sz w:val="16"/>
                      </w:rPr>
                    </w:pPr>
                    <w:r>
                      <w:rPr>
                        <w:sz w:val="16"/>
                      </w:rPr>
                      <w:t>+</w:t>
                    </w:r>
                  </w:p>
                  <w:p>
                    <w:pPr>
                      <w:spacing w:before="38"/>
                      <w:ind w:left="10" w:right="0" w:firstLine="0"/>
                      <w:jc w:val="left"/>
                      <w:rPr>
                        <w:sz w:val="16"/>
                      </w:rPr>
                    </w:pPr>
                    <w:r>
                      <w:rPr>
                        <w:sz w:val="16"/>
                      </w:rPr>
                      <w:t>–</w:t>
                    </w:r>
                  </w:p>
                </w:txbxContent>
              </v:textbox>
              <w10:wrap type="none"/>
            </v:shape>
            <v:shape style="position:absolute;left:2360;top:2189;width:970;height:134" type="#_x0000_t202" filled="false" stroked="false">
              <v:textbox inset="0,0,0,0">
                <w:txbxContent>
                  <w:p>
                    <w:pPr>
                      <w:spacing w:line="133" w:lineRule="exact" w:before="0"/>
                      <w:ind w:left="0" w:right="0" w:firstLine="0"/>
                      <w:jc w:val="left"/>
                      <w:rPr>
                        <w:sz w:val="12"/>
                      </w:rPr>
                    </w:pPr>
                    <w:r>
                      <w:rPr>
                        <w:sz w:val="12"/>
                      </w:rPr>
                      <w:t>Imported chemicals</w:t>
                    </w:r>
                  </w:p>
                </w:txbxContent>
              </v:textbox>
              <w10:wrap type="none"/>
            </v:shape>
            <w10:wrap type="none"/>
          </v:group>
        </w:pict>
      </w:r>
      <w:r>
        <w:rPr>
          <w:sz w:val="12"/>
        </w:rPr>
        <w:t>6</w:t>
      </w:r>
    </w:p>
    <w:p>
      <w:pPr>
        <w:pStyle w:val="BodyText"/>
        <w:rPr>
          <w:sz w:val="12"/>
        </w:rPr>
      </w:pPr>
    </w:p>
    <w:p>
      <w:pPr>
        <w:spacing w:before="97"/>
        <w:ind w:left="0" w:right="777" w:firstLine="0"/>
        <w:jc w:val="right"/>
        <w:rPr>
          <w:sz w:val="12"/>
        </w:rPr>
      </w:pPr>
      <w:r>
        <w:rPr>
          <w:sz w:val="12"/>
        </w:rPr>
        <w:t>4</w:t>
      </w:r>
    </w:p>
    <w:p>
      <w:pPr>
        <w:pStyle w:val="BodyText"/>
        <w:rPr>
          <w:sz w:val="12"/>
        </w:rPr>
      </w:pPr>
    </w:p>
    <w:p>
      <w:pPr>
        <w:spacing w:before="79"/>
        <w:ind w:left="0" w:right="777" w:firstLine="0"/>
        <w:jc w:val="right"/>
        <w:rPr>
          <w:sz w:val="12"/>
        </w:rPr>
      </w:pPr>
      <w:r>
        <w:rPr>
          <w:sz w:val="12"/>
        </w:rPr>
        <w:t>2</w:t>
      </w:r>
    </w:p>
    <w:p>
      <w:pPr>
        <w:pStyle w:val="BodyText"/>
        <w:rPr>
          <w:sz w:val="12"/>
        </w:rPr>
      </w:pPr>
    </w:p>
    <w:p>
      <w:pPr>
        <w:spacing w:before="81"/>
        <w:ind w:left="0" w:right="777" w:firstLine="0"/>
        <w:jc w:val="right"/>
        <w:rPr>
          <w:sz w:val="12"/>
        </w:rPr>
      </w:pPr>
      <w:r>
        <w:rPr>
          <w:sz w:val="12"/>
        </w:rPr>
        <w:t>0</w:t>
      </w:r>
    </w:p>
    <w:p>
      <w:pPr>
        <w:pStyle w:val="BodyText"/>
        <w:rPr>
          <w:sz w:val="12"/>
        </w:rPr>
      </w:pPr>
    </w:p>
    <w:p>
      <w:pPr>
        <w:spacing w:before="82"/>
        <w:ind w:left="0" w:right="777" w:firstLine="0"/>
        <w:jc w:val="right"/>
        <w:rPr>
          <w:sz w:val="12"/>
        </w:rPr>
      </w:pPr>
      <w:r>
        <w:rPr>
          <w:sz w:val="12"/>
        </w:rPr>
        <w:t>2</w:t>
      </w:r>
    </w:p>
    <w:p>
      <w:pPr>
        <w:pStyle w:val="BodyText"/>
        <w:rPr>
          <w:sz w:val="12"/>
        </w:rPr>
      </w:pPr>
    </w:p>
    <w:p>
      <w:pPr>
        <w:spacing w:before="96"/>
        <w:ind w:left="0" w:right="777" w:firstLine="0"/>
        <w:jc w:val="right"/>
        <w:rPr>
          <w:sz w:val="12"/>
        </w:rPr>
      </w:pPr>
      <w:r>
        <w:rPr>
          <w:sz w:val="12"/>
        </w:rPr>
        <w:t>4</w:t>
      </w:r>
    </w:p>
    <w:p>
      <w:pPr>
        <w:pStyle w:val="BodyText"/>
        <w:rPr>
          <w:sz w:val="12"/>
        </w:rPr>
      </w:pPr>
    </w:p>
    <w:p>
      <w:pPr>
        <w:spacing w:before="79"/>
        <w:ind w:left="0" w:right="777" w:firstLine="0"/>
        <w:jc w:val="right"/>
        <w:rPr>
          <w:sz w:val="12"/>
        </w:rPr>
      </w:pPr>
      <w:r>
        <w:rPr>
          <w:sz w:val="12"/>
        </w:rPr>
        <w:t>6</w:t>
      </w:r>
    </w:p>
    <w:p>
      <w:pPr>
        <w:pStyle w:val="BodyText"/>
        <w:rPr>
          <w:sz w:val="12"/>
        </w:rPr>
      </w:pPr>
    </w:p>
    <w:p>
      <w:pPr>
        <w:spacing w:line="123" w:lineRule="exact" w:before="82"/>
        <w:ind w:left="3590" w:right="0" w:firstLine="0"/>
        <w:jc w:val="left"/>
        <w:rPr>
          <w:sz w:val="12"/>
        </w:rPr>
      </w:pPr>
      <w:r>
        <w:rPr/>
        <w:pict>
          <v:shape style="position:absolute;margin-left:46.237999pt;margin-top:4.784563pt;width:152.050pt;height:2.75pt;mso-position-horizontal-relative:page;mso-position-vertical-relative:paragraph;z-index:16172544" coordorigin="925,96" coordsize="3041,55" path="m1011,150l925,150m1076,96l1076,149m1676,96l1676,149m2256,96l2256,149m2846,96l2846,149m1076,149l3966,149m3426,96l3426,149e" filled="false" stroked="true" strokeweight=".5pt" strokecolor="#000000">
            <v:path arrowok="t"/>
            <v:stroke dashstyle="solid"/>
            <w10:wrap type="none"/>
          </v:shape>
        </w:pict>
      </w:r>
      <w:r>
        <w:rPr/>
        <w:pict>
          <v:line style="position:absolute;mso-position-horizontal-relative:page;mso-position-vertical-relative:paragraph;z-index:16173568" from="206.447007pt,7.461563pt" to="202.113007pt,7.461563pt" stroked="true" strokeweight=".5pt" strokecolor="#000000">
            <v:stroke dashstyle="solid"/>
            <w10:wrap type="none"/>
          </v:line>
        </w:pict>
      </w:r>
      <w:r>
        <w:rPr>
          <w:sz w:val="12"/>
        </w:rPr>
        <w:t>8</w:t>
      </w:r>
    </w:p>
    <w:p>
      <w:pPr>
        <w:tabs>
          <w:tab w:pos="1318" w:val="left" w:leader="none"/>
          <w:tab w:pos="1898" w:val="left" w:leader="none"/>
          <w:tab w:pos="2490" w:val="left" w:leader="none"/>
          <w:tab w:pos="3070" w:val="left" w:leader="none"/>
        </w:tabs>
        <w:spacing w:line="123" w:lineRule="exact" w:before="0"/>
        <w:ind w:left="638" w:right="0" w:firstLine="0"/>
        <w:jc w:val="left"/>
        <w:rPr>
          <w:sz w:val="12"/>
        </w:rPr>
      </w:pPr>
      <w:r>
        <w:rPr>
          <w:sz w:val="12"/>
        </w:rPr>
        <w:t>1995</w:t>
        <w:tab/>
        <w:t>96</w:t>
        <w:tab/>
        <w:t>97</w:t>
        <w:tab/>
        <w:t>98</w:t>
        <w:tab/>
        <w:t>99</w:t>
      </w:r>
    </w:p>
    <w:p>
      <w:pPr>
        <w:pStyle w:val="BodyText"/>
        <w:spacing w:before="6"/>
        <w:rPr>
          <w:sz w:val="17"/>
        </w:rPr>
      </w:pPr>
    </w:p>
    <w:p>
      <w:pPr>
        <w:spacing w:before="0"/>
        <w:ind w:left="195" w:right="0" w:firstLine="0"/>
        <w:jc w:val="left"/>
        <w:rPr>
          <w:sz w:val="12"/>
        </w:rPr>
      </w:pPr>
      <w:r>
        <w:rPr>
          <w:sz w:val="12"/>
        </w:rPr>
        <w:t>(a) Excluding the food, beverages, tobacco and petroleum industries.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5"/>
        </w:rPr>
      </w:pPr>
    </w:p>
    <w:p>
      <w:pPr>
        <w:pStyle w:val="Heading9"/>
        <w:spacing w:before="0"/>
        <w:ind w:left="165"/>
      </w:pPr>
      <w:r>
        <w:rPr>
          <w:color w:val="0093C1"/>
        </w:rPr>
        <w:t>Table 4.A</w:t>
      </w:r>
    </w:p>
    <w:p>
      <w:pPr>
        <w:spacing w:before="10"/>
        <w:ind w:left="165" w:right="0" w:firstLine="0"/>
        <w:jc w:val="left"/>
        <w:rPr>
          <w:b/>
          <w:sz w:val="20"/>
        </w:rPr>
      </w:pPr>
      <w:r>
        <w:rPr>
          <w:b/>
          <w:color w:val="0093C1"/>
          <w:sz w:val="20"/>
        </w:rPr>
        <w:t>Manufacturers’ costs and prices</w:t>
      </w:r>
    </w:p>
    <w:p>
      <w:pPr>
        <w:spacing w:before="106"/>
        <w:ind w:left="165" w:right="0" w:firstLine="0"/>
        <w:jc w:val="left"/>
        <w:rPr>
          <w:sz w:val="14"/>
        </w:rPr>
      </w:pPr>
      <w:r>
        <w:rPr>
          <w:sz w:val="14"/>
        </w:rPr>
        <w:t>Percentage changes on a year earlier</w:t>
      </w:r>
    </w:p>
    <w:p>
      <w:pPr>
        <w:tabs>
          <w:tab w:pos="4389" w:val="left" w:leader="none"/>
        </w:tabs>
        <w:spacing w:before="119"/>
        <w:ind w:left="2325" w:right="0" w:firstLine="0"/>
        <w:jc w:val="left"/>
        <w:rPr>
          <w:sz w:val="14"/>
        </w:rPr>
      </w:pPr>
      <w:r>
        <w:rPr>
          <w:sz w:val="14"/>
          <w:u w:val="single"/>
        </w:rPr>
        <w:t>1999</w:t>
        <w:tab/>
      </w: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1"/>
        <w:gridCol w:w="481"/>
        <w:gridCol w:w="438"/>
        <w:gridCol w:w="448"/>
        <w:gridCol w:w="436"/>
        <w:gridCol w:w="405"/>
      </w:tblGrid>
      <w:tr>
        <w:trPr>
          <w:trHeight w:val="217" w:hRule="atLeast"/>
        </w:trPr>
        <w:tc>
          <w:tcPr>
            <w:tcW w:w="2121" w:type="dxa"/>
          </w:tcPr>
          <w:p>
            <w:pPr>
              <w:pStyle w:val="TableParagraph"/>
              <w:rPr>
                <w:sz w:val="14"/>
              </w:rPr>
            </w:pPr>
          </w:p>
        </w:tc>
        <w:tc>
          <w:tcPr>
            <w:tcW w:w="481" w:type="dxa"/>
          </w:tcPr>
          <w:p>
            <w:pPr>
              <w:pStyle w:val="TableParagraph"/>
              <w:spacing w:line="155" w:lineRule="exact"/>
              <w:ind w:left="93" w:right="92"/>
              <w:jc w:val="center"/>
              <w:rPr>
                <w:sz w:val="14"/>
              </w:rPr>
            </w:pPr>
            <w:r>
              <w:rPr>
                <w:sz w:val="14"/>
                <w:u w:val="single"/>
              </w:rPr>
              <w:t>July </w:t>
            </w:r>
          </w:p>
        </w:tc>
        <w:tc>
          <w:tcPr>
            <w:tcW w:w="438" w:type="dxa"/>
          </w:tcPr>
          <w:p>
            <w:pPr>
              <w:pStyle w:val="TableParagraph"/>
              <w:spacing w:line="155" w:lineRule="exact"/>
              <w:ind w:left="67" w:right="54"/>
              <w:jc w:val="center"/>
              <w:rPr>
                <w:sz w:val="14"/>
              </w:rPr>
            </w:pPr>
            <w:r>
              <w:rPr>
                <w:sz w:val="14"/>
                <w:u w:val="single"/>
              </w:rPr>
              <w:t>Aug</w:t>
            </w:r>
            <w:r>
              <w:rPr>
                <w:sz w:val="14"/>
              </w:rPr>
              <w:t>.</w:t>
            </w:r>
          </w:p>
        </w:tc>
        <w:tc>
          <w:tcPr>
            <w:tcW w:w="448" w:type="dxa"/>
          </w:tcPr>
          <w:p>
            <w:pPr>
              <w:pStyle w:val="TableParagraph"/>
              <w:spacing w:line="155" w:lineRule="exact"/>
              <w:ind w:left="54" w:right="56"/>
              <w:jc w:val="center"/>
              <w:rPr>
                <w:sz w:val="14"/>
              </w:rPr>
            </w:pPr>
            <w:r>
              <w:rPr>
                <w:sz w:val="14"/>
                <w:u w:val="single"/>
              </w:rPr>
              <w:t>Sept</w:t>
            </w:r>
            <w:r>
              <w:rPr>
                <w:sz w:val="14"/>
              </w:rPr>
              <w:t>.</w:t>
            </w:r>
          </w:p>
        </w:tc>
        <w:tc>
          <w:tcPr>
            <w:tcW w:w="436" w:type="dxa"/>
          </w:tcPr>
          <w:p>
            <w:pPr>
              <w:pStyle w:val="TableParagraph"/>
              <w:spacing w:line="155" w:lineRule="exact"/>
              <w:ind w:left="66" w:right="64"/>
              <w:jc w:val="center"/>
              <w:rPr>
                <w:sz w:val="14"/>
              </w:rPr>
            </w:pPr>
            <w:r>
              <w:rPr>
                <w:sz w:val="14"/>
                <w:u w:val="single"/>
              </w:rPr>
              <w:t>Oct. </w:t>
            </w:r>
          </w:p>
        </w:tc>
        <w:tc>
          <w:tcPr>
            <w:tcW w:w="405" w:type="dxa"/>
          </w:tcPr>
          <w:p>
            <w:pPr>
              <w:pStyle w:val="TableParagraph"/>
              <w:spacing w:line="155" w:lineRule="exact"/>
              <w:ind w:left="55" w:right="32"/>
              <w:jc w:val="center"/>
              <w:rPr>
                <w:sz w:val="14"/>
              </w:rPr>
            </w:pPr>
            <w:r>
              <w:rPr>
                <w:sz w:val="14"/>
                <w:u w:val="single"/>
              </w:rPr>
              <w:t>Nov.</w:t>
            </w:r>
          </w:p>
        </w:tc>
      </w:tr>
      <w:tr>
        <w:trPr>
          <w:trHeight w:val="210" w:hRule="atLeast"/>
        </w:trPr>
        <w:tc>
          <w:tcPr>
            <w:tcW w:w="2121" w:type="dxa"/>
          </w:tcPr>
          <w:p>
            <w:pPr>
              <w:pStyle w:val="TableParagraph"/>
              <w:spacing w:line="133" w:lineRule="exact" w:before="56"/>
              <w:ind w:left="50"/>
              <w:rPr>
                <w:sz w:val="12"/>
              </w:rPr>
            </w:pPr>
            <w:r>
              <w:rPr>
                <w:sz w:val="14"/>
              </w:rPr>
              <w:t>Weighted costs </w:t>
            </w:r>
            <w:r>
              <w:rPr>
                <w:sz w:val="12"/>
              </w:rPr>
              <w:t>(a)</w:t>
            </w:r>
          </w:p>
        </w:tc>
        <w:tc>
          <w:tcPr>
            <w:tcW w:w="481" w:type="dxa"/>
          </w:tcPr>
          <w:p>
            <w:pPr>
              <w:pStyle w:val="TableParagraph"/>
              <w:spacing w:line="133" w:lineRule="exact" w:before="56"/>
              <w:ind w:left="93" w:right="81"/>
              <w:jc w:val="center"/>
              <w:rPr>
                <w:sz w:val="14"/>
              </w:rPr>
            </w:pPr>
            <w:r>
              <w:rPr>
                <w:sz w:val="14"/>
              </w:rPr>
              <w:t>1.1</w:t>
            </w:r>
          </w:p>
        </w:tc>
        <w:tc>
          <w:tcPr>
            <w:tcW w:w="438" w:type="dxa"/>
          </w:tcPr>
          <w:p>
            <w:pPr>
              <w:pStyle w:val="TableParagraph"/>
              <w:spacing w:line="133" w:lineRule="exact" w:before="56"/>
              <w:ind w:left="67" w:right="54"/>
              <w:jc w:val="center"/>
              <w:rPr>
                <w:sz w:val="14"/>
              </w:rPr>
            </w:pPr>
            <w:r>
              <w:rPr>
                <w:sz w:val="14"/>
              </w:rPr>
              <w:t>1.1</w:t>
            </w:r>
          </w:p>
        </w:tc>
        <w:tc>
          <w:tcPr>
            <w:tcW w:w="448" w:type="dxa"/>
          </w:tcPr>
          <w:p>
            <w:pPr>
              <w:pStyle w:val="TableParagraph"/>
              <w:spacing w:line="133" w:lineRule="exact" w:before="56"/>
              <w:ind w:left="33" w:right="63"/>
              <w:jc w:val="center"/>
              <w:rPr>
                <w:sz w:val="14"/>
              </w:rPr>
            </w:pPr>
            <w:r>
              <w:rPr>
                <w:sz w:val="14"/>
              </w:rPr>
              <w:t>1.4</w:t>
            </w:r>
          </w:p>
        </w:tc>
        <w:tc>
          <w:tcPr>
            <w:tcW w:w="436" w:type="dxa"/>
          </w:tcPr>
          <w:p>
            <w:pPr>
              <w:pStyle w:val="TableParagraph"/>
              <w:spacing w:line="133" w:lineRule="exact" w:before="56"/>
              <w:ind w:left="66" w:right="63"/>
              <w:jc w:val="center"/>
              <w:rPr>
                <w:sz w:val="14"/>
              </w:rPr>
            </w:pPr>
            <w:r>
              <w:rPr>
                <w:sz w:val="14"/>
              </w:rPr>
              <w:t>1.5</w:t>
            </w:r>
          </w:p>
        </w:tc>
        <w:tc>
          <w:tcPr>
            <w:tcW w:w="405" w:type="dxa"/>
          </w:tcPr>
          <w:p>
            <w:pPr>
              <w:pStyle w:val="TableParagraph"/>
              <w:spacing w:line="133" w:lineRule="exact" w:before="56"/>
              <w:ind w:left="94" w:right="32"/>
              <w:jc w:val="center"/>
              <w:rPr>
                <w:sz w:val="14"/>
              </w:rPr>
            </w:pPr>
            <w:r>
              <w:rPr>
                <w:sz w:val="14"/>
              </w:rPr>
              <w:t>2.1</w:t>
            </w:r>
          </w:p>
        </w:tc>
      </w:tr>
      <w:tr>
        <w:trPr>
          <w:trHeight w:val="139" w:hRule="atLeast"/>
        </w:trPr>
        <w:tc>
          <w:tcPr>
            <w:tcW w:w="2121" w:type="dxa"/>
          </w:tcPr>
          <w:p>
            <w:pPr>
              <w:pStyle w:val="TableParagraph"/>
              <w:spacing w:line="120" w:lineRule="exact"/>
              <w:ind w:left="170"/>
              <w:rPr>
                <w:sz w:val="14"/>
              </w:rPr>
            </w:pPr>
            <w:r>
              <w:rPr>
                <w:sz w:val="14"/>
              </w:rPr>
              <w:t>Unit labour costs (46.8%)</w:t>
            </w:r>
          </w:p>
        </w:tc>
        <w:tc>
          <w:tcPr>
            <w:tcW w:w="481" w:type="dxa"/>
          </w:tcPr>
          <w:p>
            <w:pPr>
              <w:pStyle w:val="TableParagraph"/>
              <w:spacing w:line="120" w:lineRule="exact"/>
              <w:ind w:left="93" w:right="81"/>
              <w:jc w:val="center"/>
              <w:rPr>
                <w:sz w:val="14"/>
              </w:rPr>
            </w:pPr>
            <w:r>
              <w:rPr>
                <w:sz w:val="14"/>
              </w:rPr>
              <w:t>0.3</w:t>
            </w:r>
          </w:p>
        </w:tc>
        <w:tc>
          <w:tcPr>
            <w:tcW w:w="438" w:type="dxa"/>
          </w:tcPr>
          <w:p>
            <w:pPr>
              <w:pStyle w:val="TableParagraph"/>
              <w:spacing w:line="120" w:lineRule="exact"/>
              <w:ind w:left="23" w:right="54"/>
              <w:jc w:val="center"/>
              <w:rPr>
                <w:sz w:val="14"/>
              </w:rPr>
            </w:pPr>
            <w:r>
              <w:rPr>
                <w:sz w:val="14"/>
              </w:rPr>
              <w:t>-0.2</w:t>
            </w:r>
          </w:p>
        </w:tc>
        <w:tc>
          <w:tcPr>
            <w:tcW w:w="448" w:type="dxa"/>
          </w:tcPr>
          <w:p>
            <w:pPr>
              <w:pStyle w:val="TableParagraph"/>
              <w:spacing w:line="120" w:lineRule="exact"/>
              <w:ind w:left="54" w:right="131"/>
              <w:jc w:val="center"/>
              <w:rPr>
                <w:sz w:val="14"/>
              </w:rPr>
            </w:pPr>
            <w:r>
              <w:rPr>
                <w:sz w:val="14"/>
              </w:rPr>
              <w:t>-0.6</w:t>
            </w:r>
          </w:p>
        </w:tc>
        <w:tc>
          <w:tcPr>
            <w:tcW w:w="436" w:type="dxa"/>
          </w:tcPr>
          <w:p>
            <w:pPr>
              <w:pStyle w:val="TableParagraph"/>
              <w:spacing w:line="120" w:lineRule="exact"/>
              <w:ind w:left="37" w:right="78"/>
              <w:jc w:val="center"/>
              <w:rPr>
                <w:sz w:val="14"/>
              </w:rPr>
            </w:pPr>
            <w:r>
              <w:rPr>
                <w:sz w:val="14"/>
              </w:rPr>
              <w:t>-0.5</w:t>
            </w:r>
          </w:p>
        </w:tc>
        <w:tc>
          <w:tcPr>
            <w:tcW w:w="405" w:type="dxa"/>
          </w:tcPr>
          <w:p>
            <w:pPr>
              <w:pStyle w:val="TableParagraph"/>
              <w:spacing w:line="120" w:lineRule="exact"/>
              <w:ind w:left="47" w:right="32"/>
              <w:jc w:val="center"/>
              <w:rPr>
                <w:sz w:val="14"/>
              </w:rPr>
            </w:pPr>
            <w:r>
              <w:rPr>
                <w:sz w:val="14"/>
              </w:rPr>
              <w:t>-0.8</w:t>
            </w:r>
          </w:p>
        </w:tc>
      </w:tr>
      <w:tr>
        <w:trPr>
          <w:trHeight w:val="140" w:hRule="atLeast"/>
        </w:trPr>
        <w:tc>
          <w:tcPr>
            <w:tcW w:w="2121" w:type="dxa"/>
          </w:tcPr>
          <w:p>
            <w:pPr>
              <w:pStyle w:val="TableParagraph"/>
              <w:spacing w:line="120" w:lineRule="exact"/>
              <w:ind w:left="170"/>
              <w:rPr>
                <w:sz w:val="12"/>
              </w:rPr>
            </w:pPr>
            <w:r>
              <w:rPr>
                <w:sz w:val="14"/>
              </w:rPr>
              <w:t>Materials and fuels (30.1%) </w:t>
            </w:r>
            <w:r>
              <w:rPr>
                <w:sz w:val="12"/>
              </w:rPr>
              <w:t>(b)</w:t>
            </w:r>
          </w:p>
        </w:tc>
        <w:tc>
          <w:tcPr>
            <w:tcW w:w="481" w:type="dxa"/>
          </w:tcPr>
          <w:p>
            <w:pPr>
              <w:pStyle w:val="TableParagraph"/>
              <w:spacing w:line="120" w:lineRule="exact"/>
              <w:ind w:left="93" w:right="81"/>
              <w:jc w:val="center"/>
              <w:rPr>
                <w:sz w:val="14"/>
              </w:rPr>
            </w:pPr>
            <w:r>
              <w:rPr>
                <w:sz w:val="14"/>
              </w:rPr>
              <w:t>2.9</w:t>
            </w:r>
          </w:p>
        </w:tc>
        <w:tc>
          <w:tcPr>
            <w:tcW w:w="438" w:type="dxa"/>
          </w:tcPr>
          <w:p>
            <w:pPr>
              <w:pStyle w:val="TableParagraph"/>
              <w:spacing w:line="120" w:lineRule="exact"/>
              <w:ind w:left="67" w:right="54"/>
              <w:jc w:val="center"/>
              <w:rPr>
                <w:sz w:val="14"/>
              </w:rPr>
            </w:pPr>
            <w:r>
              <w:rPr>
                <w:sz w:val="14"/>
              </w:rPr>
              <w:t>4.2</w:t>
            </w:r>
          </w:p>
        </w:tc>
        <w:tc>
          <w:tcPr>
            <w:tcW w:w="448" w:type="dxa"/>
          </w:tcPr>
          <w:p>
            <w:pPr>
              <w:pStyle w:val="TableParagraph"/>
              <w:spacing w:line="120" w:lineRule="exact"/>
              <w:ind w:left="33" w:right="63"/>
              <w:jc w:val="center"/>
              <w:rPr>
                <w:sz w:val="14"/>
              </w:rPr>
            </w:pPr>
            <w:r>
              <w:rPr>
                <w:sz w:val="14"/>
              </w:rPr>
              <w:t>6.2</w:t>
            </w:r>
          </w:p>
        </w:tc>
        <w:tc>
          <w:tcPr>
            <w:tcW w:w="436" w:type="dxa"/>
          </w:tcPr>
          <w:p>
            <w:pPr>
              <w:pStyle w:val="TableParagraph"/>
              <w:spacing w:line="120" w:lineRule="exact"/>
              <w:ind w:left="66" w:right="63"/>
              <w:jc w:val="center"/>
              <w:rPr>
                <w:sz w:val="14"/>
              </w:rPr>
            </w:pPr>
            <w:r>
              <w:rPr>
                <w:sz w:val="14"/>
              </w:rPr>
              <w:t>6.7</w:t>
            </w:r>
          </w:p>
        </w:tc>
        <w:tc>
          <w:tcPr>
            <w:tcW w:w="405" w:type="dxa"/>
          </w:tcPr>
          <w:p>
            <w:pPr>
              <w:pStyle w:val="TableParagraph"/>
              <w:spacing w:line="120" w:lineRule="exact"/>
              <w:ind w:left="27" w:right="32"/>
              <w:jc w:val="center"/>
              <w:rPr>
                <w:sz w:val="14"/>
              </w:rPr>
            </w:pPr>
            <w:r>
              <w:rPr>
                <w:sz w:val="14"/>
              </w:rPr>
              <w:t>10.0</w:t>
            </w:r>
          </w:p>
        </w:tc>
      </w:tr>
      <w:tr>
        <w:trPr>
          <w:trHeight w:val="140" w:hRule="atLeast"/>
        </w:trPr>
        <w:tc>
          <w:tcPr>
            <w:tcW w:w="2121" w:type="dxa"/>
          </w:tcPr>
          <w:p>
            <w:pPr>
              <w:pStyle w:val="TableParagraph"/>
              <w:spacing w:line="120" w:lineRule="exact"/>
              <w:ind w:left="170"/>
              <w:rPr>
                <w:sz w:val="14"/>
              </w:rPr>
            </w:pPr>
            <w:r>
              <w:rPr>
                <w:sz w:val="14"/>
              </w:rPr>
              <w:t>Imports of finished goods (6.9%)</w:t>
            </w:r>
          </w:p>
        </w:tc>
        <w:tc>
          <w:tcPr>
            <w:tcW w:w="481" w:type="dxa"/>
          </w:tcPr>
          <w:p>
            <w:pPr>
              <w:pStyle w:val="TableParagraph"/>
              <w:spacing w:line="120" w:lineRule="exact"/>
              <w:ind w:left="72" w:right="103"/>
              <w:jc w:val="center"/>
              <w:rPr>
                <w:sz w:val="14"/>
              </w:rPr>
            </w:pPr>
            <w:r>
              <w:rPr>
                <w:sz w:val="14"/>
              </w:rPr>
              <w:t>-1.1</w:t>
            </w:r>
          </w:p>
        </w:tc>
        <w:tc>
          <w:tcPr>
            <w:tcW w:w="438" w:type="dxa"/>
          </w:tcPr>
          <w:p>
            <w:pPr>
              <w:pStyle w:val="TableParagraph"/>
              <w:spacing w:line="120" w:lineRule="exact"/>
              <w:ind w:left="24" w:right="54"/>
              <w:jc w:val="center"/>
              <w:rPr>
                <w:sz w:val="14"/>
              </w:rPr>
            </w:pPr>
            <w:r>
              <w:rPr>
                <w:sz w:val="14"/>
              </w:rPr>
              <w:t>-1.1</w:t>
            </w:r>
          </w:p>
        </w:tc>
        <w:tc>
          <w:tcPr>
            <w:tcW w:w="448" w:type="dxa"/>
          </w:tcPr>
          <w:p>
            <w:pPr>
              <w:pStyle w:val="TableParagraph"/>
              <w:spacing w:line="120" w:lineRule="exact"/>
              <w:ind w:left="33" w:right="63"/>
              <w:jc w:val="center"/>
              <w:rPr>
                <w:sz w:val="14"/>
              </w:rPr>
            </w:pPr>
            <w:r>
              <w:rPr>
                <w:sz w:val="14"/>
              </w:rPr>
              <w:t>0.0</w:t>
            </w:r>
          </w:p>
        </w:tc>
        <w:tc>
          <w:tcPr>
            <w:tcW w:w="436" w:type="dxa"/>
          </w:tcPr>
          <w:p>
            <w:pPr>
              <w:pStyle w:val="TableParagraph"/>
              <w:spacing w:line="120" w:lineRule="exact"/>
              <w:ind w:left="38" w:right="78"/>
              <w:jc w:val="center"/>
              <w:rPr>
                <w:sz w:val="14"/>
              </w:rPr>
            </w:pPr>
            <w:r>
              <w:rPr>
                <w:sz w:val="14"/>
              </w:rPr>
              <w:t>-1.2</w:t>
            </w:r>
          </w:p>
        </w:tc>
        <w:tc>
          <w:tcPr>
            <w:tcW w:w="405" w:type="dxa"/>
          </w:tcPr>
          <w:p>
            <w:pPr>
              <w:pStyle w:val="TableParagraph"/>
              <w:spacing w:line="120" w:lineRule="exact"/>
              <w:ind w:left="48" w:right="32"/>
              <w:jc w:val="center"/>
              <w:rPr>
                <w:sz w:val="14"/>
              </w:rPr>
            </w:pPr>
            <w:r>
              <w:rPr>
                <w:sz w:val="14"/>
              </w:rPr>
              <w:t>-0.6</w:t>
            </w:r>
          </w:p>
        </w:tc>
      </w:tr>
      <w:tr>
        <w:trPr>
          <w:trHeight w:val="140" w:hRule="atLeast"/>
        </w:trPr>
        <w:tc>
          <w:tcPr>
            <w:tcW w:w="2121" w:type="dxa"/>
          </w:tcPr>
          <w:p>
            <w:pPr>
              <w:pStyle w:val="TableParagraph"/>
              <w:spacing w:line="120" w:lineRule="exact"/>
              <w:ind w:left="170"/>
              <w:rPr>
                <w:sz w:val="14"/>
              </w:rPr>
            </w:pPr>
            <w:r>
              <w:rPr>
                <w:sz w:val="14"/>
              </w:rPr>
              <w:t>Bought-in services (16.2%)</w:t>
            </w:r>
          </w:p>
        </w:tc>
        <w:tc>
          <w:tcPr>
            <w:tcW w:w="481" w:type="dxa"/>
          </w:tcPr>
          <w:p>
            <w:pPr>
              <w:pStyle w:val="TableParagraph"/>
              <w:spacing w:line="120" w:lineRule="exact"/>
              <w:ind w:left="93" w:right="81"/>
              <w:jc w:val="center"/>
              <w:rPr>
                <w:sz w:val="14"/>
              </w:rPr>
            </w:pPr>
            <w:r>
              <w:rPr>
                <w:sz w:val="14"/>
              </w:rPr>
              <w:t>1.9</w:t>
            </w:r>
          </w:p>
        </w:tc>
        <w:tc>
          <w:tcPr>
            <w:tcW w:w="438" w:type="dxa"/>
          </w:tcPr>
          <w:p>
            <w:pPr>
              <w:pStyle w:val="TableParagraph"/>
              <w:spacing w:line="120" w:lineRule="exact"/>
              <w:ind w:left="67" w:right="54"/>
              <w:jc w:val="center"/>
              <w:rPr>
                <w:sz w:val="14"/>
              </w:rPr>
            </w:pPr>
            <w:r>
              <w:rPr>
                <w:sz w:val="14"/>
              </w:rPr>
              <w:t>1.8</w:t>
            </w:r>
          </w:p>
        </w:tc>
        <w:tc>
          <w:tcPr>
            <w:tcW w:w="448" w:type="dxa"/>
          </w:tcPr>
          <w:p>
            <w:pPr>
              <w:pStyle w:val="TableParagraph"/>
              <w:spacing w:line="120" w:lineRule="exact"/>
              <w:ind w:left="33" w:right="63"/>
              <w:jc w:val="center"/>
              <w:rPr>
                <w:sz w:val="14"/>
              </w:rPr>
            </w:pPr>
            <w:r>
              <w:rPr>
                <w:sz w:val="14"/>
              </w:rPr>
              <w:t>1.8</w:t>
            </w:r>
          </w:p>
        </w:tc>
        <w:tc>
          <w:tcPr>
            <w:tcW w:w="436" w:type="dxa"/>
          </w:tcPr>
          <w:p>
            <w:pPr>
              <w:pStyle w:val="TableParagraph"/>
              <w:spacing w:line="120" w:lineRule="exact"/>
              <w:ind w:left="66" w:right="63"/>
              <w:jc w:val="center"/>
              <w:rPr>
                <w:sz w:val="14"/>
              </w:rPr>
            </w:pPr>
            <w:r>
              <w:rPr>
                <w:sz w:val="14"/>
              </w:rPr>
              <w:t>1.8</w:t>
            </w:r>
          </w:p>
        </w:tc>
        <w:tc>
          <w:tcPr>
            <w:tcW w:w="405" w:type="dxa"/>
          </w:tcPr>
          <w:p>
            <w:pPr>
              <w:pStyle w:val="TableParagraph"/>
              <w:spacing w:line="120" w:lineRule="exact"/>
              <w:ind w:left="94" w:right="32"/>
              <w:jc w:val="center"/>
              <w:rPr>
                <w:sz w:val="14"/>
              </w:rPr>
            </w:pPr>
            <w:r>
              <w:rPr>
                <w:sz w:val="14"/>
              </w:rPr>
              <w:t>1.8</w:t>
            </w:r>
          </w:p>
        </w:tc>
      </w:tr>
      <w:tr>
        <w:trPr>
          <w:trHeight w:val="208" w:hRule="atLeast"/>
        </w:trPr>
        <w:tc>
          <w:tcPr>
            <w:tcW w:w="2121" w:type="dxa"/>
          </w:tcPr>
          <w:p>
            <w:pPr>
              <w:pStyle w:val="TableParagraph"/>
              <w:spacing w:line="148" w:lineRule="exact"/>
              <w:ind w:left="50"/>
              <w:rPr>
                <w:sz w:val="14"/>
              </w:rPr>
            </w:pPr>
            <w:r>
              <w:rPr>
                <w:sz w:val="14"/>
              </w:rPr>
              <w:t>Output prices</w:t>
            </w:r>
          </w:p>
        </w:tc>
        <w:tc>
          <w:tcPr>
            <w:tcW w:w="481" w:type="dxa"/>
          </w:tcPr>
          <w:p>
            <w:pPr>
              <w:pStyle w:val="TableParagraph"/>
              <w:spacing w:line="148" w:lineRule="exact"/>
              <w:ind w:left="71" w:right="103"/>
              <w:jc w:val="center"/>
              <w:rPr>
                <w:sz w:val="14"/>
              </w:rPr>
            </w:pPr>
            <w:r>
              <w:rPr>
                <w:sz w:val="14"/>
              </w:rPr>
              <w:t>-0.1</w:t>
            </w:r>
          </w:p>
        </w:tc>
        <w:tc>
          <w:tcPr>
            <w:tcW w:w="438" w:type="dxa"/>
          </w:tcPr>
          <w:p>
            <w:pPr>
              <w:pStyle w:val="TableParagraph"/>
              <w:spacing w:line="148" w:lineRule="exact"/>
              <w:ind w:left="67" w:right="54"/>
              <w:jc w:val="center"/>
              <w:rPr>
                <w:sz w:val="14"/>
              </w:rPr>
            </w:pPr>
            <w:r>
              <w:rPr>
                <w:sz w:val="14"/>
              </w:rPr>
              <w:t>0.3</w:t>
            </w:r>
          </w:p>
        </w:tc>
        <w:tc>
          <w:tcPr>
            <w:tcW w:w="448" w:type="dxa"/>
          </w:tcPr>
          <w:p>
            <w:pPr>
              <w:pStyle w:val="TableParagraph"/>
              <w:spacing w:line="148" w:lineRule="exact"/>
              <w:ind w:left="33" w:right="63"/>
              <w:jc w:val="center"/>
              <w:rPr>
                <w:sz w:val="14"/>
              </w:rPr>
            </w:pPr>
            <w:r>
              <w:rPr>
                <w:sz w:val="14"/>
              </w:rPr>
              <w:t>0.7</w:t>
            </w:r>
          </w:p>
        </w:tc>
        <w:tc>
          <w:tcPr>
            <w:tcW w:w="436" w:type="dxa"/>
          </w:tcPr>
          <w:p>
            <w:pPr>
              <w:pStyle w:val="TableParagraph"/>
              <w:spacing w:line="148" w:lineRule="exact"/>
              <w:ind w:left="66" w:right="63"/>
              <w:jc w:val="center"/>
              <w:rPr>
                <w:sz w:val="14"/>
              </w:rPr>
            </w:pPr>
            <w:r>
              <w:rPr>
                <w:sz w:val="14"/>
              </w:rPr>
              <w:t>0.9</w:t>
            </w:r>
          </w:p>
        </w:tc>
        <w:tc>
          <w:tcPr>
            <w:tcW w:w="405" w:type="dxa"/>
          </w:tcPr>
          <w:p>
            <w:pPr>
              <w:pStyle w:val="TableParagraph"/>
              <w:spacing w:line="148" w:lineRule="exact"/>
              <w:ind w:left="94" w:right="32"/>
              <w:jc w:val="center"/>
              <w:rPr>
                <w:sz w:val="14"/>
              </w:rPr>
            </w:pPr>
            <w:r>
              <w:rPr>
                <w:sz w:val="14"/>
              </w:rPr>
              <w:t>1.2</w:t>
            </w:r>
          </w:p>
        </w:tc>
      </w:tr>
      <w:tr>
        <w:trPr>
          <w:trHeight w:val="194" w:hRule="atLeast"/>
        </w:trPr>
        <w:tc>
          <w:tcPr>
            <w:tcW w:w="2121" w:type="dxa"/>
          </w:tcPr>
          <w:p>
            <w:pPr>
              <w:pStyle w:val="TableParagraph"/>
              <w:spacing w:line="118" w:lineRule="exact" w:before="56"/>
              <w:ind w:left="50"/>
              <w:rPr>
                <w:sz w:val="12"/>
              </w:rPr>
            </w:pPr>
            <w:r>
              <w:rPr>
                <w:sz w:val="12"/>
              </w:rPr>
              <w:t>Sources: ONS and Bank of England.</w:t>
            </w:r>
          </w:p>
        </w:tc>
        <w:tc>
          <w:tcPr>
            <w:tcW w:w="481" w:type="dxa"/>
          </w:tcPr>
          <w:p>
            <w:pPr>
              <w:pStyle w:val="TableParagraph"/>
              <w:rPr>
                <w:sz w:val="12"/>
              </w:rPr>
            </w:pPr>
          </w:p>
        </w:tc>
        <w:tc>
          <w:tcPr>
            <w:tcW w:w="438" w:type="dxa"/>
          </w:tcPr>
          <w:p>
            <w:pPr>
              <w:pStyle w:val="TableParagraph"/>
              <w:rPr>
                <w:sz w:val="12"/>
              </w:rPr>
            </w:pPr>
          </w:p>
        </w:tc>
        <w:tc>
          <w:tcPr>
            <w:tcW w:w="448" w:type="dxa"/>
          </w:tcPr>
          <w:p>
            <w:pPr>
              <w:pStyle w:val="TableParagraph"/>
              <w:rPr>
                <w:sz w:val="12"/>
              </w:rPr>
            </w:pPr>
          </w:p>
        </w:tc>
        <w:tc>
          <w:tcPr>
            <w:tcW w:w="436" w:type="dxa"/>
          </w:tcPr>
          <w:p>
            <w:pPr>
              <w:pStyle w:val="TableParagraph"/>
              <w:rPr>
                <w:sz w:val="12"/>
              </w:rPr>
            </w:pPr>
          </w:p>
        </w:tc>
        <w:tc>
          <w:tcPr>
            <w:tcW w:w="405" w:type="dxa"/>
          </w:tcPr>
          <w:p>
            <w:pPr>
              <w:pStyle w:val="TableParagraph"/>
              <w:rPr>
                <w:sz w:val="12"/>
              </w:rPr>
            </w:pPr>
          </w:p>
        </w:tc>
      </w:tr>
    </w:tbl>
    <w:p>
      <w:pPr>
        <w:pStyle w:val="ListParagraph"/>
        <w:numPr>
          <w:ilvl w:val="0"/>
          <w:numId w:val="32"/>
        </w:numPr>
        <w:tabs>
          <w:tab w:pos="406" w:val="left" w:leader="none"/>
        </w:tabs>
        <w:spacing w:line="208" w:lineRule="auto" w:before="121" w:after="0"/>
        <w:ind w:left="405" w:right="120" w:hanging="240"/>
        <w:jc w:val="left"/>
        <w:rPr>
          <w:sz w:val="12"/>
        </w:rPr>
      </w:pPr>
      <w:r>
        <w:rPr>
          <w:sz w:val="12"/>
        </w:rPr>
        <w:t>Percentages shown in brackets reflect weights of components, derived from </w:t>
      </w:r>
      <w:r>
        <w:rPr>
          <w:spacing w:val="-5"/>
          <w:sz w:val="12"/>
        </w:rPr>
        <w:t>1990 </w:t>
      </w:r>
      <w:r>
        <w:rPr>
          <w:sz w:val="12"/>
        </w:rPr>
        <w:t>input-output tables for the United Kingdom.</w:t>
      </w:r>
    </w:p>
    <w:p>
      <w:pPr>
        <w:pStyle w:val="ListParagraph"/>
        <w:numPr>
          <w:ilvl w:val="0"/>
          <w:numId w:val="32"/>
        </w:numPr>
        <w:tabs>
          <w:tab w:pos="406" w:val="left" w:leader="none"/>
        </w:tabs>
        <w:spacing w:line="123" w:lineRule="exact" w:before="0" w:after="0"/>
        <w:ind w:left="405" w:right="0" w:hanging="241"/>
        <w:jc w:val="left"/>
        <w:rPr>
          <w:sz w:val="12"/>
        </w:rPr>
      </w:pPr>
      <w:r>
        <w:rPr>
          <w:sz w:val="12"/>
        </w:rPr>
        <w:t>Includes imports of semi-finished goods.</w:t>
      </w:r>
    </w:p>
    <w:p>
      <w:pPr>
        <w:pStyle w:val="Heading6"/>
        <w:spacing w:line="242" w:lineRule="auto" w:before="206"/>
        <w:ind w:left="165" w:right="197"/>
      </w:pPr>
      <w:r>
        <w:rPr/>
        <w:br w:type="column"/>
      </w:r>
      <w:r>
        <w:rPr/>
        <w:t>inflation increases over the forecast period. However, the weaker-than-expected outturn in 1999 Q3 and </w:t>
      </w:r>
      <w:r>
        <w:rPr>
          <w:spacing w:val="-3"/>
        </w:rPr>
        <w:t>further </w:t>
      </w:r>
      <w:r>
        <w:rPr/>
        <w:t>appreciation of the sterling effective exchange rate mean that the profile of sterling import prices is somewhat lower than assumed in</w:t>
      </w:r>
      <w:r>
        <w:rPr>
          <w:spacing w:val="-2"/>
        </w:rPr>
        <w:t> </w:t>
      </w:r>
      <w:r>
        <w:rPr/>
        <w:t>November.</w:t>
      </w:r>
    </w:p>
    <w:p>
      <w:pPr>
        <w:pStyle w:val="BodyText"/>
        <w:spacing w:before="7"/>
        <w:rPr>
          <w:sz w:val="28"/>
        </w:rPr>
      </w:pPr>
    </w:p>
    <w:p>
      <w:pPr>
        <w:pStyle w:val="Heading3"/>
        <w:numPr>
          <w:ilvl w:val="1"/>
          <w:numId w:val="28"/>
        </w:numPr>
        <w:tabs>
          <w:tab w:pos="1323" w:val="left" w:leader="none"/>
          <w:tab w:pos="1324" w:val="left" w:leader="none"/>
          <w:tab w:pos="5690" w:val="left" w:leader="none"/>
        </w:tabs>
        <w:spacing w:line="240" w:lineRule="auto" w:before="0" w:after="0"/>
        <w:ind w:left="1323" w:right="0" w:hanging="1159"/>
        <w:jc w:val="left"/>
        <w:rPr>
          <w:color w:val="009483"/>
        </w:rPr>
      </w:pPr>
      <w:r>
        <w:rPr>
          <w:color w:val="009483"/>
          <w:u w:val="thick" w:color="0093C1"/>
        </w:rPr>
        <w:t>Costs and prices in manufacturing</w:t>
        <w:tab/>
      </w:r>
    </w:p>
    <w:p>
      <w:pPr>
        <w:spacing w:line="242" w:lineRule="auto" w:before="260"/>
        <w:ind w:left="165" w:right="247" w:firstLine="0"/>
        <w:jc w:val="left"/>
        <w:rPr>
          <w:sz w:val="24"/>
        </w:rPr>
      </w:pPr>
      <w:r>
        <w:rPr>
          <w:sz w:val="24"/>
        </w:rPr>
        <w:t>Manufacturers’ input prices have continued to rise sharply. The annual rate of inflation reached 12.0% in December. A year earlier prices had fallen by 8.9%. That turnaround mainly reflects the direct pass-through to manufacturers of the rise in crude oil prices, which more than doubled in the year to December. But more recently there has also been an increase in the price of imported metals and chemicals, in particular of plastics (see Chart 4.5), reflecting the increase in hard commodity prices and the importance of oil as an input to the chemicals sector. The CIPS manufacturing </w:t>
      </w:r>
      <w:r>
        <w:rPr>
          <w:spacing w:val="-3"/>
          <w:sz w:val="24"/>
        </w:rPr>
        <w:t>survey </w:t>
      </w:r>
      <w:r>
        <w:rPr>
          <w:sz w:val="24"/>
        </w:rPr>
        <w:t>continued to indicate rising input prices: the input price index rose from an average of 51.5 in Q3 to 55.7 in Q4, well above the no-change level of 50. The survey suggested that the rate of increase had been moderated by the appreciation of sterling.</w:t>
      </w:r>
    </w:p>
    <w:p>
      <w:pPr>
        <w:pStyle w:val="BodyText"/>
        <w:spacing w:before="10"/>
        <w:rPr>
          <w:sz w:val="27"/>
        </w:rPr>
      </w:pPr>
    </w:p>
    <w:p>
      <w:pPr>
        <w:spacing w:line="242" w:lineRule="auto" w:before="0"/>
        <w:ind w:left="165" w:right="176" w:firstLine="0"/>
        <w:jc w:val="left"/>
        <w:rPr>
          <w:sz w:val="24"/>
        </w:rPr>
      </w:pPr>
      <w:r>
        <w:rPr>
          <w:sz w:val="24"/>
        </w:rPr>
        <w:t>Manufacturers’ unit labour costs have fallen since the beginning of 1999. In November, unit labour costs were estimated to be 0.8% lower than a year before: </w:t>
      </w:r>
      <w:r>
        <w:rPr>
          <w:spacing w:val="-3"/>
          <w:sz w:val="24"/>
        </w:rPr>
        <w:t>measured </w:t>
      </w:r>
      <w:r>
        <w:rPr>
          <w:sz w:val="24"/>
        </w:rPr>
        <w:t>productivity growth has risen sharply in recent months, as output growth has risen, more than outweighing a rise in wage growth. But this has not been sufficient to offset the effect of higher material and fuel prices: overall cost inflation in the manufacturing sector has increased in recent months (see </w:t>
      </w:r>
      <w:r>
        <w:rPr>
          <w:spacing w:val="-4"/>
          <w:sz w:val="24"/>
        </w:rPr>
        <w:t>Table</w:t>
      </w:r>
      <w:r>
        <w:rPr>
          <w:sz w:val="24"/>
        </w:rPr>
        <w:t> 4.A).</w:t>
      </w:r>
    </w:p>
    <w:p>
      <w:pPr>
        <w:pStyle w:val="BodyText"/>
        <w:spacing w:before="1"/>
        <w:rPr>
          <w:sz w:val="27"/>
        </w:rPr>
      </w:pPr>
    </w:p>
    <w:p>
      <w:pPr>
        <w:spacing w:line="242" w:lineRule="auto" w:before="0"/>
        <w:ind w:left="165" w:right="188" w:firstLine="0"/>
        <w:jc w:val="left"/>
        <w:rPr>
          <w:sz w:val="24"/>
        </w:rPr>
      </w:pPr>
      <w:r>
        <w:rPr>
          <w:sz w:val="24"/>
        </w:rPr>
        <w:t>Manufacturers’ domestic output prices have also risen recently, even excluding petroleum products: excluding food, beverages, tobacco and petroleum, the three-month annualised rate of output price inflation reached 1.6% in December. The CBI monthly industrial trends survey still suggests that most manufacturing firms expect to reduce their prices in the coming months, but the </w:t>
      </w:r>
      <w:r>
        <w:rPr>
          <w:spacing w:val="-3"/>
          <w:sz w:val="24"/>
        </w:rPr>
        <w:t>balance </w:t>
      </w:r>
      <w:r>
        <w:rPr>
          <w:sz w:val="24"/>
        </w:rPr>
        <w:t>has become less negative since February 1999 (see</w:t>
      </w:r>
    </w:p>
    <w:p>
      <w:pPr>
        <w:spacing w:before="10"/>
        <w:ind w:left="165" w:right="0" w:firstLine="0"/>
        <w:jc w:val="left"/>
        <w:rPr>
          <w:sz w:val="24"/>
        </w:rPr>
      </w:pPr>
      <w:r>
        <w:rPr>
          <w:sz w:val="24"/>
        </w:rPr>
        <w:t>Chart 4.6).</w:t>
      </w:r>
    </w:p>
    <w:p>
      <w:pPr>
        <w:pStyle w:val="BodyText"/>
        <w:spacing w:before="5"/>
        <w:rPr>
          <w:sz w:val="26"/>
        </w:rPr>
      </w:pPr>
    </w:p>
    <w:p>
      <w:pPr>
        <w:spacing w:line="242" w:lineRule="auto" w:before="0"/>
        <w:ind w:left="165" w:right="322" w:firstLine="0"/>
        <w:jc w:val="left"/>
        <w:rPr>
          <w:sz w:val="24"/>
        </w:rPr>
      </w:pPr>
      <w:r>
        <w:rPr>
          <w:sz w:val="24"/>
        </w:rPr>
        <w:t>Though domestic output prices have risen, the rate of increase has remained below that in weighted costs. That suggests that manufacturers have continued to reduce their domestic margins. The outlook for manufacturers’ output prices will partly depend on how firms adjust their margins. Empirical work has found</w:t>
      </w:r>
    </w:p>
    <w:p>
      <w:pPr>
        <w:spacing w:after="0" w:line="242" w:lineRule="auto"/>
        <w:jc w:val="left"/>
        <w:rPr>
          <w:sz w:val="24"/>
        </w:rPr>
        <w:sectPr>
          <w:type w:val="continuous"/>
          <w:pgSz w:w="11900" w:h="16840"/>
          <w:pgMar w:top="1220" w:bottom="280" w:left="620" w:right="640"/>
          <w:cols w:num="2" w:equalWidth="0">
            <w:col w:w="4430" w:space="364"/>
            <w:col w:w="5846"/>
          </w:cols>
        </w:sectPr>
      </w:pPr>
    </w:p>
    <w:p>
      <w:pPr>
        <w:pStyle w:val="BodyText"/>
        <w:rPr>
          <w:sz w:val="20"/>
        </w:rPr>
      </w:pPr>
    </w:p>
    <w:p>
      <w:pPr>
        <w:spacing w:after="0"/>
        <w:rPr>
          <w:sz w:val="20"/>
        </w:rPr>
        <w:sectPr>
          <w:pgSz w:w="11900" w:h="16840"/>
          <w:pgMar w:header="584" w:footer="597" w:top="780" w:bottom="780" w:left="620" w:right="640"/>
        </w:sectPr>
      </w:pPr>
    </w:p>
    <w:p>
      <w:pPr>
        <w:pStyle w:val="BodyText"/>
        <w:spacing w:before="6"/>
        <w:rPr>
          <w:sz w:val="20"/>
        </w:rPr>
      </w:pPr>
    </w:p>
    <w:p>
      <w:pPr>
        <w:pStyle w:val="Heading9"/>
        <w:spacing w:before="0"/>
        <w:ind w:left="180"/>
      </w:pPr>
      <w:bookmarkStart w:name="Costs and prices in the service sector" w:id="61"/>
      <w:bookmarkEnd w:id="61"/>
      <w:r>
        <w:rPr>
          <w:b w:val="0"/>
        </w:rPr>
      </w:r>
      <w:bookmarkStart w:name="Retail prices" w:id="62"/>
      <w:bookmarkEnd w:id="62"/>
      <w:r>
        <w:rPr>
          <w:b w:val="0"/>
        </w:rPr>
      </w:r>
      <w:bookmarkStart w:name="_bookmark24" w:id="63"/>
      <w:bookmarkEnd w:id="63"/>
      <w:r>
        <w:rPr>
          <w:b w:val="0"/>
        </w:rPr>
      </w:r>
      <w:r>
        <w:rPr>
          <w:color w:val="0093C1"/>
        </w:rPr>
        <w:t>Chart 4.6</w:t>
      </w:r>
    </w:p>
    <w:p>
      <w:pPr>
        <w:spacing w:line="249" w:lineRule="auto" w:before="10"/>
        <w:ind w:left="180" w:right="20" w:firstLine="0"/>
        <w:jc w:val="left"/>
        <w:rPr>
          <w:b/>
          <w:sz w:val="20"/>
        </w:rPr>
      </w:pPr>
      <w:r>
        <w:rPr>
          <w:b/>
          <w:color w:val="0093C1"/>
          <w:sz w:val="20"/>
        </w:rPr>
        <w:t>Producer output price inflation and CBI average price expectations</w:t>
      </w:r>
    </w:p>
    <w:p>
      <w:pPr>
        <w:spacing w:line="125" w:lineRule="exact" w:before="181"/>
        <w:ind w:left="0" w:right="94" w:firstLine="0"/>
        <w:jc w:val="right"/>
        <w:rPr>
          <w:sz w:val="12"/>
        </w:rPr>
      </w:pPr>
      <w:r>
        <w:rPr>
          <w:sz w:val="12"/>
        </w:rPr>
        <w:t>Four-month annualised</w:t>
      </w:r>
    </w:p>
    <w:p>
      <w:pPr>
        <w:pStyle w:val="Heading6"/>
        <w:spacing w:line="280" w:lineRule="atLeast" w:before="202"/>
        <w:ind w:left="180"/>
      </w:pPr>
      <w:r>
        <w:rPr/>
        <w:br w:type="column"/>
      </w:r>
      <w:r>
        <w:rPr/>
        <w:t>that UK manufacturers’ margins are positively related to the strength of demand.</w:t>
      </w:r>
      <w:r>
        <w:rPr>
          <w:position w:val="5"/>
          <w:sz w:val="16"/>
        </w:rPr>
        <w:t>(1) </w:t>
      </w:r>
      <w:r>
        <w:rPr/>
        <w:t>The CBI quarterly industrial trends survey indicates that capacity utilisation has increased, as demand has recovered in recent quarters.</w:t>
      </w:r>
    </w:p>
    <w:p>
      <w:pPr>
        <w:spacing w:after="0" w:line="280" w:lineRule="atLeast"/>
        <w:sectPr>
          <w:type w:val="continuous"/>
          <w:pgSz w:w="11900" w:h="16840"/>
          <w:pgMar w:top="1220" w:bottom="280" w:left="620" w:right="640"/>
          <w:cols w:num="2" w:equalWidth="0">
            <w:col w:w="3671" w:space="1129"/>
            <w:col w:w="5840"/>
          </w:cols>
        </w:sectPr>
      </w:pPr>
    </w:p>
    <w:p>
      <w:pPr>
        <w:spacing w:line="52" w:lineRule="exact" w:before="0"/>
        <w:ind w:left="396" w:right="0" w:firstLine="0"/>
        <w:jc w:val="left"/>
        <w:rPr>
          <w:sz w:val="12"/>
        </w:rPr>
      </w:pPr>
      <w:r>
        <w:rPr>
          <w:sz w:val="12"/>
        </w:rPr>
        <w:t>Percentage balance</w:t>
      </w:r>
    </w:p>
    <w:p>
      <w:pPr>
        <w:spacing w:line="119" w:lineRule="exact" w:before="0"/>
        <w:ind w:left="227" w:right="0" w:firstLine="0"/>
        <w:jc w:val="left"/>
        <w:rPr>
          <w:sz w:val="12"/>
        </w:rPr>
      </w:pPr>
      <w:r>
        <w:rPr/>
        <w:pict>
          <v:line style="position:absolute;mso-position-horizontal-relative:page;mso-position-vertical-relative:paragraph;z-index:16181248" from="55.167pt,2.623857pt" to="50.833pt,2.623857pt" stroked="true" strokeweight=".5pt" strokecolor="#000000">
            <v:stroke dashstyle="solid"/>
            <w10:wrap type="none"/>
          </v:line>
        </w:pict>
      </w:r>
      <w:r>
        <w:rPr>
          <w:sz w:val="12"/>
        </w:rPr>
        <w:t>40</w:t>
      </w:r>
    </w:p>
    <w:p>
      <w:pPr>
        <w:pStyle w:val="BodyText"/>
        <w:rPr>
          <w:sz w:val="12"/>
        </w:rPr>
      </w:pPr>
    </w:p>
    <w:p>
      <w:pPr>
        <w:spacing w:before="84"/>
        <w:ind w:left="227" w:right="0" w:firstLine="0"/>
        <w:jc w:val="left"/>
        <w:rPr>
          <w:sz w:val="12"/>
        </w:rPr>
      </w:pPr>
      <w:r>
        <w:rPr/>
        <w:pict>
          <v:group style="position:absolute;margin-left:47.040218pt;margin-top:1.952747pt;width:166.75pt;height:114.4pt;mso-position-horizontal-relative:page;mso-position-vertical-relative:paragraph;z-index:16180736" coordorigin="941,39" coordsize="3335,2288">
            <v:line style="position:absolute" from="1170,1239" to="4043,1239" stroked="true" strokeweight=".5pt" strokecolor="#000000">
              <v:stroke dashstyle="solid"/>
            </v:line>
            <v:shape style="position:absolute;left:1177;top:814;width:115;height:463" coordorigin="1178,814" coordsize="115,463" path="m1178,1277l1213,1102m1213,1102l1235,1104m1235,1102l1270,989m1270,989l1293,814e" filled="false" stroked="true" strokeweight="1pt" strokecolor="#0099d8">
              <v:path arrowok="t"/>
              <v:stroke dashstyle="solid"/>
            </v:shape>
            <v:line style="position:absolute" from="1309,804" to="1309,1249" stroked="true" strokeweight="2.625pt" strokecolor="#0099d8">
              <v:stroke dashstyle="solid"/>
            </v:line>
            <v:shape style="position:absolute;left:1325;top:814;width:603;height:828" coordorigin="1325,814" coordsize="603,828" path="m1325,1239l1348,1164m1348,1164l1383,1127m1383,1127l1405,1202m1405,1202l1440,1392m1440,1392l1463,1314m1463,1314l1495,1454m1495,1454l1518,1642m1518,1642l1553,1354m1553,1354l1575,1277m1575,1277l1610,989m1610,989l1633,839m1633,839l1665,814m1665,814l1700,952m1700,952l1723,877m1723,877l1758,989m1758,989l1780,1127m1780,1127l1813,1202m1813,1202l1835,1354m1835,1354l1870,1277m1870,1277l1893,1279m1893,1277l1928,1064e" filled="false" stroked="true" strokeweight="1pt" strokecolor="#0099d8">
              <v:path arrowok="t"/>
              <v:stroke dashstyle="solid"/>
            </v:shape>
            <v:line style="position:absolute" from="1939,1054" to="1939,1287" stroked="true" strokeweight="2.125pt" strokecolor="#0099d8">
              <v:stroke dashstyle="solid"/>
            </v:line>
            <v:line style="position:absolute" from="1966,804" to="1966,1287" stroked="true" strokeweight="2.625pt" strokecolor="#0099d8">
              <v:stroke dashstyle="solid"/>
            </v:line>
            <v:line style="position:absolute" from="1994,804" to="1994,1137" stroked="true" strokeweight="2.125pt" strokecolor="#0099d8">
              <v:stroke dashstyle="solid"/>
            </v:line>
            <v:line style="position:absolute" from="1995,1128" to="2050,1128" stroked="true" strokeweight="1.125pt" strokecolor="#0099d8">
              <v:stroke dashstyle="solid"/>
            </v:line>
            <v:shape style="position:absolute;left:2040;top:1101;width:58;height:175" coordorigin="2040,1102" coordsize="58,175" path="m2040,1127l2063,1277m2063,1277l2098,1102e" filled="false" stroked="true" strokeweight="1pt" strokecolor="#0099d8">
              <v:path arrowok="t"/>
              <v:stroke dashstyle="solid"/>
            </v:shape>
            <v:line style="position:absolute" from="2109,804" to="2109,1112" stroked="true" strokeweight="2.125pt" strokecolor="#0099d8">
              <v:stroke dashstyle="solid"/>
            </v:line>
            <v:line style="position:absolute" from="2110,815" to="2163,815" stroked="true" strokeweight="1.125pt" strokecolor="#0099d8">
              <v:stroke dashstyle="solid"/>
            </v:line>
            <v:line style="position:absolute" from="2153,814" to="2175,702" stroked="true" strokeweight="1pt" strokecolor="#0099d8">
              <v:stroke dashstyle="solid"/>
            </v:line>
            <v:line style="position:absolute" from="2165,703" to="2220,703" stroked="true" strokeweight="1.125pt" strokecolor="#0099d8">
              <v:stroke dashstyle="solid"/>
            </v:line>
            <v:shape style="position:absolute;left:2210;top:451;width:80;height:250" coordorigin="2210,452" coordsize="80,250" path="m2210,702l2233,527m2233,527l2268,452m2268,452l2290,454e" filled="false" stroked="true" strokeweight="1pt" strokecolor="#0099d8">
              <v:path arrowok="t"/>
              <v:stroke dashstyle="solid"/>
            </v:shape>
            <v:line style="position:absolute" from="2306,39" to="2306,462" stroked="true" strokeweight="2.625pt" strokecolor="#0099d8">
              <v:stroke dashstyle="solid"/>
            </v:line>
            <v:shape style="position:absolute;left:2322;top:49;width:58;height:215" coordorigin="2323,49" coordsize="58,215" path="m2323,49l2345,124m2345,124l2380,264e" filled="false" stroked="true" strokeweight="1pt" strokecolor="#0099d8">
              <v:path arrowok="t"/>
              <v:stroke dashstyle="solid"/>
            </v:shape>
            <v:line style="position:absolute" from="2391,254" to="2391,599" stroked="true" strokeweight="2.125pt" strokecolor="#0099d8">
              <v:stroke dashstyle="solid"/>
            </v:line>
            <v:shape style="position:absolute;left:2402;top:551;width:58;height:38" coordorigin="2403,552" coordsize="58,38" path="m2403,589l2438,552m2438,552l2460,589e" filled="false" stroked="true" strokeweight="1pt" strokecolor="#0099d8">
              <v:path arrowok="t"/>
              <v:stroke dashstyle="solid"/>
            </v:shape>
            <v:line style="position:absolute" from="2450,590" to="2503,590" stroked="true" strokeweight="1.125pt" strokecolor="#0099d8">
              <v:stroke dashstyle="solid"/>
            </v:line>
            <v:shape style="position:absolute;left:2492;top:589;width:115;height:400" coordorigin="2493,589" coordsize="115,400" path="m2493,589l2515,777m2515,777l2550,989m2550,989l2573,839m2573,839l2608,702e" filled="false" stroked="true" strokeweight="1pt" strokecolor="#0099d8">
              <v:path arrowok="t"/>
              <v:stroke dashstyle="solid"/>
            </v:shape>
            <v:line style="position:absolute" from="2598,703" to="2650,703" stroked="true" strokeweight="1.125pt" strokecolor="#0099d8">
              <v:stroke dashstyle="solid"/>
            </v:line>
            <v:shape style="position:absolute;left:2640;top:589;width:115;height:288" coordorigin="2640,589" coordsize="115,288" path="m2640,702l2663,589m2663,589l2698,739m2698,739l2720,777m2720,777l2755,877e" filled="false" stroked="true" strokeweight="1pt" strokecolor="#0099d8">
              <v:path arrowok="t"/>
              <v:stroke dashstyle="solid"/>
            </v:shape>
            <v:line style="position:absolute" from="2766,867" to="2766,1112" stroked="true" strokeweight="2.125pt" strokecolor="#0099d8">
              <v:stroke dashstyle="solid"/>
            </v:line>
            <v:line style="position:absolute" from="2778,1102" to="2810,1027" stroked="true" strokeweight="1pt" strokecolor="#0099d8">
              <v:stroke dashstyle="solid"/>
            </v:line>
            <v:line style="position:absolute" from="2821,1017" to="2821,1287" stroked="true" strokeweight="2.125pt" strokecolor="#0099d8">
              <v:stroke dashstyle="solid"/>
            </v:line>
            <v:shape style="position:absolute;left:2832;top:664;width:170;height:613" coordorigin="2833,664" coordsize="170,613" path="m2833,1277l2868,1239m2868,1239l2890,1242m2890,1239l2925,989m2925,989l2948,952m2948,952l2980,814m2980,814l3003,664e" filled="false" stroked="true" strokeweight="1pt" strokecolor="#0099d8">
              <v:path arrowok="t"/>
              <v:stroke dashstyle="solid"/>
            </v:shape>
            <v:line style="position:absolute" from="3020,654" to="3020,1112" stroked="true" strokeweight="2.75pt" strokecolor="#0099d8">
              <v:stroke dashstyle="solid"/>
            </v:line>
            <v:shape style="position:absolute;left:3037;top:914;width:135;height:440" coordorigin="3038,914" coordsize="135,440" path="m3038,1102l3060,914m3060,914l3095,1239m3095,1239l3118,1102m3118,1102l3150,1277m3150,1277l3173,1354e" filled="false" stroked="true" strokeweight="1pt" strokecolor="#0099d8">
              <v:path arrowok="t"/>
              <v:stroke dashstyle="solid"/>
            </v:shape>
            <v:line style="position:absolute" from="3163,1355" to="3218,1355" stroked="true" strokeweight="1.125pt" strokecolor="#0099d8">
              <v:stroke dashstyle="solid"/>
            </v:line>
            <v:shape style="position:absolute;left:3207;top:1126;width:228;height:403" coordorigin="3208,1127" coordsize="228,403" path="m3208,1354l3230,1392m3230,1392l3265,1164m3265,1164l3288,1277m3288,1277l3320,1127m3320,1127l3343,1202m3343,1202l3378,1354m3378,1354l3400,1492m3400,1492l3435,1529e" filled="false" stroked="true" strokeweight="1pt" strokecolor="#0099d8">
              <v:path arrowok="t"/>
              <v:stroke dashstyle="solid"/>
            </v:shape>
            <v:line style="position:absolute" from="3446,1519" to="3446,1789" stroked="true" strokeweight="2.125pt" strokecolor="#0099d8">
              <v:stroke dashstyle="solid"/>
            </v:line>
            <v:line style="position:absolute" from="3458,1779" to="3490,2029" stroked="true" strokeweight="1pt" strokecolor="#0099d8">
              <v:stroke dashstyle="solid"/>
            </v:line>
            <v:line style="position:absolute" from="3501,1769" to="3501,2039" stroked="true" strokeweight="2.125pt" strokecolor="#0099d8">
              <v:stroke dashstyle="solid"/>
            </v:line>
            <v:line style="position:absolute" from="3512,1779" to="3547,1854" stroked="true" strokeweight="1pt" strokecolor="#0099d8">
              <v:stroke dashstyle="solid"/>
            </v:line>
            <v:line style="position:absolute" from="3537,1855" to="3592,1855" stroked="true" strokeweight="1.125pt" strokecolor="#0099d8">
              <v:stroke dashstyle="solid"/>
            </v:line>
            <v:line style="position:absolute" from="3582,1854" to="3605,1892" stroked="true" strokeweight="1pt" strokecolor="#0099d8">
              <v:stroke dashstyle="solid"/>
            </v:line>
            <v:line style="position:absolute" from="3621,1882" to="3621,2327" stroked="true" strokeweight="2.625pt" strokecolor="#0099d8">
              <v:stroke dashstyle="solid"/>
            </v:line>
            <v:shape style="position:absolute;left:3637;top:1816;width:170;height:500" coordorigin="3637,1817" coordsize="170,500" path="m3637,2317l3660,2142m3660,2142l3695,1992m3695,1992l3717,2029m3717,2029l3752,1992m3752,1992l3775,1817m3775,1817l3807,1992e" filled="false" stroked="true" strokeweight="1pt" strokecolor="#0099d8">
              <v:path arrowok="t"/>
              <v:stroke dashstyle="solid"/>
            </v:shape>
            <v:line style="position:absolute" from="3819,1769" to="3819,2002" stroked="true" strokeweight="2.125pt" strokecolor="#0099d8">
              <v:stroke dashstyle="solid"/>
            </v:line>
            <v:shape style="position:absolute;left:3830;top:1391;width:205;height:538" coordorigin="3830,1392" coordsize="205,538" path="m3830,1779l3865,1929m3865,1929l3887,1779m3887,1779l3922,1704m3922,1704l3945,1604m3945,1604l3977,1454m3977,1454l4000,1529m4000,1529l4035,1392e" filled="false" stroked="true" strokeweight="1pt" strokecolor="#0099d8">
              <v:path arrowok="t"/>
              <v:stroke dashstyle="solid"/>
            </v:shape>
            <v:line style="position:absolute" from="1168,815" to="1223,815" stroked="true" strokeweight="1.125pt" strokecolor="#faab54">
              <v:stroke dashstyle="solid"/>
            </v:line>
            <v:shape style="position:absolute;left:1212;top:701;width:80;height:113" coordorigin="1213,702" coordsize="80,113" path="m1213,814l1235,752m1235,752l1270,702m1270,702l1293,764e" filled="false" stroked="true" strokeweight="1pt" strokecolor="#faab54">
              <v:path arrowok="t"/>
              <v:stroke dashstyle="solid"/>
            </v:shape>
            <v:line style="position:absolute" from="1283,765" to="1335,765" stroked="true" strokeweight="1.125pt" strokecolor="#faab54">
              <v:stroke dashstyle="solid"/>
            </v:line>
            <v:line style="position:absolute" from="1325,764" to="1348,877" stroked="true" strokeweight="1pt" strokecolor="#faab54">
              <v:stroke dashstyle="solid"/>
            </v:line>
            <v:line style="position:absolute" from="1338,878" to="1393,878" stroked="true" strokeweight="1.125pt" strokecolor="#faab54">
              <v:stroke dashstyle="solid"/>
            </v:line>
            <v:shape style="position:absolute;left:1382;top:651;width:250;height:413" coordorigin="1383,652" coordsize="250,413" path="m1383,877l1405,939m1405,939l1440,1064m1440,1064l1463,1002m1463,1002l1495,889m1495,889l1518,827m1518,827l1553,652m1553,652l1575,702m1575,702l1610,714m1610,714l1633,717e" filled="false" stroked="true" strokeweight="1pt" strokecolor="#faab54">
              <v:path arrowok="t"/>
              <v:stroke dashstyle="solid"/>
            </v:shape>
            <v:line style="position:absolute" from="1623,715" to="1675,715" stroked="true" strokeweight="1.125pt" strokecolor="#faab54">
              <v:stroke dashstyle="solid"/>
            </v:line>
            <v:shape style="position:absolute;left:1665;top:601;width:340;height:463" coordorigin="1665,602" coordsize="340,463" path="m1665,714l1700,652m1700,652l1723,654m1723,652l1758,602m1758,602l1780,664m1780,664l1813,714m1813,714l1835,839m1835,839l1870,1014m1870,1014l1893,1064m1893,1064l1928,1014m1928,1014l1950,1017m1950,1014l1983,902m1983,902l2005,904e" filled="false" stroked="true" strokeweight="1pt" strokecolor="#faab54">
              <v:path arrowok="t"/>
              <v:stroke dashstyle="solid"/>
            </v:shape>
            <v:line style="position:absolute" from="1995,903" to="2050,903" stroked="true" strokeweight="1.125pt" strokecolor="#faab54">
              <v:stroke dashstyle="solid"/>
            </v:line>
            <v:line style="position:absolute" from="2040,902" to="2063,789" stroked="true" strokeweight="1pt" strokecolor="#faab54">
              <v:stroke dashstyle="solid"/>
            </v:line>
            <v:line style="position:absolute" from="2053,790" to="2108,790" stroked="true" strokeweight="1.125pt" strokecolor="#faab54">
              <v:stroke dashstyle="solid"/>
            </v:line>
            <v:shape style="position:absolute;left:2097;top:151;width:475;height:825" coordorigin="2098,152" coordsize="475,825" path="m2098,789l2120,614m2120,614l2153,502m2153,502l2175,439m2175,439l2210,152m2210,152l2233,164m2233,164l2290,452m2290,452l2323,577m2323,577l2345,627m2345,627l2380,414m2380,414l2403,302m2403,302l2438,364m2438,364l2460,527m2460,527l2493,752m2493,752l2515,914m2515,914l2550,977m2550,977l2573,914e" filled="false" stroked="true" strokeweight="1pt" strokecolor="#faab54">
              <v:path arrowok="t"/>
              <v:stroke dashstyle="solid"/>
            </v:shape>
            <v:shape style="position:absolute;left:2562;top:915;width:88;height:2" coordorigin="2563,915" coordsize="88,0" path="m2563,915l2618,915m2598,915l2650,915e" filled="false" stroked="true" strokeweight="1.125pt" strokecolor="#faab54">
              <v:path arrowok="t"/>
              <v:stroke dashstyle="solid"/>
            </v:shape>
            <v:shape style="position:absolute;left:2640;top:914;width:138;height:325" coordorigin="2640,914" coordsize="138,325" path="m2640,914l2663,1027m2663,1027l2698,1077m2698,1077l2720,1139m2720,1139l2755,1189m2755,1189l2778,1239e" filled="false" stroked="true" strokeweight="1pt" strokecolor="#faab54">
              <v:path arrowok="t"/>
              <v:stroke dashstyle="solid"/>
            </v:shape>
            <v:line style="position:absolute" from="2768,1240" to="2820,1240" stroked="true" strokeweight="1.125pt" strokecolor="#faab54">
              <v:stroke dashstyle="solid"/>
            </v:line>
            <v:line style="position:absolute" from="2810,1239" to="2833,1139" stroked="true" strokeweight="1pt" strokecolor="#faab54">
              <v:stroke dashstyle="solid"/>
            </v:line>
            <v:line style="position:absolute" from="2823,1140" to="2878,1140" stroked="true" strokeweight="1.125pt" strokecolor="#faab54">
              <v:stroke dashstyle="solid"/>
            </v:line>
            <v:line style="position:absolute" from="2868,1139" to="2890,1189" stroked="true" strokeweight="1pt" strokecolor="#faab54">
              <v:stroke dashstyle="solid"/>
            </v:line>
            <v:line style="position:absolute" from="2880,1190" to="2935,1190" stroked="true" strokeweight="1.125pt" strokecolor="#faab54">
              <v:stroke dashstyle="solid"/>
            </v:line>
            <v:line style="position:absolute" from="2925,1189" to="2948,1239" stroked="true" strokeweight="1pt" strokecolor="#faab54">
              <v:stroke dashstyle="solid"/>
            </v:line>
            <v:line style="position:absolute" from="2938,1240" to="2990,1240" stroked="true" strokeweight="1.125pt" strokecolor="#faab54">
              <v:stroke dashstyle="solid"/>
            </v:line>
            <v:shape style="position:absolute;left:2980;top:1239;width:80;height:50" coordorigin="2980,1239" coordsize="80,50" path="m2980,1239l3003,1242m3003,1239l3038,1289m3038,1289l3060,1239e" filled="false" stroked="true" strokeweight="1pt" strokecolor="#faab54">
              <v:path arrowok="t"/>
              <v:stroke dashstyle="solid"/>
            </v:shape>
            <v:line style="position:absolute" from="3050,1240" to="3105,1240" stroked="true" strokeweight="1.125pt" strokecolor="#faab54">
              <v:stroke dashstyle="solid"/>
            </v:line>
            <v:shape style="position:absolute;left:3095;top:1076;width:78;height:163" coordorigin="3095,1077" coordsize="78,163" path="m3095,1239l3118,1139m3118,1139l3150,1077m3150,1077l3173,1139e" filled="false" stroked="true" strokeweight="1pt" strokecolor="#faab54">
              <v:path arrowok="t"/>
              <v:stroke dashstyle="solid"/>
            </v:shape>
            <v:line style="position:absolute" from="3163,1140" to="3218,1140" stroked="true" strokeweight="1.125pt" strokecolor="#faab54">
              <v:stroke dashstyle="solid"/>
            </v:line>
            <v:shape style="position:absolute;left:3207;top:1139;width:80;height:203" coordorigin="3208,1139" coordsize="80,203" path="m3208,1139l3230,1239m3230,1239l3265,1289m3265,1289l3288,1342e" filled="false" stroked="true" strokeweight="1pt" strokecolor="#faab54">
              <v:path arrowok="t"/>
              <v:stroke dashstyle="solid"/>
            </v:shape>
            <v:line style="position:absolute" from="3278,1343" to="3330,1343" stroked="true" strokeweight="1.125pt" strokecolor="#faab54">
              <v:stroke dashstyle="solid"/>
            </v:line>
            <v:shape style="position:absolute;left:3320;top:1239;width:228;height:215" coordorigin="3320,1239" coordsize="228,215" path="m3320,1342l3343,1344m3343,1342l3378,1239m3378,1239l3400,1242m3400,1239l3435,1289m3435,1289l3458,1292m3458,1289l3490,1404m3490,1404l3513,1454m3513,1454l3548,1404e" filled="false" stroked="true" strokeweight="1pt" strokecolor="#faab54">
              <v:path arrowok="t"/>
              <v:stroke dashstyle="solid"/>
            </v:shape>
            <v:line style="position:absolute" from="3537,1405" to="3592,1405" stroked="true" strokeweight="1.125pt" strokecolor="#faab54">
              <v:stroke dashstyle="solid"/>
            </v:line>
            <v:line style="position:absolute" from="3582,1404" to="3605,1342" stroked="true" strokeweight="1pt" strokecolor="#faab54">
              <v:stroke dashstyle="solid"/>
            </v:line>
            <v:line style="position:absolute" from="3595,1343" to="3647,1343" stroked="true" strokeweight="1.125pt" strokecolor="#faab54">
              <v:stroke dashstyle="solid"/>
            </v:line>
            <v:shape style="position:absolute;left:3637;top:914;width:250;height:490" coordorigin="3637,914" coordsize="250,490" path="m3637,1342l3660,1404m3660,1404l3695,1342m3695,1342l3717,1289m3717,1289l3752,1239m3752,1239l3775,1242m3775,1239l3807,1127m3807,1127l3830,1077m3830,1077l3865,977m3865,977l3887,914e" filled="false" stroked="true" strokeweight="1pt" strokecolor="#faab54">
              <v:path arrowok="t"/>
              <v:stroke dashstyle="solid"/>
            </v:shape>
            <v:shape style="position:absolute;left:1016;top:155;width:3177;height:2166" coordorigin="1017,156" coordsize="3177,2166" path="m1103,156l1017,156m1103,516l1017,516m1103,1238l1017,1238m1103,1959l1017,1959m1103,877l1017,877m1103,1599l1017,1599m1103,2320l1017,2320m4193,156l4107,156m4193,517l4107,517m4193,1239l4107,1239m4193,1960l4107,1960m4193,878l4107,878m4193,1599l4107,1599m4193,2321l4107,2321m3415,361l3775,974e" filled="false" stroked="true" strokeweight=".5pt" strokecolor="#000000">
              <v:path arrowok="t"/>
              <v:stroke dashstyle="solid"/>
            </v:shape>
            <v:shape style="position:absolute;left:3744;top:946;width:65;height:86" coordorigin="3745,947" coordsize="65,86" path="m3788,947l3745,972,3758,983,3768,991,3809,1032,3806,1024,3803,1014,3799,1002,3796,989,3793,977,3788,947xe" filled="true" fillcolor="#000000" stroked="false">
              <v:path arrowok="t"/>
              <v:fill type="solid"/>
            </v:shape>
            <v:shape style="position:absolute;left:2702;top:84;width:1223;height:254" type="#_x0000_t202" filled="false" stroked="false">
              <v:textbox inset="0,0,0,0">
                <w:txbxContent>
                  <w:p>
                    <w:pPr>
                      <w:spacing w:line="208" w:lineRule="auto" w:before="9"/>
                      <w:ind w:left="60" w:right="18" w:hanging="60"/>
                      <w:jc w:val="left"/>
                      <w:rPr>
                        <w:sz w:val="12"/>
                      </w:rPr>
                    </w:pPr>
                    <w:r>
                      <w:rPr>
                        <w:sz w:val="12"/>
                      </w:rPr>
                      <w:t>Output price inflation (a) (right-hand scale)</w:t>
                    </w:r>
                  </w:p>
                </w:txbxContent>
              </v:textbox>
              <w10:wrap type="none"/>
            </v:shape>
            <v:shape style="position:absolute;left:940;top:975;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v:shape style="position:absolute;left:949;top:960;width:3326;height:532" type="#_x0000_t202" filled="false" stroked="false">
              <v:textbox inset="0,0,0,0">
                <w:txbxContent>
                  <w:p>
                    <w:pPr>
                      <w:spacing w:line="177" w:lineRule="exact" w:before="0"/>
                      <w:ind w:left="0" w:right="18" w:firstLine="0"/>
                      <w:jc w:val="right"/>
                      <w:rPr>
                        <w:sz w:val="16"/>
                      </w:rPr>
                    </w:pPr>
                    <w:r>
                      <w:rPr>
                        <w:sz w:val="16"/>
                      </w:rPr>
                      <w:t>+</w:t>
                    </w:r>
                  </w:p>
                  <w:p>
                    <w:pPr>
                      <w:tabs>
                        <w:tab w:pos="3223" w:val="left" w:leader="none"/>
                      </w:tabs>
                      <w:spacing w:before="150"/>
                      <w:ind w:left="0" w:right="0" w:firstLine="0"/>
                      <w:jc w:val="left"/>
                      <w:rPr>
                        <w:sz w:val="16"/>
                      </w:rPr>
                    </w:pPr>
                    <w:r>
                      <w:rPr>
                        <w:sz w:val="16"/>
                      </w:rPr>
                      <w:t>–</w:t>
                      <w:tab/>
                    </w:r>
                    <w:r>
                      <w:rPr>
                        <w:position w:val="2"/>
                        <w:sz w:val="16"/>
                      </w:rPr>
                      <w:t>–</w:t>
                    </w:r>
                  </w:p>
                </w:txbxContent>
              </v:textbox>
              <w10:wrap type="none"/>
            </v:shape>
            <v:shape style="position:absolute;left:2162;top:1731;width:1290;height:254" type="#_x0000_t202" filled="false" stroked="false">
              <v:textbox inset="0,0,0,0">
                <w:txbxContent>
                  <w:p>
                    <w:pPr>
                      <w:spacing w:line="208" w:lineRule="auto" w:before="9"/>
                      <w:ind w:left="60" w:right="18" w:hanging="60"/>
                      <w:jc w:val="left"/>
                      <w:rPr>
                        <w:sz w:val="12"/>
                      </w:rPr>
                    </w:pPr>
                    <w:r>
                      <w:rPr>
                        <w:sz w:val="12"/>
                      </w:rPr>
                      <w:t>CBI price expectations (b) (left-hand scale)</w:t>
                    </w:r>
                  </w:p>
                </w:txbxContent>
              </v:textbox>
              <w10:wrap type="none"/>
            </v:shape>
            <w10:wrap type="none"/>
          </v:group>
        </w:pict>
      </w:r>
      <w:r>
        <w:rPr>
          <w:sz w:val="12"/>
        </w:rPr>
        <w:t>30</w:t>
      </w:r>
    </w:p>
    <w:p>
      <w:pPr>
        <w:pStyle w:val="BodyText"/>
        <w:rPr>
          <w:sz w:val="12"/>
        </w:rPr>
      </w:pPr>
    </w:p>
    <w:p>
      <w:pPr>
        <w:spacing w:before="84"/>
        <w:ind w:left="227" w:right="0" w:firstLine="0"/>
        <w:jc w:val="left"/>
        <w:rPr>
          <w:sz w:val="12"/>
        </w:rPr>
      </w:pPr>
      <w:r>
        <w:rPr>
          <w:sz w:val="12"/>
        </w:rPr>
        <w:t>20</w:t>
      </w:r>
    </w:p>
    <w:p>
      <w:pPr>
        <w:pStyle w:val="BodyText"/>
        <w:rPr>
          <w:sz w:val="12"/>
        </w:rPr>
      </w:pPr>
    </w:p>
    <w:p>
      <w:pPr>
        <w:spacing w:before="85"/>
        <w:ind w:left="227" w:right="0" w:firstLine="0"/>
        <w:jc w:val="left"/>
        <w:rPr>
          <w:sz w:val="12"/>
        </w:rPr>
      </w:pPr>
      <w:r>
        <w:rPr>
          <w:sz w:val="12"/>
        </w:rPr>
        <w:t>10</w:t>
      </w:r>
    </w:p>
    <w:p>
      <w:pPr>
        <w:pStyle w:val="BodyText"/>
        <w:rPr>
          <w:sz w:val="12"/>
        </w:rPr>
      </w:pPr>
    </w:p>
    <w:p>
      <w:pPr>
        <w:spacing w:before="84"/>
        <w:ind w:left="287" w:right="0" w:firstLine="0"/>
        <w:jc w:val="left"/>
        <w:rPr>
          <w:sz w:val="12"/>
        </w:rPr>
      </w:pPr>
      <w:r>
        <w:rPr>
          <w:sz w:val="12"/>
        </w:rPr>
        <w:t>0</w:t>
      </w:r>
    </w:p>
    <w:p>
      <w:pPr>
        <w:pStyle w:val="BodyText"/>
        <w:rPr>
          <w:sz w:val="12"/>
        </w:rPr>
      </w:pPr>
    </w:p>
    <w:p>
      <w:pPr>
        <w:spacing w:before="84"/>
        <w:ind w:left="227" w:right="0" w:firstLine="0"/>
        <w:jc w:val="left"/>
        <w:rPr>
          <w:sz w:val="12"/>
        </w:rPr>
      </w:pPr>
      <w:r>
        <w:rPr>
          <w:sz w:val="12"/>
        </w:rPr>
        <w:t>10</w:t>
      </w:r>
    </w:p>
    <w:p>
      <w:pPr>
        <w:pStyle w:val="BodyText"/>
        <w:rPr>
          <w:sz w:val="12"/>
        </w:rPr>
      </w:pPr>
    </w:p>
    <w:p>
      <w:pPr>
        <w:spacing w:before="85"/>
        <w:ind w:left="227" w:right="0" w:firstLine="0"/>
        <w:jc w:val="left"/>
        <w:rPr>
          <w:sz w:val="12"/>
        </w:rPr>
      </w:pPr>
      <w:r>
        <w:rPr>
          <w:sz w:val="12"/>
        </w:rPr>
        <w:t>20</w:t>
      </w:r>
    </w:p>
    <w:p>
      <w:pPr>
        <w:pStyle w:val="BodyText"/>
        <w:rPr>
          <w:sz w:val="12"/>
        </w:rPr>
      </w:pPr>
    </w:p>
    <w:p>
      <w:pPr>
        <w:spacing w:before="84"/>
        <w:ind w:left="227" w:right="0" w:firstLine="0"/>
        <w:jc w:val="left"/>
        <w:rPr>
          <w:sz w:val="12"/>
        </w:rPr>
      </w:pPr>
      <w:r>
        <w:rPr>
          <w:sz w:val="12"/>
        </w:rPr>
        <w:t>30</w:t>
      </w:r>
    </w:p>
    <w:p>
      <w:pPr>
        <w:spacing w:line="49" w:lineRule="exact" w:before="0"/>
        <w:ind w:left="227" w:right="0" w:firstLine="0"/>
        <w:jc w:val="left"/>
        <w:rPr>
          <w:sz w:val="12"/>
        </w:rPr>
      </w:pPr>
      <w:r>
        <w:rPr/>
        <w:br w:type="column"/>
      </w:r>
      <w:r>
        <w:rPr>
          <w:sz w:val="12"/>
        </w:rPr>
        <w:t>percentage change</w:t>
      </w:r>
    </w:p>
    <w:p>
      <w:pPr>
        <w:spacing w:line="116" w:lineRule="exact" w:before="0"/>
        <w:ind w:left="0" w:right="38" w:firstLine="0"/>
        <w:jc w:val="right"/>
        <w:rPr>
          <w:sz w:val="12"/>
        </w:rPr>
      </w:pPr>
      <w:r>
        <w:rPr/>
        <w:pict>
          <v:line style="position:absolute;mso-position-horizontal-relative:page;mso-position-vertical-relative:paragraph;z-index:16182272" from="209.666993pt,2.827401pt" to="205.332993pt,2.827401pt" stroked="true" strokeweight=".5pt" strokecolor="#000000">
            <v:stroke dashstyle="solid"/>
            <w10:wrap type="none"/>
          </v:line>
        </w:pict>
      </w:r>
      <w:r>
        <w:rPr>
          <w:sz w:val="12"/>
        </w:rPr>
        <w:t>8</w:t>
      </w:r>
    </w:p>
    <w:p>
      <w:pPr>
        <w:pStyle w:val="BodyText"/>
        <w:rPr>
          <w:sz w:val="12"/>
        </w:rPr>
      </w:pPr>
    </w:p>
    <w:p>
      <w:pPr>
        <w:spacing w:before="84"/>
        <w:ind w:left="0" w:right="38" w:firstLine="0"/>
        <w:jc w:val="right"/>
        <w:rPr>
          <w:sz w:val="12"/>
        </w:rPr>
      </w:pPr>
      <w:r>
        <w:rPr>
          <w:sz w:val="12"/>
        </w:rPr>
        <w:t>6</w:t>
      </w:r>
    </w:p>
    <w:p>
      <w:pPr>
        <w:pStyle w:val="BodyText"/>
        <w:rPr>
          <w:sz w:val="12"/>
        </w:rPr>
      </w:pPr>
    </w:p>
    <w:p>
      <w:pPr>
        <w:spacing w:before="84"/>
        <w:ind w:left="0" w:right="38" w:firstLine="0"/>
        <w:jc w:val="right"/>
        <w:rPr>
          <w:sz w:val="12"/>
        </w:rPr>
      </w:pPr>
      <w:r>
        <w:rPr>
          <w:sz w:val="12"/>
        </w:rPr>
        <w:t>4</w:t>
      </w:r>
    </w:p>
    <w:p>
      <w:pPr>
        <w:pStyle w:val="BodyText"/>
        <w:rPr>
          <w:sz w:val="12"/>
        </w:rPr>
      </w:pPr>
    </w:p>
    <w:p>
      <w:pPr>
        <w:spacing w:before="85"/>
        <w:ind w:left="0" w:right="38" w:firstLine="0"/>
        <w:jc w:val="right"/>
        <w:rPr>
          <w:sz w:val="12"/>
        </w:rPr>
      </w:pPr>
      <w:r>
        <w:rPr>
          <w:sz w:val="12"/>
        </w:rPr>
        <w:t>2</w:t>
      </w:r>
    </w:p>
    <w:p>
      <w:pPr>
        <w:pStyle w:val="BodyText"/>
        <w:rPr>
          <w:sz w:val="12"/>
        </w:rPr>
      </w:pPr>
    </w:p>
    <w:p>
      <w:pPr>
        <w:spacing w:before="84"/>
        <w:ind w:left="0" w:right="38" w:firstLine="0"/>
        <w:jc w:val="right"/>
        <w:rPr>
          <w:sz w:val="12"/>
        </w:rPr>
      </w:pPr>
      <w:r>
        <w:rPr>
          <w:sz w:val="12"/>
        </w:rPr>
        <w:t>0</w:t>
      </w:r>
    </w:p>
    <w:p>
      <w:pPr>
        <w:pStyle w:val="BodyText"/>
        <w:rPr>
          <w:sz w:val="12"/>
        </w:rPr>
      </w:pPr>
    </w:p>
    <w:p>
      <w:pPr>
        <w:spacing w:before="84"/>
        <w:ind w:left="0" w:right="38" w:firstLine="0"/>
        <w:jc w:val="right"/>
        <w:rPr>
          <w:sz w:val="12"/>
        </w:rPr>
      </w:pPr>
      <w:r>
        <w:rPr>
          <w:sz w:val="12"/>
        </w:rPr>
        <w:t>2</w:t>
      </w:r>
    </w:p>
    <w:p>
      <w:pPr>
        <w:pStyle w:val="BodyText"/>
        <w:rPr>
          <w:sz w:val="12"/>
        </w:rPr>
      </w:pPr>
    </w:p>
    <w:p>
      <w:pPr>
        <w:spacing w:before="85"/>
        <w:ind w:left="0" w:right="38" w:firstLine="0"/>
        <w:jc w:val="right"/>
        <w:rPr>
          <w:sz w:val="12"/>
        </w:rPr>
      </w:pPr>
      <w:r>
        <w:rPr>
          <w:sz w:val="12"/>
        </w:rPr>
        <w:t>4</w:t>
      </w:r>
    </w:p>
    <w:p>
      <w:pPr>
        <w:pStyle w:val="BodyText"/>
        <w:rPr>
          <w:sz w:val="12"/>
        </w:rPr>
      </w:pPr>
    </w:p>
    <w:p>
      <w:pPr>
        <w:spacing w:before="84"/>
        <w:ind w:left="0" w:right="38" w:firstLine="0"/>
        <w:jc w:val="right"/>
        <w:rPr>
          <w:sz w:val="12"/>
        </w:rPr>
      </w:pPr>
      <w:r>
        <w:rPr>
          <w:sz w:val="12"/>
        </w:rPr>
        <w:t>6</w:t>
      </w:r>
    </w:p>
    <w:p>
      <w:pPr>
        <w:pStyle w:val="Heading6"/>
        <w:spacing w:line="242" w:lineRule="auto" w:before="4"/>
        <w:ind w:left="227" w:right="435"/>
      </w:pPr>
      <w:r>
        <w:rPr/>
        <w:br w:type="column"/>
      </w:r>
      <w:r>
        <w:rPr/>
        <w:t>And the January CIPS survey indicated that suppliers’ delivery times had lengthened for the sixth successive month. The Bank’s regional Agents have, however, continued to report downward pressure on manufacturers’ margins in recent months.</w:t>
      </w:r>
    </w:p>
    <w:p>
      <w:pPr>
        <w:pStyle w:val="BodyText"/>
        <w:spacing w:before="7"/>
        <w:rPr>
          <w:sz w:val="28"/>
        </w:rPr>
      </w:pPr>
    </w:p>
    <w:p>
      <w:pPr>
        <w:pStyle w:val="Heading3"/>
        <w:numPr>
          <w:ilvl w:val="1"/>
          <w:numId w:val="28"/>
        </w:numPr>
        <w:tabs>
          <w:tab w:pos="1122" w:val="left" w:leader="none"/>
          <w:tab w:pos="1123" w:val="left" w:leader="none"/>
          <w:tab w:pos="5727" w:val="left" w:leader="none"/>
        </w:tabs>
        <w:spacing w:line="240" w:lineRule="auto" w:before="0" w:after="0"/>
        <w:ind w:left="1122" w:right="0" w:hanging="896"/>
        <w:jc w:val="left"/>
        <w:rPr>
          <w:color w:val="009483"/>
        </w:rPr>
      </w:pPr>
      <w:r>
        <w:rPr>
          <w:color w:val="009483"/>
          <w:u w:val="thick" w:color="0093C1"/>
        </w:rPr>
        <w:t>Costs and prices in the service sector</w:t>
        <w:tab/>
      </w:r>
    </w:p>
    <w:p>
      <w:pPr>
        <w:spacing w:line="242" w:lineRule="auto" w:before="260"/>
        <w:ind w:left="227" w:right="502" w:firstLine="0"/>
        <w:jc w:val="left"/>
        <w:rPr>
          <w:sz w:val="24"/>
        </w:rPr>
      </w:pPr>
      <w:r>
        <w:rPr>
          <w:sz w:val="24"/>
        </w:rPr>
        <w:t>In contrast to the decline in the manufacturing sector, unit labour costs in the service sector are estimated to</w:t>
      </w:r>
    </w:p>
    <w:p>
      <w:pPr>
        <w:spacing w:after="0" w:line="242" w:lineRule="auto"/>
        <w:jc w:val="left"/>
        <w:rPr>
          <w:sz w:val="24"/>
        </w:rPr>
        <w:sectPr>
          <w:type w:val="continuous"/>
          <w:pgSz w:w="11900" w:h="16840"/>
          <w:pgMar w:top="1220" w:bottom="280" w:left="620" w:right="640"/>
          <w:cols w:num="3" w:equalWidth="0">
            <w:col w:w="1360" w:space="1096"/>
            <w:col w:w="1285" w:space="1011"/>
            <w:col w:w="5888"/>
          </w:cols>
        </w:sectPr>
      </w:pPr>
    </w:p>
    <w:p>
      <w:pPr>
        <w:tabs>
          <w:tab w:pos="3640" w:val="left" w:leader="none"/>
        </w:tabs>
        <w:spacing w:line="136" w:lineRule="exact" w:before="40"/>
        <w:ind w:left="227" w:right="0" w:firstLine="0"/>
        <w:jc w:val="left"/>
        <w:rPr>
          <w:sz w:val="12"/>
        </w:rPr>
      </w:pPr>
      <w:r>
        <w:rPr/>
        <w:pict>
          <v:shape style="position:absolute;margin-left:50.833pt;margin-top:.914555pt;width:158.85pt;height:5.4pt;mso-position-horizontal-relative:page;mso-position-vertical-relative:paragraph;z-index:-21963264" coordorigin="1017,18" coordsize="3177,108" path="m1103,125l1017,125m1176,125l4043,125m1173,18l1173,125m1344,72l1344,125m1771,72l1771,125m2795,72l2795,125m3478,72l3478,125m3819,72l3819,125m2112,72l2112,125m3136,72l3136,125m3563,18l3563,125m1259,72l1259,125m1429,72l1429,125m2283,72l2283,125m3222,18l3222,125m3649,72l3649,125m3905,18l3905,125m3990,72l3990,125m2454,72l2454,125m3307,72l3307,125m3734,72l3734,125m1600,72l1600,125m2624,72l2624,125m3392,72l3392,125m1941,72l1941,125m2966,72l2966,125m4193,125l4107,125m1515,18l1515,125m1856,18l1856,125m2368,72l2368,125m2710,72l2710,125m1685,72l1685,125m2027,72l2027,125m2880,18l2880,125m3051,72l3051,125m2197,18l2197,125m2539,18l2539,125e" filled="false" stroked="true" strokeweight=".5pt" strokecolor="#000000">
            <v:path arrowok="t"/>
            <v:stroke dashstyle="solid"/>
            <w10:wrap type="none"/>
          </v:shape>
        </w:pict>
      </w:r>
      <w:r>
        <w:rPr>
          <w:sz w:val="12"/>
        </w:rPr>
        <w:t>40</w:t>
        <w:tab/>
      </w:r>
      <w:r>
        <w:rPr>
          <w:position w:val="1"/>
          <w:sz w:val="12"/>
        </w:rPr>
        <w:t>8</w:t>
      </w:r>
    </w:p>
    <w:p>
      <w:pPr>
        <w:tabs>
          <w:tab w:pos="1372" w:val="left" w:leader="none"/>
          <w:tab w:pos="1712" w:val="left" w:leader="none"/>
          <w:tab w:pos="2052" w:val="left" w:leader="none"/>
          <w:tab w:pos="2392" w:val="left" w:leader="none"/>
          <w:tab w:pos="2732" w:val="left" w:leader="none"/>
          <w:tab w:pos="3082" w:val="left" w:leader="none"/>
        </w:tabs>
        <w:spacing w:line="126" w:lineRule="exact" w:before="0"/>
        <w:ind w:left="602" w:right="0" w:firstLine="0"/>
        <w:jc w:val="left"/>
        <w:rPr>
          <w:sz w:val="12"/>
        </w:rPr>
      </w:pPr>
      <w:r>
        <w:rPr>
          <w:sz w:val="12"/>
        </w:rPr>
        <w:t>1992    </w:t>
      </w:r>
      <w:r>
        <w:rPr>
          <w:spacing w:val="27"/>
          <w:sz w:val="12"/>
        </w:rPr>
        <w:t> </w:t>
      </w:r>
      <w:r>
        <w:rPr>
          <w:sz w:val="12"/>
        </w:rPr>
        <w:t>93</w:t>
        <w:tab/>
        <w:t>94</w:t>
        <w:tab/>
        <w:t>95</w:t>
        <w:tab/>
        <w:t>96</w:t>
        <w:tab/>
        <w:t>97</w:t>
        <w:tab/>
        <w:t>98</w:t>
        <w:tab/>
        <w:t>99</w:t>
      </w:r>
      <w:r>
        <w:rPr>
          <w:spacing w:val="5"/>
          <w:sz w:val="12"/>
        </w:rPr>
        <w:t> </w:t>
      </w:r>
      <w:r>
        <w:rPr>
          <w:sz w:val="12"/>
        </w:rPr>
        <w:t>2000</w:t>
      </w:r>
    </w:p>
    <w:p>
      <w:pPr>
        <w:pStyle w:val="BodyText"/>
        <w:spacing w:before="8"/>
        <w:rPr>
          <w:sz w:val="12"/>
        </w:rPr>
      </w:pPr>
    </w:p>
    <w:p>
      <w:pPr>
        <w:spacing w:before="0"/>
        <w:ind w:left="180" w:right="0" w:firstLine="0"/>
        <w:jc w:val="left"/>
        <w:rPr>
          <w:sz w:val="12"/>
        </w:rPr>
      </w:pPr>
      <w:r>
        <w:rPr>
          <w:sz w:val="12"/>
        </w:rPr>
        <w:t>Sources: ONS and CBI.</w:t>
      </w:r>
    </w:p>
    <w:p>
      <w:pPr>
        <w:pStyle w:val="ListParagraph"/>
        <w:numPr>
          <w:ilvl w:val="0"/>
          <w:numId w:val="33"/>
        </w:numPr>
        <w:tabs>
          <w:tab w:pos="420" w:val="left" w:leader="none"/>
        </w:tabs>
        <w:spacing w:line="129" w:lineRule="exact" w:before="102" w:after="0"/>
        <w:ind w:left="419" w:right="0" w:hanging="240"/>
        <w:jc w:val="left"/>
        <w:rPr>
          <w:sz w:val="12"/>
        </w:rPr>
      </w:pPr>
      <w:r>
        <w:rPr>
          <w:sz w:val="12"/>
        </w:rPr>
        <w:t>Excluding food, beverages, tobacco and petroleum.</w:t>
      </w:r>
    </w:p>
    <w:p>
      <w:pPr>
        <w:pStyle w:val="ListParagraph"/>
        <w:numPr>
          <w:ilvl w:val="0"/>
          <w:numId w:val="33"/>
        </w:numPr>
        <w:tabs>
          <w:tab w:pos="421" w:val="left" w:leader="none"/>
        </w:tabs>
        <w:spacing w:line="208" w:lineRule="auto" w:before="6" w:after="0"/>
        <w:ind w:left="420" w:right="614" w:hanging="240"/>
        <w:jc w:val="left"/>
        <w:rPr>
          <w:sz w:val="12"/>
        </w:rPr>
      </w:pPr>
      <w:r>
        <w:rPr>
          <w:sz w:val="12"/>
        </w:rPr>
        <w:t>Balance of manufacturers expecting to increase prices over the following four months minus those expecting to reduce prices, </w:t>
      </w:r>
      <w:r>
        <w:rPr>
          <w:spacing w:val="-3"/>
          <w:sz w:val="12"/>
        </w:rPr>
        <w:t>adjusted </w:t>
      </w:r>
      <w:r>
        <w:rPr>
          <w:sz w:val="12"/>
        </w:rPr>
        <w:t>for seasonal variation. This series has been advanced by four months, as it relates to producers’ expectations of future prices.</w:t>
      </w:r>
    </w:p>
    <w:p>
      <w:pPr>
        <w:pStyle w:val="BodyText"/>
        <w:rPr>
          <w:sz w:val="12"/>
        </w:rPr>
      </w:pPr>
    </w:p>
    <w:p>
      <w:pPr>
        <w:pStyle w:val="BodyText"/>
        <w:rPr>
          <w:sz w:val="12"/>
        </w:rPr>
      </w:pPr>
    </w:p>
    <w:p>
      <w:pPr>
        <w:pStyle w:val="Heading9"/>
        <w:spacing w:before="84"/>
      </w:pPr>
      <w:r>
        <w:rPr>
          <w:color w:val="0093C1"/>
        </w:rPr>
        <w:t>Table 4.B</w:t>
      </w:r>
    </w:p>
    <w:p>
      <w:pPr>
        <w:spacing w:before="10"/>
        <w:ind w:left="190" w:right="0" w:firstLine="0"/>
        <w:jc w:val="left"/>
        <w:rPr>
          <w:sz w:val="12"/>
        </w:rPr>
      </w:pPr>
      <w:r>
        <w:rPr>
          <w:b/>
          <w:color w:val="0093C1"/>
          <w:sz w:val="20"/>
        </w:rPr>
        <w:t>Surveys of service sector prices</w:t>
      </w:r>
      <w:r>
        <w:rPr>
          <w:position w:val="4"/>
          <w:sz w:val="12"/>
        </w:rPr>
        <w:t>(a)</w:t>
      </w:r>
    </w:p>
    <w:p>
      <w:pPr>
        <w:pStyle w:val="BodyText"/>
        <w:spacing w:before="9"/>
        <w:rPr>
          <w:sz w:val="9"/>
        </w:rPr>
      </w:pPr>
    </w:p>
    <w:tbl>
      <w:tblPr>
        <w:tblW w:w="0" w:type="auto"/>
        <w:jc w:val="lef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5"/>
        <w:gridCol w:w="1715"/>
      </w:tblGrid>
      <w:tr>
        <w:trPr>
          <w:trHeight w:val="157" w:hRule="atLeast"/>
        </w:trPr>
        <w:tc>
          <w:tcPr>
            <w:tcW w:w="2485" w:type="dxa"/>
          </w:tcPr>
          <w:p>
            <w:pPr>
              <w:pStyle w:val="TableParagraph"/>
              <w:tabs>
                <w:tab w:pos="679" w:val="left" w:leader="none"/>
              </w:tabs>
              <w:spacing w:line="138" w:lineRule="exact"/>
              <w:ind w:right="73"/>
              <w:jc w:val="right"/>
              <w:rPr>
                <w:sz w:val="14"/>
              </w:rPr>
            </w:pPr>
            <w:r>
              <w:rPr>
                <w:sz w:val="14"/>
                <w:u w:val="single"/>
              </w:rPr>
              <w:t>1998</w:t>
              <w:tab/>
            </w:r>
          </w:p>
        </w:tc>
        <w:tc>
          <w:tcPr>
            <w:tcW w:w="1715" w:type="dxa"/>
          </w:tcPr>
          <w:p>
            <w:pPr>
              <w:pStyle w:val="TableParagraph"/>
              <w:tabs>
                <w:tab w:pos="1664" w:val="left" w:leader="none"/>
              </w:tabs>
              <w:spacing w:line="138" w:lineRule="exact"/>
              <w:ind w:left="75"/>
              <w:rPr>
                <w:sz w:val="14"/>
              </w:rPr>
            </w:pPr>
            <w:r>
              <w:rPr>
                <w:sz w:val="14"/>
                <w:u w:val="single"/>
              </w:rPr>
              <w:t>1999</w:t>
              <w:tab/>
            </w:r>
          </w:p>
        </w:tc>
      </w:tr>
      <w:tr>
        <w:trPr>
          <w:trHeight w:val="220" w:hRule="atLeast"/>
        </w:trPr>
        <w:tc>
          <w:tcPr>
            <w:tcW w:w="2485" w:type="dxa"/>
          </w:tcPr>
          <w:p>
            <w:pPr>
              <w:pStyle w:val="TableParagraph"/>
              <w:spacing w:line="158" w:lineRule="exact"/>
              <w:ind w:right="73"/>
              <w:jc w:val="right"/>
              <w:rPr>
                <w:sz w:val="14"/>
              </w:rPr>
            </w:pPr>
            <w:r>
              <w:rPr>
                <w:sz w:val="14"/>
                <w:u w:val="single"/>
              </w:rPr>
              <w:t>Q3</w:t>
            </w:r>
            <w:r>
              <w:rPr>
                <w:sz w:val="14"/>
              </w:rPr>
              <w:t> </w:t>
            </w:r>
            <w:r>
              <w:rPr>
                <w:sz w:val="14"/>
                <w:u w:val="single"/>
              </w:rPr>
              <w:t>Q4 </w:t>
            </w:r>
          </w:p>
        </w:tc>
        <w:tc>
          <w:tcPr>
            <w:tcW w:w="1715" w:type="dxa"/>
          </w:tcPr>
          <w:p>
            <w:pPr>
              <w:pStyle w:val="TableParagraph"/>
              <w:tabs>
                <w:tab w:pos="534" w:val="left" w:leader="none"/>
              </w:tabs>
              <w:spacing w:line="158" w:lineRule="exact"/>
              <w:ind w:left="74"/>
              <w:rPr>
                <w:sz w:val="14"/>
              </w:rPr>
            </w:pPr>
            <w:r>
              <w:rPr>
                <w:sz w:val="14"/>
                <w:u w:val="single"/>
              </w:rPr>
              <w:t>Q1</w:t>
            </w:r>
            <w:r>
              <w:rPr>
                <w:sz w:val="14"/>
              </w:rPr>
              <w:tab/>
            </w:r>
            <w:r>
              <w:rPr>
                <w:sz w:val="14"/>
                <w:u w:val="single"/>
              </w:rPr>
              <w:t>Q2</w:t>
            </w:r>
            <w:r>
              <w:rPr>
                <w:sz w:val="14"/>
              </w:rPr>
              <w:t> </w:t>
            </w:r>
            <w:r>
              <w:rPr>
                <w:sz w:val="14"/>
                <w:u w:val="single"/>
              </w:rPr>
              <w:t>Q3</w:t>
            </w:r>
            <w:r>
              <w:rPr>
                <w:spacing w:val="33"/>
                <w:sz w:val="14"/>
              </w:rPr>
              <w:t> </w:t>
            </w:r>
            <w:r>
              <w:rPr>
                <w:sz w:val="14"/>
                <w:u w:val="single"/>
              </w:rPr>
              <w:t>Q4</w:t>
            </w:r>
            <w:r>
              <w:rPr>
                <w:spacing w:val="-16"/>
                <w:sz w:val="14"/>
                <w:u w:val="single"/>
              </w:rPr>
              <w:t> </w:t>
            </w:r>
          </w:p>
        </w:tc>
      </w:tr>
      <w:tr>
        <w:trPr>
          <w:trHeight w:val="210" w:hRule="atLeast"/>
        </w:trPr>
        <w:tc>
          <w:tcPr>
            <w:tcW w:w="2485" w:type="dxa"/>
          </w:tcPr>
          <w:p>
            <w:pPr>
              <w:pStyle w:val="TableParagraph"/>
              <w:spacing w:line="133" w:lineRule="exact" w:before="56"/>
              <w:ind w:left="50"/>
              <w:rPr>
                <w:sz w:val="14"/>
              </w:rPr>
            </w:pPr>
            <w:r>
              <w:rPr>
                <w:sz w:val="14"/>
              </w:rPr>
              <w:t>BCC service prices balance 12.0 17.0</w:t>
            </w:r>
          </w:p>
        </w:tc>
        <w:tc>
          <w:tcPr>
            <w:tcW w:w="1715" w:type="dxa"/>
          </w:tcPr>
          <w:p>
            <w:pPr>
              <w:pStyle w:val="TableParagraph"/>
              <w:tabs>
                <w:tab w:pos="534" w:val="left" w:leader="none"/>
              </w:tabs>
              <w:spacing w:line="133" w:lineRule="exact" w:before="56"/>
              <w:ind w:left="74"/>
              <w:rPr>
                <w:sz w:val="14"/>
              </w:rPr>
            </w:pPr>
            <w:r>
              <w:rPr>
                <w:sz w:val="14"/>
              </w:rPr>
              <w:t>17.0</w:t>
              <w:tab/>
              <w:t>11.0 22.0</w:t>
            </w:r>
            <w:r>
              <w:rPr>
                <w:spacing w:val="29"/>
                <w:sz w:val="14"/>
              </w:rPr>
              <w:t> </w:t>
            </w:r>
            <w:r>
              <w:rPr>
                <w:sz w:val="14"/>
              </w:rPr>
              <w:t>24.0</w:t>
            </w:r>
          </w:p>
        </w:tc>
      </w:tr>
      <w:tr>
        <w:trPr>
          <w:trHeight w:val="140" w:hRule="atLeast"/>
        </w:trPr>
        <w:tc>
          <w:tcPr>
            <w:tcW w:w="2485" w:type="dxa"/>
          </w:tcPr>
          <w:p>
            <w:pPr>
              <w:pStyle w:val="TableParagraph"/>
              <w:tabs>
                <w:tab w:pos="1730" w:val="left" w:leader="none"/>
              </w:tabs>
              <w:spacing w:line="120" w:lineRule="exact"/>
              <w:ind w:left="50"/>
              <w:rPr>
                <w:sz w:val="14"/>
              </w:rPr>
            </w:pPr>
            <w:r>
              <w:rPr>
                <w:sz w:val="14"/>
              </w:rPr>
              <w:t>CIPS service input prices</w:t>
              <w:tab/>
              <w:t>57.8</w:t>
            </w:r>
            <w:r>
              <w:rPr>
                <w:spacing w:val="29"/>
                <w:sz w:val="14"/>
              </w:rPr>
              <w:t> </w:t>
            </w:r>
            <w:r>
              <w:rPr>
                <w:sz w:val="14"/>
              </w:rPr>
              <w:t>54.6</w:t>
            </w:r>
          </w:p>
        </w:tc>
        <w:tc>
          <w:tcPr>
            <w:tcW w:w="1715" w:type="dxa"/>
          </w:tcPr>
          <w:p>
            <w:pPr>
              <w:pStyle w:val="TableParagraph"/>
              <w:tabs>
                <w:tab w:pos="535" w:val="left" w:leader="none"/>
              </w:tabs>
              <w:spacing w:line="120" w:lineRule="exact"/>
              <w:ind w:left="75"/>
              <w:rPr>
                <w:sz w:val="14"/>
              </w:rPr>
            </w:pPr>
            <w:r>
              <w:rPr>
                <w:sz w:val="14"/>
              </w:rPr>
              <w:t>54.9</w:t>
              <w:tab/>
              <w:t>55.5 54.5</w:t>
            </w:r>
            <w:r>
              <w:rPr>
                <w:spacing w:val="29"/>
                <w:sz w:val="14"/>
              </w:rPr>
              <w:t> </w:t>
            </w:r>
            <w:r>
              <w:rPr>
                <w:sz w:val="14"/>
              </w:rPr>
              <w:t>57.9</w:t>
            </w:r>
          </w:p>
        </w:tc>
      </w:tr>
      <w:tr>
        <w:trPr>
          <w:trHeight w:val="208" w:hRule="atLeast"/>
        </w:trPr>
        <w:tc>
          <w:tcPr>
            <w:tcW w:w="2485" w:type="dxa"/>
          </w:tcPr>
          <w:p>
            <w:pPr>
              <w:pStyle w:val="TableParagraph"/>
              <w:spacing w:line="148" w:lineRule="exact"/>
              <w:ind w:left="50"/>
              <w:rPr>
                <w:sz w:val="14"/>
              </w:rPr>
            </w:pPr>
            <w:r>
              <w:rPr>
                <w:sz w:val="14"/>
              </w:rPr>
              <w:t>CIPS service prices charged 51.3 47.9</w:t>
            </w:r>
          </w:p>
        </w:tc>
        <w:tc>
          <w:tcPr>
            <w:tcW w:w="1715" w:type="dxa"/>
          </w:tcPr>
          <w:p>
            <w:pPr>
              <w:pStyle w:val="TableParagraph"/>
              <w:tabs>
                <w:tab w:pos="535" w:val="left" w:leader="none"/>
              </w:tabs>
              <w:spacing w:line="148" w:lineRule="exact"/>
              <w:ind w:left="75"/>
              <w:rPr>
                <w:sz w:val="14"/>
              </w:rPr>
            </w:pPr>
            <w:r>
              <w:rPr>
                <w:sz w:val="14"/>
              </w:rPr>
              <w:t>49.7</w:t>
              <w:tab/>
              <w:t>50.9 49.2</w:t>
            </w:r>
            <w:r>
              <w:rPr>
                <w:spacing w:val="29"/>
                <w:sz w:val="14"/>
              </w:rPr>
              <w:t> </w:t>
            </w:r>
            <w:r>
              <w:rPr>
                <w:sz w:val="14"/>
              </w:rPr>
              <w:t>52.3</w:t>
            </w:r>
          </w:p>
        </w:tc>
      </w:tr>
      <w:tr>
        <w:trPr>
          <w:trHeight w:val="194" w:hRule="atLeast"/>
        </w:trPr>
        <w:tc>
          <w:tcPr>
            <w:tcW w:w="2485" w:type="dxa"/>
          </w:tcPr>
          <w:p>
            <w:pPr>
              <w:pStyle w:val="TableParagraph"/>
              <w:spacing w:line="118" w:lineRule="exact" w:before="56"/>
              <w:ind w:left="50"/>
              <w:rPr>
                <w:sz w:val="12"/>
              </w:rPr>
            </w:pPr>
            <w:r>
              <w:rPr>
                <w:sz w:val="12"/>
              </w:rPr>
              <w:t>Sources: CIPS and BCC.</w:t>
            </w:r>
          </w:p>
        </w:tc>
        <w:tc>
          <w:tcPr>
            <w:tcW w:w="1715" w:type="dxa"/>
          </w:tcPr>
          <w:p>
            <w:pPr>
              <w:pStyle w:val="TableParagraph"/>
              <w:rPr>
                <w:sz w:val="12"/>
              </w:rPr>
            </w:pPr>
          </w:p>
        </w:tc>
      </w:tr>
    </w:tbl>
    <w:p>
      <w:pPr>
        <w:spacing w:line="208" w:lineRule="auto" w:before="116"/>
        <w:ind w:left="430" w:right="20" w:hanging="240"/>
        <w:jc w:val="left"/>
        <w:rPr>
          <w:sz w:val="12"/>
        </w:rPr>
      </w:pPr>
      <w:r>
        <w:rPr>
          <w:sz w:val="12"/>
        </w:rPr>
        <w:t>(a) The CIPS survey is a monthly series; the quarterly values shown are averages over the relevant three months.</w:t>
      </w:r>
    </w:p>
    <w:p>
      <w:pPr>
        <w:pStyle w:val="BodyText"/>
        <w:rPr>
          <w:sz w:val="12"/>
        </w:rPr>
      </w:pPr>
    </w:p>
    <w:p>
      <w:pPr>
        <w:pStyle w:val="BodyText"/>
        <w:rPr>
          <w:sz w:val="12"/>
        </w:rPr>
      </w:pPr>
    </w:p>
    <w:p>
      <w:pPr>
        <w:pStyle w:val="BodyText"/>
        <w:rPr>
          <w:sz w:val="12"/>
        </w:rPr>
      </w:pPr>
    </w:p>
    <w:p>
      <w:pPr>
        <w:pStyle w:val="BodyText"/>
        <w:rPr>
          <w:sz w:val="12"/>
        </w:rPr>
      </w:pPr>
    </w:p>
    <w:p>
      <w:pPr>
        <w:pStyle w:val="Heading9"/>
        <w:spacing w:before="104"/>
        <w:ind w:left="200"/>
      </w:pPr>
      <w:r>
        <w:rPr>
          <w:color w:val="0093C1"/>
        </w:rPr>
        <w:t>Chart 4.7</w:t>
      </w:r>
    </w:p>
    <w:p>
      <w:pPr>
        <w:spacing w:before="10"/>
        <w:ind w:left="200" w:right="0" w:firstLine="0"/>
        <w:jc w:val="left"/>
        <w:rPr>
          <w:sz w:val="12"/>
        </w:rPr>
      </w:pPr>
      <w:r>
        <w:rPr>
          <w:b/>
          <w:color w:val="0093C1"/>
          <w:sz w:val="20"/>
        </w:rPr>
        <w:t>Retail price inflation</w:t>
      </w:r>
      <w:r>
        <w:rPr>
          <w:position w:val="4"/>
          <w:sz w:val="12"/>
        </w:rPr>
        <w:t>(a)</w:t>
      </w:r>
    </w:p>
    <w:p>
      <w:pPr>
        <w:spacing w:before="154"/>
        <w:ind w:left="1710" w:right="0" w:firstLine="0"/>
        <w:jc w:val="left"/>
        <w:rPr>
          <w:sz w:val="12"/>
        </w:rPr>
      </w:pPr>
      <w:r>
        <w:rPr/>
        <w:pict>
          <v:group style="position:absolute;margin-left:44.632999pt;margin-top:22.829182pt;width:159.4pt;height:105pt;mso-position-horizontal-relative:page;mso-position-vertical-relative:paragraph;z-index:16184320" coordorigin="893,457" coordsize="3188,2100">
            <v:shape style="position:absolute;left:1030;top:676;width:408;height:400" type="#_x0000_t75" stroked="false">
              <v:imagedata r:id="rId137" o:title=""/>
            </v:shape>
            <v:shape style="position:absolute;left:1427;top:686;width:253;height:775" coordorigin="1428,686" coordsize="253,775" path="m1428,686l1480,1131m1480,1131l1533,1199m1533,1199l1575,1131m1575,1131l1628,1331m1628,1331l1680,1461e" filled="false" stroked="true" strokeweight="1pt" strokecolor="#0066a5">
              <v:path arrowok="t"/>
              <v:stroke dashstyle="solid"/>
            </v:shape>
            <v:line style="position:absolute" from="1670,1463" to="1733,1463" stroked="true" strokeweight="1.125pt" strokecolor="#0066a5">
              <v:stroke dashstyle="solid"/>
            </v:line>
            <v:shape style="position:absolute;left:1722;top:1461;width:250;height:380" coordorigin="1723,1461" coordsize="250,380" path="m1723,1461l1775,1644m1775,1644l1828,1776m1828,1776l1868,1841m1868,1841l1920,1776m1920,1776l1973,1841e" filled="false" stroked="true" strokeweight="1pt" strokecolor="#0066a5">
              <v:path arrowok="t"/>
              <v:stroke dashstyle="solid"/>
            </v:shape>
            <v:line style="position:absolute" from="1963,1843" to="2025,1843" stroked="true" strokeweight="1.125pt" strokecolor="#0066a5">
              <v:stroke dashstyle="solid"/>
            </v:line>
            <v:line style="position:absolute" from="2015,1841" to="2068,1461" stroked="true" strokeweight="1pt" strokecolor="#0066a5">
              <v:stroke dashstyle="solid"/>
            </v:line>
            <v:line style="position:absolute" from="2058,1463" to="2130,1463" stroked="true" strokeweight="1.125pt" strokecolor="#0066a5">
              <v:stroke dashstyle="solid"/>
            </v:line>
            <v:shape style="position:absolute;left:2120;top:818;width:535;height:825" coordorigin="2120,819" coordsize="535,825" path="m2120,1461l2163,1579m2163,1579l2215,1396m2215,1396l2268,1461m2268,1461l2308,1511m2308,1511l2360,1644m2360,1644l2413,1511m2413,1511l2455,1331m2455,1331l2508,1066m2508,1066l2550,951m2550,951l2603,884m2603,884l2655,819e" filled="false" stroked="true" strokeweight="1pt" strokecolor="#0066a5">
              <v:path arrowok="t"/>
              <v:stroke dashstyle="solid"/>
            </v:shape>
            <v:line style="position:absolute" from="2645,820" to="2705,820" stroked="true" strokeweight="1.125pt" strokecolor="#0066a5">
              <v:stroke dashstyle="solid"/>
            </v:line>
            <v:shape style="position:absolute;left:2695;top:506;width:733;height:1335" coordorigin="2695,506" coordsize="733,1335" path="m2695,819l2748,884m2748,884l2800,1066m2800,1066l2843,1016m2843,1016l2895,951m2895,951l2948,621m2948,621l2990,506m2990,506l3040,819m3040,819l3093,951m3093,951l3135,1066m3135,1066l3188,1131m3188,1131l3240,1199m3240,1199l3283,1264m3283,1264l3335,1396m3335,1396l3388,1644m3388,1644l3428,1841e" filled="false" stroked="true" strokeweight="1pt" strokecolor="#0066a5">
              <v:path arrowok="t"/>
              <v:stroke dashstyle="solid"/>
            </v:shape>
            <v:line style="position:absolute" from="3418,1843" to="3490,1843" stroked="true" strokeweight="1.125pt" strokecolor="#0066a5">
              <v:stroke dashstyle="solid"/>
            </v:line>
            <v:shape style="position:absolute;left:3480;top:1841;width:95;height:513" coordorigin="3480,1841" coordsize="95,513" path="m3480,1841l3533,2156m3533,2156l3575,2354e" filled="false" stroked="true" strokeweight="1pt" strokecolor="#0066a5">
              <v:path arrowok="t"/>
              <v:stroke dashstyle="solid"/>
            </v:shape>
            <v:shape style="position:absolute;left:3565;top:2355;width:125;height:2" coordorigin="3565,2355" coordsize="125,0" path="m3565,2355l3638,2355m3618,2355l3690,2355e" filled="false" stroked="true" strokeweight="1.125pt" strokecolor="#0066a5">
              <v:path arrowok="t"/>
              <v:stroke dashstyle="solid"/>
            </v:shape>
            <v:line style="position:absolute" from="3680,2354" to="3723,2469" stroked="true" strokeweight="1pt" strokecolor="#0066a5">
              <v:stroke dashstyle="solid"/>
            </v:line>
            <v:line style="position:absolute" from="3713,2470" to="3785,2470" stroked="true" strokeweight="1.125pt" strokecolor="#0066a5">
              <v:stroke dashstyle="solid"/>
            </v:line>
            <v:shape style="position:absolute;left:3775;top:2023;width:145;height:445" coordorigin="3775,2024" coordsize="145,445" path="m3775,2469l3828,2419m3828,2419l3868,2289m3868,2289l3920,2024e" filled="false" stroked="true" strokeweight="1pt" strokecolor="#0066a5">
              <v:path arrowok="t"/>
              <v:stroke dashstyle="solid"/>
            </v:shape>
            <v:shape style="position:absolute;left:1040;top:1396;width:243;height:115" coordorigin="1040,1396" coordsize="243,115" path="m1040,1396l1093,1461m1093,1461l1135,1396m1135,1396l1188,1511m1188,1511l1240,1461m1240,1461l1283,1396e" filled="false" stroked="true" strokeweight="1pt" strokecolor="#ed1b2d">
              <v:path arrowok="t"/>
              <v:stroke dashstyle="solid"/>
            </v:shape>
            <v:line style="position:absolute" from="1273,1398" to="1345,1398" stroked="true" strokeweight="1.125pt" strokecolor="#ed1b2d">
              <v:stroke dashstyle="solid"/>
            </v:line>
            <v:shape style="position:absolute;left:1335;top:1198;width:145;height:198" coordorigin="1335,1199" coordsize="145,198" path="m1335,1396l1388,1331m1388,1331l1428,1199m1428,1199l1480,1331e" filled="false" stroked="true" strokeweight="1pt" strokecolor="#ed1b2d">
              <v:path arrowok="t"/>
              <v:stroke dashstyle="solid"/>
            </v:shape>
            <v:line style="position:absolute" from="1470,1333" to="1543,1333" stroked="true" strokeweight="1.125pt" strokecolor="#ed1b2d">
              <v:stroke dashstyle="solid"/>
            </v:line>
            <v:shape style="position:absolute;left:1532;top:1263;width:148;height:133" coordorigin="1533,1264" coordsize="148,133" path="m1533,1331l1575,1264m1575,1264l1628,1396m1628,1396l1680,1331e" filled="false" stroked="true" strokeweight="1pt" strokecolor="#ed1b2d">
              <v:path arrowok="t"/>
              <v:stroke dashstyle="solid"/>
            </v:shape>
            <v:shape style="position:absolute;left:1670;top:1332;width:115;height:2" coordorigin="1670,1333" coordsize="115,0" path="m1670,1333l1733,1333m1713,1333l1785,1333e" filled="false" stroked="true" strokeweight="1.125pt" strokecolor="#ed1b2d">
              <v:path arrowok="t"/>
              <v:stroke dashstyle="solid"/>
            </v:shape>
            <v:line style="position:absolute" from="1775,1331" to="1828,1396" stroked="true" strokeweight="1pt" strokecolor="#ed1b2d">
              <v:stroke dashstyle="solid"/>
            </v:line>
            <v:shape style="position:absolute;left:1817;top:1397;width:165;height:2" coordorigin="1818,1398" coordsize="165,0" path="m1818,1398l1878,1398m1858,1398l1930,1398m1910,1398l1983,1398e" filled="false" stroked="true" strokeweight="1.125pt" strokecolor="#ed1b2d">
              <v:path arrowok="t"/>
              <v:stroke dashstyle="solid"/>
            </v:shape>
            <v:shape style="position:absolute;left:1972;top:1066;width:95;height:330" coordorigin="1973,1066" coordsize="95,330" path="m1973,1396l2015,1331m2015,1331l2068,1066e" filled="false" stroked="true" strokeweight="1pt" strokecolor="#ed1b2d">
              <v:path arrowok="t"/>
              <v:stroke dashstyle="solid"/>
            </v:shape>
            <v:line style="position:absolute" from="2058,1068" to="2130,1068" stroked="true" strokeweight="1.125pt" strokecolor="#ed1b2d">
              <v:stroke dashstyle="solid"/>
            </v:line>
            <v:line style="position:absolute" from="2120,1066" to="2163,1199" stroked="true" strokeweight="1pt" strokecolor="#ed1b2d">
              <v:stroke dashstyle="solid"/>
            </v:line>
            <v:line style="position:absolute" from="2153,1200" to="2225,1200" stroked="true" strokeweight="1.125pt" strokecolor="#ed1b2d">
              <v:stroke dashstyle="solid"/>
            </v:line>
            <v:shape style="position:absolute;left:2215;top:1198;width:145;height:380" coordorigin="2215,1199" coordsize="145,380" path="m2215,1199l2268,1331m2268,1331l2308,1461m2308,1461l2360,1579e" filled="false" stroked="true" strokeweight="1pt" strokecolor="#ed1b2d">
              <v:path arrowok="t"/>
              <v:stroke dashstyle="solid"/>
            </v:shape>
            <v:line style="position:absolute" from="2350,1580" to="2423,1580" stroked="true" strokeweight="1.125pt" strokecolor="#ed1b2d">
              <v:stroke dashstyle="solid"/>
            </v:line>
            <v:shape style="position:absolute;left:2412;top:1263;width:243;height:315" coordorigin="2413,1264" coordsize="243,315" path="m2413,1579l2455,1461m2455,1461l2508,1264m2508,1264l2550,1396m2550,1396l2603,1461m2603,1461l2655,1396e" filled="false" stroked="true" strokeweight="1pt" strokecolor="#ed1b2d">
              <v:path arrowok="t"/>
              <v:stroke dashstyle="solid"/>
            </v:shape>
            <v:line style="position:absolute" from="2645,1398" to="2705,1398" stroked="true" strokeweight="1.125pt" strokecolor="#ed1b2d">
              <v:stroke dashstyle="solid"/>
            </v:line>
            <v:shape style="position:absolute;left:2695;top:1396;width:148;height:183" coordorigin="2695,1396" coordsize="148,183" path="m2695,1396l2748,1461m2748,1461l2800,1579m2800,1579l2843,1511e" filled="false" stroked="true" strokeweight="1pt" strokecolor="#ed1b2d">
              <v:path arrowok="t"/>
              <v:stroke dashstyle="solid"/>
            </v:shape>
            <v:line style="position:absolute" from="2833,1513" to="2905,1513" stroked="true" strokeweight="1.125pt" strokecolor="#ed1b2d">
              <v:stroke dashstyle="solid"/>
            </v:line>
            <v:shape style="position:absolute;left:2895;top:1131;width:240;height:448" coordorigin="2895,1131" coordsize="240,448" path="m2895,1511l2948,1264m2948,1264l2990,1131m2990,1131l3040,1396m3040,1396l3093,1511m3093,1511l3135,1579e" filled="false" stroked="true" strokeweight="1pt" strokecolor="#ed1b2d">
              <v:path arrowok="t"/>
              <v:stroke dashstyle="solid"/>
            </v:shape>
            <v:shape style="position:absolute;left:3125;top:1580;width:168;height:2" coordorigin="3125,1580" coordsize="168,0" path="m3125,1580l3198,1580m3178,1580l3250,1580m3230,1580l3293,1580e" filled="false" stroked="true" strokeweight="1.125pt" strokecolor="#ed1b2d">
              <v:path arrowok="t"/>
              <v:stroke dashstyle="solid"/>
            </v:shape>
            <v:line style="position:absolute" from="3283,1579" to="3335,1511" stroked="true" strokeweight="1pt" strokecolor="#ed1b2d">
              <v:stroke dashstyle="solid"/>
            </v:line>
            <v:line style="position:absolute" from="3325,1513" to="3398,1513" stroked="true" strokeweight="1.125pt" strokecolor="#ed1b2d">
              <v:stroke dashstyle="solid"/>
            </v:line>
            <v:shape style="position:absolute;left:3387;top:1461;width:240;height:380" coordorigin="3388,1461" coordsize="240,380" path="m3388,1511l3428,1644m3428,1644l3480,1461m3480,1461l3533,1644m3533,1644l3575,1841m3575,1841l3628,1776e" filled="false" stroked="true" strokeweight="1pt" strokecolor="#ed1b2d">
              <v:path arrowok="t"/>
              <v:stroke dashstyle="solid"/>
            </v:shape>
            <v:line style="position:absolute" from="3618,1778" to="3690,1778" stroked="true" strokeweight="1.125pt" strokecolor="#ed1b2d">
              <v:stroke dashstyle="solid"/>
            </v:line>
            <v:line style="position:absolute" from="3680,1776" to="3723,1841" stroked="true" strokeweight="1pt" strokecolor="#ed1b2d">
              <v:stroke dashstyle="solid"/>
            </v:line>
            <v:line style="position:absolute" from="3713,1843" to="3785,1843" stroked="true" strokeweight="1.125pt" strokecolor="#ed1b2d">
              <v:stroke dashstyle="solid"/>
            </v:line>
            <v:line style="position:absolute" from="3775,1841" to="3828,1776" stroked="true" strokeweight="1pt" strokecolor="#ed1b2d">
              <v:stroke dashstyle="solid"/>
            </v:line>
            <v:shape style="position:absolute;left:3817;top:1777;width:113;height:2" coordorigin="3818,1778" coordsize="113,0" path="m3818,1778l3878,1778m3858,1778l3930,1778e" filled="false" stroked="true" strokeweight="1.125pt" strokecolor="#ed1b2d">
              <v:path arrowok="t"/>
              <v:stroke dashstyle="solid"/>
            </v:shape>
            <v:shape style="position:absolute;left:1040;top:1711;width:243;height:313" coordorigin="1040,1711" coordsize="243,313" path="m1040,1974l1093,2024m1093,2024l1135,1974m1135,1974l1188,1841m1188,1841l1240,1776m1240,1776l1283,1711e" filled="false" stroked="true" strokeweight="1pt" strokecolor="#95459a">
              <v:path arrowok="t"/>
              <v:stroke dashstyle="solid"/>
            </v:shape>
            <v:line style="position:absolute" from="1273,1713" to="1345,1713" stroked="true" strokeweight="1.125pt" strokecolor="#95459a">
              <v:stroke dashstyle="solid"/>
            </v:line>
            <v:shape style="position:absolute;left:1335;top:1511;width:145;height:200" coordorigin="1335,1511" coordsize="145,200" path="m1335,1711l1388,1579m1388,1579l1428,1511m1428,1511l1480,1644e" filled="false" stroked="true" strokeweight="1pt" strokecolor="#95459a">
              <v:path arrowok="t"/>
              <v:stroke dashstyle="solid"/>
            </v:shape>
            <v:line style="position:absolute" from="1470,1645" to="1543,1645" stroked="true" strokeweight="1.125pt" strokecolor="#95459a">
              <v:stroke dashstyle="solid"/>
            </v:line>
            <v:line style="position:absolute" from="1533,1644" to="1575,1579" stroked="true" strokeweight="1pt" strokecolor="#95459a">
              <v:stroke dashstyle="solid"/>
            </v:line>
            <v:shape style="position:absolute;left:1565;top:1580;width:125;height:2" coordorigin="1565,1580" coordsize="125,0" path="m1565,1580l1638,1580m1618,1580l1690,1580e" filled="false" stroked="true" strokeweight="1.125pt" strokecolor="#95459a">
              <v:path arrowok="t"/>
              <v:stroke dashstyle="solid"/>
            </v:shape>
            <v:line style="position:absolute" from="1680,1579" to="1723,1511" stroked="true" strokeweight="1pt" strokecolor="#95459a">
              <v:stroke dashstyle="solid"/>
            </v:line>
            <v:line style="position:absolute" from="1713,1513" to="1785,1513" stroked="true" strokeweight="1.125pt" strokecolor="#95459a">
              <v:stroke dashstyle="solid"/>
            </v:line>
            <v:line style="position:absolute" from="1775,1511" to="1828,1711" stroked="true" strokeweight="1pt" strokecolor="#95459a">
              <v:stroke dashstyle="solid"/>
            </v:line>
            <v:line style="position:absolute" from="1818,1713" to="1878,1713" stroked="true" strokeweight="1.125pt" strokecolor="#95459a">
              <v:stroke dashstyle="solid"/>
            </v:line>
            <v:line style="position:absolute" from="1868,1711" to="1920,1644" stroked="true" strokeweight="1pt" strokecolor="#95459a">
              <v:stroke dashstyle="solid"/>
            </v:line>
            <v:line style="position:absolute" from="1910,1645" to="1983,1645" stroked="true" strokeweight="1.125pt" strokecolor="#95459a">
              <v:stroke dashstyle="solid"/>
            </v:line>
            <v:shape style="position:absolute;left:1972;top:1263;width:95;height:380" coordorigin="1973,1264" coordsize="95,380" path="m1973,1644l2015,1579m2015,1579l2068,1264e" filled="false" stroked="true" strokeweight="1pt" strokecolor="#95459a">
              <v:path arrowok="t"/>
              <v:stroke dashstyle="solid"/>
            </v:shape>
            <v:line style="position:absolute" from="2058,1265" to="2130,1265" stroked="true" strokeweight="1.125pt" strokecolor="#95459a">
              <v:stroke dashstyle="solid"/>
            </v:line>
            <v:shape style="position:absolute;left:2120;top:1263;width:240;height:645" coordorigin="2120,1264" coordsize="240,645" path="m2120,1264l2163,1461m2163,1461l2215,1396m2215,1396l2268,1579m2268,1579l2308,1711m2308,1711l2360,1909e" filled="false" stroked="true" strokeweight="1pt" strokecolor="#95459a">
              <v:path arrowok="t"/>
              <v:stroke dashstyle="solid"/>
            </v:shape>
            <v:line style="position:absolute" from="2350,1910" to="2423,1910" stroked="true" strokeweight="1.125pt" strokecolor="#95459a">
              <v:stroke dashstyle="solid"/>
            </v:line>
            <v:line style="position:absolute" from="2413,1909" to="2455,1776" stroked="true" strokeweight="1pt" strokecolor="#95459a">
              <v:stroke dashstyle="solid"/>
            </v:line>
            <v:line style="position:absolute" from="2445,1778" to="2518,1778" stroked="true" strokeweight="1.125pt" strokecolor="#95459a">
              <v:stroke dashstyle="solid"/>
            </v:line>
            <v:shape style="position:absolute;left:2507;top:1776;width:335;height:198" coordorigin="2508,1776" coordsize="335,198" path="m2508,1776l2550,1841m2550,1841l2603,1909m2603,1909l2655,1776m2655,1776l2695,1841m2695,1841l2748,1776m2748,1776l2800,1974m2800,1974l2843,1841e" filled="false" stroked="true" strokeweight="1pt" strokecolor="#95459a">
              <v:path arrowok="t"/>
              <v:stroke dashstyle="solid"/>
            </v:shape>
            <v:line style="position:absolute" from="2833,1843" to="2905,1843" stroked="true" strokeweight="1.125pt" strokecolor="#95459a">
              <v:stroke dashstyle="solid"/>
            </v:line>
            <v:shape style="position:absolute;left:2895;top:1578;width:198;height:330" coordorigin="2895,1579" coordsize="198,330" path="m2895,1841l2948,1776m2948,1776l2990,1579m2990,1579l3040,1909m3040,1909l3093,1841e" filled="false" stroked="true" strokeweight="1pt" strokecolor="#95459a">
              <v:path arrowok="t"/>
              <v:stroke dashstyle="solid"/>
            </v:shape>
            <v:line style="position:absolute" from="3083,1843" to="3145,1843" stroked="true" strokeweight="1.125pt" strokecolor="#95459a">
              <v:stroke dashstyle="solid"/>
            </v:line>
            <v:shape style="position:absolute;left:3135;top:1841;width:105;height:183" coordorigin="3135,1841" coordsize="105,183" path="m3135,1841l3188,1909m3188,1909l3240,2024e" filled="false" stroked="true" strokeweight="1pt" strokecolor="#95459a">
              <v:path arrowok="t"/>
              <v:stroke dashstyle="solid"/>
            </v:shape>
            <v:line style="position:absolute" from="3230,2025" to="3293,2025" stroked="true" strokeweight="1.125pt" strokecolor="#95459a">
              <v:stroke dashstyle="solid"/>
            </v:line>
            <v:line style="position:absolute" from="3283,2024" to="3335,1909" stroked="true" strokeweight="1pt" strokecolor="#95459a">
              <v:stroke dashstyle="solid"/>
            </v:line>
            <v:line style="position:absolute" from="3325,1910" to="3398,1910" stroked="true" strokeweight="1.125pt" strokecolor="#95459a">
              <v:stroke dashstyle="solid"/>
            </v:line>
            <v:shape style="position:absolute;left:3387;top:1908;width:188;height:313" coordorigin="3388,1909" coordsize="188,313" path="m3388,1909l3428,2024m3428,2024l3480,2089m3480,2089l3533,2024m3533,2024l3575,2221e" filled="false" stroked="true" strokeweight="1pt" strokecolor="#95459a">
              <v:path arrowok="t"/>
              <v:stroke dashstyle="solid"/>
            </v:shape>
            <v:line style="position:absolute" from="3565,2223" to="3638,2223" stroked="true" strokeweight="1.125pt" strokecolor="#95459a">
              <v:stroke dashstyle="solid"/>
            </v:line>
            <v:shape style="position:absolute;left:3627;top:2023;width:293;height:330" coordorigin="3628,2024" coordsize="293,330" path="m3628,2221l3680,2156m3680,2156l3723,2289m3723,2289l3775,2354m3775,2354l3828,2221m3828,2221l3868,2089m3868,2089l3920,2024e" filled="false" stroked="true" strokeweight="1pt" strokecolor="#95459a">
              <v:path arrowok="t"/>
              <v:stroke dashstyle="solid"/>
            </v:shape>
            <v:shape style="position:absolute;left:892;top:632;width:3188;height:1920" coordorigin="893,632" coordsize="3188,1920" path="m988,632l901,632m988,1591l901,1591m988,2231l901,2231m988,1272l901,1272m988,1911l901,1911m988,2550l901,2550m979,952l893,952m4080,633l3993,633m4080,1592l3993,1592m4080,2232l3993,2232m4080,1273l3993,1273m4080,1912l3993,1912m4080,2551l3993,2551m4072,953l3985,953e" filled="false" stroked="true" strokeweight=".5pt" strokecolor="#000000">
              <v:path arrowok="t"/>
              <v:stroke dashstyle="solid"/>
            </v:shape>
            <v:shape style="position:absolute;left:2757;top:456;width:207;height:133" type="#_x0000_t202" filled="false" stroked="false">
              <v:textbox inset="0,0,0,0">
                <w:txbxContent>
                  <w:p>
                    <w:pPr>
                      <w:spacing w:line="133" w:lineRule="exact" w:before="0"/>
                      <w:ind w:left="0" w:right="0" w:firstLine="0"/>
                      <w:jc w:val="left"/>
                      <w:rPr>
                        <w:sz w:val="12"/>
                      </w:rPr>
                    </w:pPr>
                    <w:r>
                      <w:rPr>
                        <w:color w:val="231F20"/>
                        <w:sz w:val="12"/>
                      </w:rPr>
                      <w:t>RPI</w:t>
                    </w:r>
                  </w:p>
                </w:txbxContent>
              </v:textbox>
              <w10:wrap type="none"/>
            </v:shape>
            <v:shape style="position:absolute;left:2647;top:1186;width:294;height:133" type="#_x0000_t202" filled="false" stroked="false">
              <v:textbox inset="0,0,0,0">
                <w:txbxContent>
                  <w:p>
                    <w:pPr>
                      <w:spacing w:line="133" w:lineRule="exact" w:before="0"/>
                      <w:ind w:left="0" w:right="0" w:firstLine="0"/>
                      <w:jc w:val="left"/>
                      <w:rPr>
                        <w:sz w:val="12"/>
                      </w:rPr>
                    </w:pPr>
                    <w:r>
                      <w:rPr>
                        <w:color w:val="231F20"/>
                        <w:sz w:val="12"/>
                      </w:rPr>
                      <w:t>RPIX</w:t>
                    </w:r>
                  </w:p>
                </w:txbxContent>
              </v:textbox>
              <w10:wrap type="none"/>
            </v:shape>
            <v:shape style="position:absolute;left:2502;top:1956;width:294;height:133" type="#_x0000_t202" filled="false" stroked="false">
              <v:textbox inset="0,0,0,0">
                <w:txbxContent>
                  <w:p>
                    <w:pPr>
                      <w:spacing w:line="133" w:lineRule="exact" w:before="0"/>
                      <w:ind w:left="0" w:right="0" w:firstLine="0"/>
                      <w:jc w:val="left"/>
                      <w:rPr>
                        <w:sz w:val="12"/>
                      </w:rPr>
                    </w:pPr>
                    <w:r>
                      <w:rPr>
                        <w:color w:val="231F20"/>
                        <w:sz w:val="12"/>
                      </w:rPr>
                      <w:t>RPIY</w:t>
                    </w:r>
                  </w:p>
                </w:txbxContent>
              </v:textbox>
              <w10:wrap type="none"/>
            </v:shape>
            <w10:wrap type="none"/>
          </v:group>
        </w:pict>
      </w:r>
      <w:r>
        <w:rPr/>
        <w:pict>
          <v:line style="position:absolute;mso-position-horizontal-relative:page;mso-position-vertical-relative:paragraph;z-index:16184832" from="49.382999pt,15.63378pt" to="45.049999pt,15.63378pt" stroked="true" strokeweight=".5pt" strokecolor="#000000">
            <v:stroke dashstyle="solid"/>
            <w10:wrap type="none"/>
          </v:line>
        </w:pict>
      </w:r>
      <w:r>
        <w:rPr>
          <w:color w:val="231F20"/>
          <w:sz w:val="12"/>
        </w:rPr>
        <w:t>Percentage changes on a year earli</w:t>
      </w:r>
      <w:r>
        <w:rPr>
          <w:color w:val="231F20"/>
          <w:sz w:val="12"/>
          <w:u w:val="single" w:color="000000"/>
        </w:rPr>
        <w:t>er</w:t>
      </w:r>
      <w:r>
        <w:rPr>
          <w:color w:val="231F20"/>
          <w:spacing w:val="20"/>
          <w:sz w:val="12"/>
        </w:rPr>
        <w:t> </w:t>
      </w:r>
      <w:r>
        <w:rPr>
          <w:color w:val="231F20"/>
          <w:position w:val="-7"/>
          <w:sz w:val="12"/>
        </w:rPr>
        <w:t>4.5</w:t>
      </w:r>
    </w:p>
    <w:p>
      <w:pPr>
        <w:spacing w:before="184"/>
        <w:ind w:left="0" w:right="806" w:firstLine="0"/>
        <w:jc w:val="right"/>
        <w:rPr>
          <w:sz w:val="12"/>
        </w:rPr>
      </w:pPr>
      <w:r>
        <w:rPr>
          <w:color w:val="231F20"/>
          <w:sz w:val="12"/>
        </w:rPr>
        <w:t>4.0</w:t>
      </w:r>
    </w:p>
    <w:p>
      <w:pPr>
        <w:pStyle w:val="BodyText"/>
        <w:spacing w:before="9"/>
        <w:rPr>
          <w:sz w:val="15"/>
        </w:rPr>
      </w:pPr>
    </w:p>
    <w:p>
      <w:pPr>
        <w:spacing w:before="0"/>
        <w:ind w:left="0" w:right="806" w:firstLine="0"/>
        <w:jc w:val="right"/>
        <w:rPr>
          <w:sz w:val="12"/>
        </w:rPr>
      </w:pPr>
      <w:r>
        <w:rPr>
          <w:color w:val="231F20"/>
          <w:sz w:val="12"/>
        </w:rPr>
        <w:t>3.5</w:t>
      </w:r>
    </w:p>
    <w:p>
      <w:pPr>
        <w:pStyle w:val="BodyText"/>
        <w:spacing w:before="8"/>
        <w:rPr>
          <w:sz w:val="15"/>
        </w:rPr>
      </w:pPr>
    </w:p>
    <w:p>
      <w:pPr>
        <w:spacing w:before="1"/>
        <w:ind w:left="0" w:right="806" w:firstLine="0"/>
        <w:jc w:val="right"/>
        <w:rPr>
          <w:sz w:val="12"/>
        </w:rPr>
      </w:pPr>
      <w:r>
        <w:rPr>
          <w:color w:val="231F20"/>
          <w:sz w:val="12"/>
        </w:rPr>
        <w:t>3.0</w:t>
      </w:r>
    </w:p>
    <w:p>
      <w:pPr>
        <w:pStyle w:val="Heading6"/>
        <w:spacing w:line="242" w:lineRule="auto" w:before="3"/>
        <w:ind w:left="140" w:right="174"/>
      </w:pPr>
      <w:r>
        <w:rPr/>
        <w:br w:type="column"/>
      </w:r>
      <w:r>
        <w:rPr/>
        <w:t>have risen by more than 4% in the year to 1999 Q3. </w:t>
      </w:r>
      <w:r>
        <w:rPr>
          <w:spacing w:val="-6"/>
        </w:rPr>
        <w:t>And </w:t>
      </w:r>
      <w:r>
        <w:rPr/>
        <w:t>the CIPS service sector survey indicated that input cost inflation had increased in recent months: the input price index rose from an average of 54.5 in Q3 to 57.9 in Q4, with firms citing higher wage inflation as a significant factor. While competitive pressures were reported to have been important in containing selling prices, the survey’s measure of prices charged also increased in Q4, rising above the no-change index level of 50 (see </w:t>
      </w:r>
      <w:r>
        <w:rPr>
          <w:spacing w:val="-4"/>
        </w:rPr>
        <w:t>Table </w:t>
      </w:r>
      <w:r>
        <w:rPr/>
        <w:t>4.B).  The BCC survey also indicated that services output price inflation picked up in 1999 Q4.</w:t>
      </w:r>
    </w:p>
    <w:p>
      <w:pPr>
        <w:pStyle w:val="BodyText"/>
        <w:spacing w:before="2"/>
        <w:rPr>
          <w:sz w:val="29"/>
        </w:rPr>
      </w:pPr>
    </w:p>
    <w:p>
      <w:pPr>
        <w:pStyle w:val="Heading3"/>
        <w:numPr>
          <w:ilvl w:val="1"/>
          <w:numId w:val="28"/>
        </w:numPr>
        <w:tabs>
          <w:tab w:pos="3919" w:val="left" w:leader="none"/>
          <w:tab w:pos="3920" w:val="left" w:leader="none"/>
          <w:tab w:pos="5639" w:val="left" w:leader="none"/>
        </w:tabs>
        <w:spacing w:line="240" w:lineRule="auto" w:before="1" w:after="0"/>
        <w:ind w:left="3919" w:right="0" w:hanging="3780"/>
        <w:jc w:val="left"/>
        <w:rPr>
          <w:color w:val="009483"/>
        </w:rPr>
      </w:pPr>
      <w:r>
        <w:rPr>
          <w:color w:val="009483"/>
          <w:u w:val="thick" w:color="0093C1"/>
        </w:rPr>
        <w:t>Retail prices</w:t>
        <w:tab/>
      </w:r>
    </w:p>
    <w:p>
      <w:pPr>
        <w:spacing w:line="242" w:lineRule="auto" w:before="260"/>
        <w:ind w:left="140" w:right="108" w:firstLine="0"/>
        <w:jc w:val="left"/>
        <w:rPr>
          <w:sz w:val="24"/>
        </w:rPr>
      </w:pPr>
      <w:r>
        <w:rPr>
          <w:sz w:val="24"/>
        </w:rPr>
        <w:t>The rate of retail price inflation excluding mortgage interest payments (RPIX) has remained below the government’s 2</w:t>
      </w:r>
      <w:r>
        <w:rPr>
          <w:position w:val="8"/>
          <w:sz w:val="12"/>
        </w:rPr>
        <w:t>1</w:t>
      </w:r>
      <w:r>
        <w:rPr>
          <w:sz w:val="24"/>
        </w:rPr>
        <w:t>/</w:t>
      </w:r>
      <w:r>
        <w:rPr>
          <w:sz w:val="12"/>
        </w:rPr>
        <w:t>2</w:t>
      </w:r>
      <w:r>
        <w:rPr>
          <w:sz w:val="24"/>
        </w:rPr>
        <w:t>% target since the November </w:t>
      </w:r>
      <w:r>
        <w:rPr>
          <w:i/>
          <w:sz w:val="24"/>
        </w:rPr>
        <w:t>Report </w:t>
      </w:r>
      <w:r>
        <w:rPr>
          <w:sz w:val="24"/>
        </w:rPr>
        <w:t>(see Chart 4.7). But RPI inflation has risen, to 1.8% in December, as the effects of earlier declines in mortgage interest rates have dropped out of the calculation. The most recent rises in official interest rates will also tend to raise RPI inflation relative to RPIX inflation.</w:t>
      </w:r>
    </w:p>
    <w:p>
      <w:pPr>
        <w:spacing w:after="0" w:line="242" w:lineRule="auto"/>
        <w:jc w:val="left"/>
        <w:rPr>
          <w:sz w:val="24"/>
        </w:rPr>
        <w:sectPr>
          <w:type w:val="continuous"/>
          <w:pgSz w:w="11900" w:h="16840"/>
          <w:pgMar w:top="1220" w:bottom="280" w:left="620" w:right="640"/>
          <w:cols w:num="2" w:equalWidth="0">
            <w:col w:w="4469" w:space="371"/>
            <w:col w:w="58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0"/>
        </w:rPr>
      </w:pPr>
    </w:p>
    <w:p>
      <w:pPr>
        <w:pStyle w:val="BodyText"/>
        <w:spacing w:line="20" w:lineRule="exact"/>
        <w:ind w:left="276"/>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p>
    <w:p>
      <w:pPr>
        <w:pStyle w:val="BodyText"/>
        <w:rPr>
          <w:sz w:val="12"/>
        </w:rPr>
      </w:pPr>
    </w:p>
    <w:p>
      <w:pPr>
        <w:tabs>
          <w:tab w:pos="1255" w:val="left" w:leader="none"/>
          <w:tab w:pos="1840" w:val="left" w:leader="none"/>
          <w:tab w:pos="2417" w:val="left" w:leader="none"/>
          <w:tab w:pos="3005" w:val="left" w:leader="none"/>
        </w:tabs>
        <w:spacing w:before="73"/>
        <w:ind w:left="607" w:right="0" w:firstLine="0"/>
        <w:jc w:val="left"/>
        <w:rPr>
          <w:sz w:val="12"/>
        </w:rPr>
      </w:pPr>
      <w:r>
        <w:rPr>
          <w:color w:val="231F20"/>
          <w:sz w:val="12"/>
        </w:rPr>
        <w:t>1995</w:t>
        <w:tab/>
        <w:t>96</w:t>
        <w:tab/>
        <w:t>97</w:t>
        <w:tab/>
        <w:t>98</w:t>
        <w:tab/>
        <w:t>99</w:t>
      </w:r>
    </w:p>
    <w:p>
      <w:pPr>
        <w:pStyle w:val="BodyText"/>
        <w:rPr>
          <w:sz w:val="12"/>
        </w:rPr>
      </w:pPr>
    </w:p>
    <w:p>
      <w:pPr>
        <w:pStyle w:val="BodyText"/>
        <w:spacing w:before="6"/>
        <w:rPr>
          <w:sz w:val="9"/>
        </w:rPr>
      </w:pPr>
    </w:p>
    <w:p>
      <w:pPr>
        <w:spacing w:line="60" w:lineRule="exact" w:before="0"/>
        <w:ind w:left="210" w:right="0" w:firstLine="0"/>
        <w:jc w:val="left"/>
        <w:rPr>
          <w:sz w:val="12"/>
        </w:rPr>
      </w:pPr>
      <w:r>
        <w:rPr>
          <w:sz w:val="12"/>
        </w:rPr>
        <w:t>RPIX = Retail price index excluding mortgage interest payments.</w:t>
      </w:r>
    </w:p>
    <w:p>
      <w:pPr>
        <w:pStyle w:val="BodyText"/>
        <w:spacing w:before="4"/>
        <w:rPr>
          <w:sz w:val="13"/>
        </w:rPr>
      </w:pPr>
      <w:r>
        <w:rPr/>
        <w:br w:type="column"/>
      </w:r>
      <w:r>
        <w:rPr>
          <w:sz w:val="13"/>
        </w:rPr>
      </w:r>
    </w:p>
    <w:p>
      <w:pPr>
        <w:spacing w:before="0"/>
        <w:ind w:left="115" w:right="0" w:firstLine="0"/>
        <w:jc w:val="left"/>
        <w:rPr>
          <w:sz w:val="12"/>
        </w:rPr>
      </w:pPr>
      <w:r>
        <w:rPr>
          <w:color w:val="231F20"/>
          <w:sz w:val="12"/>
        </w:rPr>
        <w:t>2.5</w:t>
      </w:r>
    </w:p>
    <w:p>
      <w:pPr>
        <w:pStyle w:val="BodyText"/>
        <w:spacing w:before="9"/>
        <w:rPr>
          <w:sz w:val="15"/>
        </w:rPr>
      </w:pPr>
    </w:p>
    <w:p>
      <w:pPr>
        <w:spacing w:before="0"/>
        <w:ind w:left="115" w:right="0" w:firstLine="0"/>
        <w:jc w:val="left"/>
        <w:rPr>
          <w:sz w:val="12"/>
        </w:rPr>
      </w:pPr>
      <w:r>
        <w:rPr>
          <w:color w:val="231F20"/>
          <w:sz w:val="12"/>
        </w:rPr>
        <w:t>2.0</w:t>
      </w:r>
    </w:p>
    <w:p>
      <w:pPr>
        <w:pStyle w:val="BodyText"/>
        <w:spacing w:before="9"/>
        <w:rPr>
          <w:sz w:val="15"/>
        </w:rPr>
      </w:pPr>
    </w:p>
    <w:p>
      <w:pPr>
        <w:spacing w:before="0"/>
        <w:ind w:left="115" w:right="0" w:firstLine="0"/>
        <w:jc w:val="left"/>
        <w:rPr>
          <w:sz w:val="12"/>
        </w:rPr>
      </w:pPr>
      <w:r>
        <w:rPr>
          <w:color w:val="231F20"/>
          <w:sz w:val="12"/>
        </w:rPr>
        <w:t>1.5</w:t>
      </w:r>
    </w:p>
    <w:p>
      <w:pPr>
        <w:pStyle w:val="BodyText"/>
        <w:spacing w:before="8"/>
        <w:rPr>
          <w:sz w:val="15"/>
        </w:rPr>
      </w:pPr>
    </w:p>
    <w:p>
      <w:pPr>
        <w:spacing w:before="1"/>
        <w:ind w:left="115" w:right="0" w:firstLine="0"/>
        <w:jc w:val="left"/>
        <w:rPr>
          <w:sz w:val="12"/>
        </w:rPr>
      </w:pPr>
      <w:r>
        <w:rPr>
          <w:color w:val="231F20"/>
          <w:sz w:val="12"/>
        </w:rPr>
        <w:t>1.0</w:t>
      </w:r>
    </w:p>
    <w:p>
      <w:pPr>
        <w:pStyle w:val="BodyText"/>
        <w:spacing w:before="8"/>
        <w:rPr>
          <w:sz w:val="15"/>
        </w:rPr>
      </w:pPr>
    </w:p>
    <w:p>
      <w:pPr>
        <w:spacing w:before="0"/>
        <w:ind w:left="115" w:right="0" w:firstLine="0"/>
        <w:jc w:val="left"/>
        <w:rPr>
          <w:sz w:val="12"/>
        </w:rPr>
      </w:pPr>
      <w:r>
        <w:rPr/>
        <w:pict>
          <v:line style="position:absolute;mso-position-horizontal-relative:page;mso-position-vertical-relative:paragraph;z-index:16185856" from="204.008003pt,4.044761pt" to="199.675003pt,4.044761pt" stroked="true" strokeweight=".5pt" strokecolor="#000000">
            <v:stroke dashstyle="solid"/>
            <w10:wrap type="none"/>
          </v:line>
        </w:pict>
      </w:r>
      <w:r>
        <w:rPr>
          <w:color w:val="231F20"/>
          <w:sz w:val="12"/>
        </w:rPr>
        <w:t>0.5</w:t>
      </w:r>
    </w:p>
    <w:p>
      <w:pPr>
        <w:pStyle w:val="BodyText"/>
        <w:spacing w:before="9"/>
        <w:rPr>
          <w:sz w:val="15"/>
        </w:rPr>
      </w:pPr>
    </w:p>
    <w:p>
      <w:pPr>
        <w:spacing w:before="0"/>
        <w:ind w:left="115" w:right="0" w:firstLine="0"/>
        <w:jc w:val="left"/>
        <w:rPr>
          <w:sz w:val="12"/>
        </w:rPr>
      </w:pPr>
      <w:r>
        <w:rPr/>
        <w:pict>
          <v:shape style="position:absolute;margin-left:45.049999pt;margin-top:-.92943pt;width:159pt;height:5pt;mso-position-horizontal-relative:page;mso-position-vertical-relative:paragraph;z-index:16185344" coordorigin="901,-19" coordsize="3180,100" path="m988,80l901,80m1047,-19l1047,81m1339,28l1339,81m1193,28l1193,81m1485,28l1485,81m1631,-19l1631,81m2069,28l2069,81m1777,28l1777,81m1923,28l1923,81m2215,-19l2215,81m2653,28l2653,81m2361,28l2361,81m2507,28l2507,81m2800,-19l2800,81m3238,28l3238,81m2946,28l2946,81m3092,28l3092,81m3384,-19l3384,81m3822,28l3822,81m3530,28l3530,81m3676,28l3676,81m1046,81l3926,81m4080,81l3993,81e" filled="false" stroked="true" strokeweight=".5pt" strokecolor="#000000">
            <v:path arrowok="t"/>
            <v:stroke dashstyle="solid"/>
            <w10:wrap type="none"/>
          </v:shape>
        </w:pict>
      </w:r>
      <w:r>
        <w:rPr>
          <w:color w:val="231F20"/>
          <w:sz w:val="12"/>
        </w:rPr>
        <w:t>0.0</w:t>
      </w:r>
    </w:p>
    <w:p>
      <w:pPr>
        <w:pStyle w:val="BodyText"/>
        <w:spacing w:before="5"/>
        <w:rPr>
          <w:sz w:val="30"/>
        </w:rPr>
      </w:pPr>
      <w:r>
        <w:rPr/>
        <w:br w:type="column"/>
      </w:r>
      <w:r>
        <w:rPr>
          <w:sz w:val="30"/>
        </w:rPr>
      </w:r>
    </w:p>
    <w:p>
      <w:pPr>
        <w:pStyle w:val="Heading6"/>
        <w:spacing w:line="242" w:lineRule="auto"/>
        <w:ind w:left="211" w:right="367"/>
      </w:pPr>
      <w:r>
        <w:rPr/>
        <w:t>While RPIX inflation remained constant at 2.2% in the last three months of 1999, the gap between goods and services price inflation increased (see Chart 4.8). In December this gap was at its widest since</w:t>
      </w:r>
    </w:p>
    <w:p>
      <w:pPr>
        <w:spacing w:line="242" w:lineRule="auto" w:before="5"/>
        <w:ind w:left="211" w:right="248" w:firstLine="0"/>
        <w:jc w:val="left"/>
        <w:rPr>
          <w:sz w:val="24"/>
        </w:rPr>
      </w:pPr>
      <w:r>
        <w:rPr>
          <w:sz w:val="24"/>
        </w:rPr>
        <w:t>September 1992. Retail services price inflation rose from 3.6% in September to 3.9% in December. Annual inflation in the cost of car insurance rose, and</w:t>
      </w:r>
    </w:p>
    <w:p>
      <w:pPr>
        <w:spacing w:after="0" w:line="242" w:lineRule="auto"/>
        <w:jc w:val="left"/>
        <w:rPr>
          <w:sz w:val="24"/>
        </w:rPr>
        <w:sectPr>
          <w:type w:val="continuous"/>
          <w:pgSz w:w="11900" w:h="16840"/>
          <w:pgMar w:top="1220" w:bottom="280" w:left="620" w:right="640"/>
          <w:cols w:num="3" w:equalWidth="0">
            <w:col w:w="3355" w:space="40"/>
            <w:col w:w="306" w:space="1068"/>
            <w:col w:w="5871"/>
          </w:cols>
        </w:sectPr>
      </w:pPr>
    </w:p>
    <w:p>
      <w:pPr>
        <w:spacing w:before="60"/>
        <w:ind w:left="210" w:right="0" w:firstLine="0"/>
        <w:jc w:val="left"/>
        <w:rPr>
          <w:sz w:val="12"/>
        </w:rPr>
      </w:pPr>
      <w:r>
        <w:rPr>
          <w:sz w:val="12"/>
        </w:rPr>
        <w:t>RPIY = RPIX excluding VAT, local authorities’ taxes and excise duties.</w:t>
      </w:r>
    </w:p>
    <w:p>
      <w:pPr>
        <w:pStyle w:val="BodyText"/>
        <w:spacing w:before="1"/>
        <w:rPr>
          <w:sz w:val="10"/>
        </w:rPr>
      </w:pPr>
    </w:p>
    <w:p>
      <w:pPr>
        <w:pStyle w:val="ListParagraph"/>
        <w:numPr>
          <w:ilvl w:val="0"/>
          <w:numId w:val="34"/>
        </w:numPr>
        <w:tabs>
          <w:tab w:pos="451" w:val="left" w:leader="none"/>
        </w:tabs>
        <w:spacing w:line="208" w:lineRule="auto" w:before="0" w:after="0"/>
        <w:ind w:left="450" w:right="38" w:hanging="240"/>
        <w:jc w:val="left"/>
        <w:rPr>
          <w:sz w:val="12"/>
        </w:rPr>
      </w:pPr>
      <w:r>
        <w:rPr>
          <w:sz w:val="12"/>
        </w:rPr>
        <w:t>Adjusted by the Bank of England for ONS error in under-recording aggregate price indices between February and May 1995. Other </w:t>
      </w:r>
      <w:r>
        <w:rPr>
          <w:spacing w:val="-3"/>
          <w:sz w:val="12"/>
        </w:rPr>
        <w:t>charts </w:t>
      </w:r>
      <w:r>
        <w:rPr>
          <w:sz w:val="12"/>
        </w:rPr>
        <w:t>and tables in this </w:t>
      </w:r>
      <w:r>
        <w:rPr>
          <w:i/>
          <w:sz w:val="12"/>
        </w:rPr>
        <w:t>Report </w:t>
      </w:r>
      <w:r>
        <w:rPr>
          <w:sz w:val="12"/>
        </w:rPr>
        <w:t>that include measures of retail price inflation are similarly adjusted.</w:t>
      </w:r>
    </w:p>
    <w:p>
      <w:pPr>
        <w:pStyle w:val="Heading6"/>
        <w:spacing w:line="242" w:lineRule="auto"/>
        <w:ind w:left="211" w:right="455"/>
      </w:pPr>
      <w:r>
        <w:rPr/>
        <w:br w:type="column"/>
      </w:r>
      <w:r>
        <w:rPr/>
        <w:t>contributed 0.3 percentage points to annual RPIX inflation in December. But, consistent with survey evidence on service sector output prices, other components of retail services price inflation also rose.</w:t>
      </w:r>
    </w:p>
    <w:p>
      <w:pPr>
        <w:pStyle w:val="BodyText"/>
        <w:spacing w:before="8"/>
        <w:rPr>
          <w:sz w:val="17"/>
        </w:rPr>
      </w:pPr>
      <w:r>
        <w:rPr/>
        <w:pict>
          <v:shape style="position:absolute;margin-left:279pt;margin-top:12.261921pt;width:277.5pt;height:.1pt;mso-position-horizontal-relative:page;mso-position-vertical-relative:paragraph;z-index:-15279104;mso-wrap-distance-left:0;mso-wrap-distance-right:0" coordorigin="5580,245" coordsize="5550,0" path="m5580,245l11130,245e" filled="false" stroked="true" strokeweight=".125pt" strokecolor="#000000">
            <v:path arrowok="t"/>
            <v:stroke dashstyle="solid"/>
            <w10:wrap type="topAndBottom"/>
          </v:shape>
        </w:pict>
      </w:r>
    </w:p>
    <w:p>
      <w:pPr>
        <w:pStyle w:val="ListParagraph"/>
        <w:numPr>
          <w:ilvl w:val="1"/>
          <w:numId w:val="34"/>
        </w:numPr>
        <w:tabs>
          <w:tab w:pos="472" w:val="left" w:leader="none"/>
        </w:tabs>
        <w:spacing w:line="208" w:lineRule="auto" w:before="8" w:after="0"/>
        <w:ind w:left="470" w:right="781" w:hanging="240"/>
        <w:jc w:val="both"/>
        <w:rPr>
          <w:sz w:val="16"/>
        </w:rPr>
      </w:pPr>
      <w:hyperlink r:id="rId138">
        <w:r>
          <w:rPr>
            <w:sz w:val="16"/>
          </w:rPr>
          <w:t>See ‘The cyclicality of mark-ups and profit margins: some evidence </w:t>
        </w:r>
        <w:r>
          <w:rPr>
            <w:spacing w:val="-6"/>
            <w:sz w:val="16"/>
          </w:rPr>
          <w:t>for </w:t>
        </w:r>
        <w:r>
          <w:rPr>
            <w:sz w:val="16"/>
          </w:rPr>
          <w:t>manufacturing and services’, Small, I, </w:t>
        </w:r>
        <w:r>
          <w:rPr>
            <w:i/>
            <w:sz w:val="16"/>
          </w:rPr>
          <w:t>Bank of England Working </w:t>
        </w:r>
        <w:r>
          <w:rPr>
            <w:i/>
            <w:spacing w:val="-4"/>
            <w:sz w:val="16"/>
          </w:rPr>
          <w:t>Paper</w:t>
        </w:r>
        <w:r>
          <w:rPr>
            <w:spacing w:val="-4"/>
            <w:sz w:val="16"/>
          </w:rPr>
          <w:t>, </w:t>
        </w:r>
        <w:r>
          <w:rPr>
            <w:sz w:val="16"/>
          </w:rPr>
          <w:t>No 72, December 1997.</w:t>
        </w:r>
      </w:hyperlink>
    </w:p>
    <w:p>
      <w:pPr>
        <w:spacing w:after="0" w:line="208" w:lineRule="auto"/>
        <w:jc w:val="both"/>
        <w:rPr>
          <w:sz w:val="16"/>
        </w:rPr>
        <w:sectPr>
          <w:type w:val="continuous"/>
          <w:pgSz w:w="11900" w:h="16840"/>
          <w:pgMar w:top="1220" w:bottom="280" w:left="620" w:right="640"/>
          <w:cols w:num="2" w:equalWidth="0">
            <w:col w:w="3894" w:space="875"/>
            <w:col w:w="5871"/>
          </w:cols>
        </w:sectPr>
      </w:pPr>
    </w:p>
    <w:p>
      <w:pPr>
        <w:pStyle w:val="BodyText"/>
        <w:rPr>
          <w:sz w:val="20"/>
        </w:rPr>
      </w:pPr>
    </w:p>
    <w:p>
      <w:pPr>
        <w:spacing w:after="0"/>
        <w:rPr>
          <w:sz w:val="20"/>
        </w:rPr>
        <w:sectPr>
          <w:headerReference w:type="default" r:id="rId139"/>
          <w:headerReference w:type="even" r:id="rId140"/>
          <w:footerReference w:type="default" r:id="rId141"/>
          <w:footerReference w:type="even" r:id="rId142"/>
          <w:pgSz w:w="11900" w:h="16840"/>
          <w:pgMar w:header="584" w:footer="617" w:top="780" w:bottom="800" w:left="620" w:right="640"/>
          <w:pgNumType w:start="37"/>
        </w:sectPr>
      </w:pPr>
    </w:p>
    <w:p>
      <w:pPr>
        <w:pStyle w:val="BodyText"/>
        <w:spacing w:before="9"/>
      </w:pPr>
    </w:p>
    <w:p>
      <w:pPr>
        <w:pStyle w:val="Heading9"/>
        <w:spacing w:before="0"/>
        <w:ind w:left="175"/>
      </w:pPr>
      <w:r>
        <w:rPr>
          <w:color w:val="0093C1"/>
        </w:rPr>
        <w:t>Chart 4.8</w:t>
      </w:r>
    </w:p>
    <w:p>
      <w:pPr>
        <w:spacing w:before="10"/>
        <w:ind w:left="175" w:right="0" w:firstLine="0"/>
        <w:jc w:val="left"/>
        <w:rPr>
          <w:b/>
          <w:sz w:val="20"/>
        </w:rPr>
      </w:pPr>
      <w:r>
        <w:rPr>
          <w:b/>
          <w:color w:val="0093C1"/>
          <w:sz w:val="20"/>
        </w:rPr>
        <w:t>Goods and services price inflation</w:t>
      </w:r>
    </w:p>
    <w:p>
      <w:pPr>
        <w:spacing w:before="191"/>
        <w:ind w:left="0" w:right="13" w:firstLine="0"/>
        <w:jc w:val="right"/>
        <w:rPr>
          <w:sz w:val="12"/>
        </w:rPr>
      </w:pPr>
      <w:r>
        <w:rPr/>
        <w:pict>
          <v:group style="position:absolute;margin-left:51.529999pt;margin-top:37.678204pt;width:145.25pt;height:115.85pt;mso-position-horizontal-relative:page;mso-position-vertical-relative:paragraph;z-index:16196096" coordorigin="1031,754" coordsize="2905,2317">
            <v:shape style="position:absolute;left:1040;top:1470;width:240;height:120" coordorigin="1041,1470" coordsize="240,120" path="m1041,1470l1091,1530m1091,1530l1141,1470m1141,1470l1191,1590m1191,1590l1241,1530m1241,1530l1281,1470e" filled="false" stroked="true" strokeweight="1pt" strokecolor="#ed1b2d">
              <v:path arrowok="t"/>
              <v:stroke dashstyle="solid"/>
            </v:shape>
            <v:line style="position:absolute" from="1271,1471" to="1341,1471" stroked="true" strokeweight="1.125pt" strokecolor="#ed1b2d">
              <v:stroke dashstyle="solid"/>
            </v:line>
            <v:shape style="position:absolute;left:1330;top:1275;width:150;height:195" coordorigin="1331,1275" coordsize="150,195" path="m1331,1470l1381,1395m1381,1395l1431,1275m1431,1275l1481,1395e" filled="false" stroked="true" strokeweight="1pt" strokecolor="#ed1b2d">
              <v:path arrowok="t"/>
              <v:stroke dashstyle="solid"/>
            </v:shape>
            <v:line style="position:absolute" from="1471,1396" to="1541,1396" stroked="true" strokeweight="1.125pt" strokecolor="#ed1b2d">
              <v:stroke dashstyle="solid"/>
            </v:line>
            <v:shape style="position:absolute;left:1530;top:1335;width:140;height:135" coordorigin="1531,1335" coordsize="140,135" path="m1531,1395l1583,1335m1583,1335l1633,1470m1633,1470l1671,1395e" filled="false" stroked="true" strokeweight="1pt" strokecolor="#ed1b2d">
              <v:path arrowok="t"/>
              <v:stroke dashstyle="solid"/>
            </v:shape>
            <v:shape style="position:absolute;left:1660;top:1396;width:120;height:2" coordorigin="1661,1396" coordsize="120,0" path="m1661,1396l1731,1396m1711,1396l1781,1396e" filled="false" stroked="true" strokeweight="1.125pt" strokecolor="#ed1b2d">
              <v:path arrowok="t"/>
              <v:stroke dashstyle="solid"/>
            </v:shape>
            <v:line style="position:absolute" from="1771,1395" to="1821,1470" stroked="true" strokeweight="1pt" strokecolor="#ed1b2d">
              <v:stroke dashstyle="solid"/>
            </v:line>
            <v:shape style="position:absolute;left:1810;top:1471;width:173;height:2" coordorigin="1811,1471" coordsize="173,0" path="m1811,1471l1881,1471m1861,1471l1933,1471m1913,1471l1983,1471e" filled="false" stroked="true" strokeweight="1.125pt" strokecolor="#ed1b2d">
              <v:path arrowok="t"/>
              <v:stroke dashstyle="solid"/>
            </v:shape>
            <v:shape style="position:absolute;left:1973;top:1140;width:100;height:330" coordorigin="1973,1140" coordsize="100,330" path="m1973,1470l2023,1395m2023,1395l2073,1140e" filled="false" stroked="true" strokeweight="1pt" strokecolor="#ed1b2d">
              <v:path arrowok="t"/>
              <v:stroke dashstyle="solid"/>
            </v:shape>
            <v:line style="position:absolute" from="2063,1141" to="2121,1141" stroked="true" strokeweight="1.125pt" strokecolor="#ed1b2d">
              <v:stroke dashstyle="solid"/>
            </v:line>
            <v:line style="position:absolute" from="2111,1140" to="2161,1275" stroked="true" strokeweight="1pt" strokecolor="#ed1b2d">
              <v:stroke dashstyle="solid"/>
            </v:line>
            <v:line style="position:absolute" from="2151,1276" to="2223,1276" stroked="true" strokeweight="1.125pt" strokecolor="#ed1b2d">
              <v:stroke dashstyle="solid"/>
            </v:line>
            <v:shape style="position:absolute;left:2213;top:1275;width:150;height:375" coordorigin="2213,1275" coordsize="150,375" path="m2213,1275l2263,1395m2263,1395l2313,1530m2313,1530l2363,1650e" filled="false" stroked="true" strokeweight="1pt" strokecolor="#ed1b2d">
              <v:path arrowok="t"/>
              <v:stroke dashstyle="solid"/>
            </v:shape>
            <v:line style="position:absolute" from="2353,1651" to="2423,1651" stroked="true" strokeweight="1.125pt" strokecolor="#ed1b2d">
              <v:stroke dashstyle="solid"/>
            </v:line>
            <v:shape style="position:absolute;left:2413;top:1335;width:240;height:315" coordorigin="2413,1335" coordsize="240,315" path="m2413,1650l2463,1530m2463,1530l2501,1335m2501,1335l2553,1470m2553,1470l2603,1530m2603,1530l2653,1470e" filled="false" stroked="true" strokeweight="1pt" strokecolor="#ed1b2d">
              <v:path arrowok="t"/>
              <v:stroke dashstyle="solid"/>
            </v:shape>
            <v:line style="position:absolute" from="2643,1471" to="2713,1471" stroked="true" strokeweight="1.125pt" strokecolor="#ed1b2d">
              <v:stroke dashstyle="solid"/>
            </v:line>
            <v:shape style="position:absolute;left:2703;top:1470;width:150;height:180" coordorigin="2703,1470" coordsize="150,180" path="m2703,1470l2753,1530m2753,1530l2803,1650m2803,1650l2853,1590e" filled="false" stroked="true" strokeweight="1pt" strokecolor="#ed1b2d">
              <v:path arrowok="t"/>
              <v:stroke dashstyle="solid"/>
            </v:shape>
            <v:line style="position:absolute" from="2843,1591" to="2903,1591" stroked="true" strokeweight="1.125pt" strokecolor="#ed1b2d">
              <v:stroke dashstyle="solid"/>
            </v:line>
            <v:shape style="position:absolute;left:2893;top:1200;width:250;height:450" coordorigin="2893,1200" coordsize="250,450" path="m2893,1590l2943,1335m2943,1335l2993,1200m2993,1200l3043,1470m3043,1470l3093,1590m3093,1590l3143,1650e" filled="false" stroked="true" strokeweight="1pt" strokecolor="#ed1b2d">
              <v:path arrowok="t"/>
              <v:stroke dashstyle="solid"/>
            </v:shape>
            <v:shape style="position:absolute;left:3133;top:1651;width:173;height:2" coordorigin="3133,1651" coordsize="173,0" path="m3133,1651l3206,1651m3186,1651l3256,1651m3236,1651l3306,1651e" filled="false" stroked="true" strokeweight="1.125pt" strokecolor="#ed1b2d">
              <v:path arrowok="t"/>
              <v:stroke dashstyle="solid"/>
            </v:shape>
            <v:line style="position:absolute" from="3296,1650" to="3333,1590" stroked="true" strokeweight="1pt" strokecolor="#ed1b2d">
              <v:stroke dashstyle="solid"/>
            </v:line>
            <v:line style="position:absolute" from="3323,1591" to="3393,1591" stroked="true" strokeweight="1.125pt" strokecolor="#ed1b2d">
              <v:stroke dashstyle="solid"/>
            </v:line>
            <v:shape style="position:absolute;left:3383;top:1530;width:253;height:375" coordorigin="3383,1530" coordsize="253,375" path="m3383,1590l3433,1725m3433,1725l3483,1530m3483,1530l3536,1725m3536,1725l3586,1905m3586,1905l3636,1845e" filled="false" stroked="true" strokeweight="1pt" strokecolor="#ed1b2d">
              <v:path arrowok="t"/>
              <v:stroke dashstyle="solid"/>
            </v:shape>
            <v:line style="position:absolute" from="3626,1846" to="3696,1846" stroked="true" strokeweight="1.125pt" strokecolor="#ed1b2d">
              <v:stroke dashstyle="solid"/>
            </v:line>
            <v:line style="position:absolute" from="3686,1845" to="3723,1905" stroked="true" strokeweight="1pt" strokecolor="#ed1b2d">
              <v:stroke dashstyle="solid"/>
            </v:line>
            <v:line style="position:absolute" from="3713,1906" to="3783,1906" stroked="true" strokeweight="1.125pt" strokecolor="#ed1b2d">
              <v:stroke dashstyle="solid"/>
            </v:line>
            <v:line style="position:absolute" from="3773,1905" to="3826,1845" stroked="true" strokeweight="1pt" strokecolor="#ed1b2d">
              <v:stroke dashstyle="solid"/>
            </v:line>
            <v:shape style="position:absolute;left:3815;top:1846;width:120;height:2" coordorigin="3816,1846" coordsize="120,0" path="m3816,1846l3886,1846m3866,1846l3936,1846e" filled="false" stroked="true" strokeweight="1.125pt" strokecolor="#ed1b2d">
              <v:path arrowok="t"/>
              <v:stroke dashstyle="solid"/>
            </v:shape>
            <v:shape style="position:absolute;left:1040;top:1590;width:100;height:195" coordorigin="1041,1590" coordsize="100,195" path="m1041,1650l1091,1785m1091,1785l1141,1590e" filled="false" stroked="true" strokeweight="1pt" strokecolor="#0099d8">
              <v:path arrowok="t"/>
              <v:stroke dashstyle="solid"/>
            </v:shape>
            <v:line style="position:absolute" from="1131,1591" to="1201,1591" stroked="true" strokeweight="1.125pt" strokecolor="#0099d8">
              <v:stroke dashstyle="solid"/>
            </v:line>
            <v:line style="position:absolute" from="1191,1590" to="1241,1395" stroked="true" strokeweight="1pt" strokecolor="#0099d8">
              <v:stroke dashstyle="solid"/>
            </v:line>
            <v:line style="position:absolute" from="1231,1396" to="1291,1396" stroked="true" strokeweight="1.125pt" strokecolor="#0099d8">
              <v:stroke dashstyle="solid"/>
            </v:line>
            <v:shape style="position:absolute;left:1280;top:945;width:643;height:525" coordorigin="1281,945" coordsize="643,525" path="m1281,1395l1331,1275m1331,1275l1381,1200m1381,1200l1431,945m1431,945l1481,1020m1481,1020l1531,1140m1531,1140l1583,945m1583,945l1633,1200m1633,1200l1671,1140m1671,1140l1721,1200m1721,1200l1771,1140m1771,1140l1821,1395m1821,1395l1871,1335m1871,1335l1923,1470e" filled="false" stroked="true" strokeweight="1pt" strokecolor="#0099d8">
              <v:path arrowok="t"/>
              <v:stroke dashstyle="solid"/>
            </v:shape>
            <v:shape style="position:absolute;left:1913;top:1471;width:120;height:2" coordorigin="1913,1471" coordsize="120,0" path="m1913,1471l1983,1471m1963,1471l2033,1471e" filled="false" stroked="true" strokeweight="1.125pt" strokecolor="#0099d8">
              <v:path arrowok="t"/>
              <v:stroke dashstyle="solid"/>
            </v:shape>
            <v:shape style="position:absolute;left:2023;top:1200;width:290;height:780" coordorigin="2023,1200" coordsize="290,780" path="m2023,1470l2073,1275m2073,1275l2111,1200m2111,1200l2161,1530m2161,1530l2213,1590m2213,1590l2313,1980e" filled="false" stroked="true" strokeweight="1pt" strokecolor="#0099d8">
              <v:path arrowok="t"/>
              <v:stroke dashstyle="solid"/>
            </v:shape>
            <v:shape style="position:absolute;left:2303;top:1640;width:600;height:605" type="#_x0000_t75" stroked="false">
              <v:imagedata r:id="rId143" o:title=""/>
            </v:shape>
            <v:shape style="position:absolute;left:2893;top:1650;width:353;height:900" coordorigin="2893,1650" coordsize="353,900" path="m2893,2040l2993,1650m2993,1650l3043,1980m3043,1980l3093,2235m3093,2235l3143,2355m3143,2355l3196,2430m3196,2430l3246,2550e" filled="false" stroked="true" strokeweight="1pt" strokecolor="#0099d8">
              <v:path arrowok="t"/>
              <v:stroke dashstyle="solid"/>
            </v:shape>
            <v:line style="position:absolute" from="3236,2551" to="3306,2551" stroked="true" strokeweight="1.125pt" strokecolor="#0099d8">
              <v:stroke dashstyle="solid"/>
            </v:line>
            <v:line style="position:absolute" from="3296,2550" to="3333,2355" stroked="true" strokeweight="1pt" strokecolor="#0099d8">
              <v:stroke dashstyle="solid"/>
            </v:line>
            <v:line style="position:absolute" from="3323,2356" to="3393,2356" stroked="true" strokeweight="1.125pt" strokecolor="#0099d8">
              <v:stroke dashstyle="solid"/>
            </v:line>
            <v:shape style="position:absolute;left:3383;top:2295;width:203;height:390" coordorigin="3383,2295" coordsize="203,390" path="m3383,2355l3433,2550m3433,2550l3483,2295m3483,2295l3536,2430m3536,2430l3586,2685e" filled="false" stroked="true" strokeweight="1pt" strokecolor="#0099d8">
              <v:path arrowok="t"/>
              <v:stroke dashstyle="solid"/>
            </v:shape>
            <v:shape style="position:absolute;left:3575;top:2686;width:120;height:2" coordorigin="3576,2686" coordsize="120,0" path="m3576,2686l3646,2686m3626,2686l3696,2686e" filled="false" stroked="true" strokeweight="1.125pt" strokecolor="#0099d8">
              <v:path arrowok="t"/>
              <v:stroke dashstyle="solid"/>
            </v:shape>
            <v:line style="position:absolute" from="3686,2685" to="3723,2940" stroked="true" strokeweight="1pt" strokecolor="#0099d8">
              <v:stroke dashstyle="solid"/>
            </v:line>
            <v:line style="position:absolute" from="3713,2941" to="3783,2941" stroked="true" strokeweight="1.125pt" strokecolor="#0099d8">
              <v:stroke dashstyle="solid"/>
            </v:line>
            <v:shape style="position:absolute;left:3773;top:2940;width:153;height:120" coordorigin="3773,2940" coordsize="153,120" path="m3773,2940l3826,3000m3826,3000l3876,2940m3876,2940l3926,3060e" filled="false" stroked="true" strokeweight="1pt" strokecolor="#0099d8">
              <v:path arrowok="t"/>
              <v:stroke dashstyle="solid"/>
            </v:shape>
            <v:line style="position:absolute" from="1041,1140" to="1141,1020" stroked="true" strokeweight="1pt" strokecolor="#faab54">
              <v:stroke dashstyle="solid"/>
            </v:line>
            <v:line style="position:absolute" from="1166,1010" to="1166,1660" stroked="true" strokeweight="3.5pt" strokecolor="#faab54">
              <v:stroke dashstyle="solid"/>
            </v:line>
            <v:shape style="position:absolute;left:1180;top:1651;width:110;height:2" coordorigin="1181,1651" coordsize="110,0" path="m1181,1651l1251,1651m1231,1651l1291,1651e" filled="false" stroked="true" strokeweight="1.125pt" strokecolor="#faab54">
              <v:path arrowok="t"/>
              <v:stroke dashstyle="solid"/>
            </v:shape>
            <v:shape style="position:absolute;left:1280;top:1650;width:490;height:330" coordorigin="1281,1650" coordsize="490,330" path="m1281,1650l1331,1785m1331,1785l1381,1725m1381,1725l1431,1650m1431,1650l1481,1905m1481,1905l1531,1785m1531,1785l1583,1905m1583,1905l1633,1785m1633,1785l1671,1905m1671,1905l1721,1845m1721,1845l1771,1980e" filled="false" stroked="true" strokeweight="1pt" strokecolor="#faab54">
              <v:path arrowok="t"/>
              <v:stroke dashstyle="solid"/>
            </v:shape>
            <v:line style="position:absolute" from="1761,1981" to="1831,1981" stroked="true" strokeweight="1.125pt" strokecolor="#faab54">
              <v:stroke dashstyle="solid"/>
            </v:line>
            <v:shape style="position:absolute;left:1820;top:1140;width:443;height:840" coordorigin="1821,1140" coordsize="443,840" path="m1821,1980l1871,1845m1871,1845l1923,1590m1923,1590l1973,1650m1973,1650l2023,1725m2023,1725l2073,1395m2073,1395l2111,1470m2111,1470l2161,1395m2161,1395l2213,1200m2213,1200l2263,1140e" filled="false" stroked="true" strokeweight="1pt" strokecolor="#faab54">
              <v:path arrowok="t"/>
              <v:stroke dashstyle="solid"/>
            </v:shape>
            <v:shape style="position:absolute;left:2253;top:1141;width:170;height:2" coordorigin="2253,1141" coordsize="170,0" path="m2253,1141l2323,1141m2303,1141l2373,1141m2353,1141l2423,1141e" filled="false" stroked="true" strokeweight="1.125pt" strokecolor="#faab54">
              <v:path arrowok="t"/>
              <v:stroke dashstyle="solid"/>
            </v:shape>
            <v:shape style="position:absolute;left:2413;top:1140;width:240;height:255" coordorigin="2413,1140" coordsize="240,255" path="m2413,1140l2463,1200m2463,1200l2501,1395m2501,1395l2553,1335m2553,1335l2603,1395m2603,1395l2653,1275e" filled="false" stroked="true" strokeweight="1pt" strokecolor="#faab54">
              <v:path arrowok="t"/>
              <v:stroke dashstyle="solid"/>
            </v:shape>
            <v:line style="position:absolute" from="2643,1276" to="2713,1276" stroked="true" strokeweight="1.125pt" strokecolor="#faab54">
              <v:stroke dashstyle="solid"/>
            </v:line>
            <v:line style="position:absolute" from="2703,1275" to="2803,1395" stroked="true" strokeweight="1pt" strokecolor="#faab54">
              <v:stroke dashstyle="solid"/>
            </v:line>
            <v:line style="position:absolute" from="2793,1396" to="2863,1396" stroked="true" strokeweight="1.125pt" strokecolor="#faab54">
              <v:stroke dashstyle="solid"/>
            </v:line>
            <v:shape style="position:absolute;left:2853;top:1200;width:90;height:195" coordorigin="2853,1200" coordsize="90,195" path="m2853,1395l2893,1335m2893,1335l2943,1200e" filled="false" stroked="true" strokeweight="1pt" strokecolor="#faab54">
              <v:path arrowok="t"/>
              <v:stroke dashstyle="solid"/>
            </v:shape>
            <v:shape style="position:absolute;left:2933;top:1201;width:120;height:2" coordorigin="2933,1201" coordsize="120,0" path="m2933,1201l3003,1201m2983,1201l3053,1201e" filled="false" stroked="true" strokeweight="1.125pt" strokecolor="#faab54">
              <v:path arrowok="t"/>
              <v:stroke dashstyle="solid"/>
            </v:shape>
            <v:shape style="position:absolute;left:3043;top:1020;width:253;height:180" coordorigin="3043,1020" coordsize="253,180" path="m3043,1200l3093,1140m3093,1140l3143,1200m3143,1200l3196,1020m3196,1020l3246,1080m3246,1080l3296,1020e" filled="false" stroked="true" strokeweight="1pt" strokecolor="#faab54">
              <v:path arrowok="t"/>
              <v:stroke dashstyle="solid"/>
            </v:shape>
            <v:line style="position:absolute" from="3286,1021" to="3343,1021" stroked="true" strokeweight="1.125pt" strokecolor="#faab54">
              <v:stroke dashstyle="solid"/>
            </v:line>
            <v:shape style="position:absolute;left:3333;top:1020;width:203;height:120" coordorigin="3333,1020" coordsize="203,120" path="m3333,1020l3433,1140m3433,1140l3483,1080m3483,1080l3536,1140e" filled="false" stroked="true" strokeweight="1pt" strokecolor="#faab54">
              <v:path arrowok="t"/>
              <v:stroke dashstyle="solid"/>
            </v:shape>
            <v:shape style="position:absolute;left:3525;top:1141;width:120;height:2" coordorigin="3526,1141" coordsize="120,0" path="m3526,1141l3596,1141m3576,1141l3646,1141e" filled="false" stroked="true" strokeweight="1.125pt" strokecolor="#faab54">
              <v:path arrowok="t"/>
              <v:stroke dashstyle="solid"/>
            </v:shape>
            <v:line style="position:absolute" from="3636,1140" to="3686,945" stroked="true" strokeweight="1pt" strokecolor="#faab54">
              <v:stroke dashstyle="solid"/>
            </v:line>
            <v:shape style="position:absolute;left:3675;top:946;width:108;height:2" coordorigin="3676,946" coordsize="108,0" path="m3676,946l3733,946m3713,946l3783,946e" filled="false" stroked="true" strokeweight="1.125pt" strokecolor="#faab54">
              <v:path arrowok="t"/>
              <v:stroke dashstyle="solid"/>
            </v:shape>
            <v:line style="position:absolute" from="3773,945" to="3826,765" stroked="true" strokeweight="1pt" strokecolor="#faab54">
              <v:stroke dashstyle="solid"/>
            </v:line>
            <v:shape style="position:absolute;left:3815;top:766;width:120;height:2" coordorigin="3816,766" coordsize="120,0" path="m3816,766l3886,766m3866,766l3936,766e" filled="false" stroked="true" strokeweight="1.125pt" strokecolor="#faab54">
              <v:path arrowok="t"/>
              <v:stroke dashstyle="solid"/>
            </v:shape>
            <v:shape style="position:absolute;left:3339;top:753;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3514;top:1390;width:294;height:133" type="#_x0000_t202" filled="false" stroked="false">
              <v:textbox inset="0,0,0,0">
                <w:txbxContent>
                  <w:p>
                    <w:pPr>
                      <w:spacing w:line="133" w:lineRule="exact" w:before="0"/>
                      <w:ind w:left="0" w:right="0" w:firstLine="0"/>
                      <w:jc w:val="left"/>
                      <w:rPr>
                        <w:sz w:val="12"/>
                      </w:rPr>
                    </w:pPr>
                    <w:r>
                      <w:rPr>
                        <w:sz w:val="12"/>
                      </w:rPr>
                      <w:t>RPIX</w:t>
                    </w:r>
                  </w:p>
                </w:txbxContent>
              </v:textbox>
              <w10:wrap type="none"/>
            </v:shape>
            <v:shape style="position:absolute;left:3113;top:2081;width:334;height:133" type="#_x0000_t202" filled="false" stroked="false">
              <v:textbox inset="0,0,0,0">
                <w:txbxContent>
                  <w:p>
                    <w:pPr>
                      <w:spacing w:line="133" w:lineRule="exact" w:before="0"/>
                      <w:ind w:left="0" w:right="0" w:firstLine="0"/>
                      <w:jc w:val="left"/>
                      <w:rPr>
                        <w:sz w:val="12"/>
                      </w:rPr>
                    </w:pPr>
                    <w:r>
                      <w:rPr>
                        <w:sz w:val="12"/>
                      </w:rPr>
                      <w:t>Goods</w:t>
                    </w:r>
                  </w:p>
                </w:txbxContent>
              </v:textbox>
              <w10:wrap type="none"/>
            </v:shape>
            <w10:wrap type="none"/>
          </v:group>
        </w:pict>
      </w:r>
      <w:r>
        <w:rPr/>
        <w:pict>
          <v:line style="position:absolute;mso-position-horizontal-relative:page;mso-position-vertical-relative:paragraph;z-index:16196608" from="47.279999pt,50.354336pt" to="42.946999pt,50.354336pt" stroked="true" strokeweight=".5pt" strokecolor="#000000">
            <v:stroke dashstyle="solid"/>
            <w10:wrap type="none"/>
          </v:line>
        </w:pict>
      </w:r>
      <w:r>
        <w:rPr/>
        <w:pict>
          <v:line style="position:absolute;mso-position-horizontal-relative:page;mso-position-vertical-relative:paragraph;z-index:16197120" from="47.279999pt,82.49334pt" to="42.946999pt,82.49334pt" stroked="true" strokeweight=".5pt" strokecolor="#000000">
            <v:stroke dashstyle="solid"/>
            <w10:wrap type="none"/>
          </v:line>
        </w:pict>
      </w:r>
      <w:r>
        <w:rPr/>
        <w:pict>
          <v:line style="position:absolute;mso-position-horizontal-relative:page;mso-position-vertical-relative:paragraph;z-index:16198144" from="47.279999pt,66.424339pt" to="42.946999pt,66.424339pt" stroked="true" strokeweight=".5pt" strokecolor="#000000">
            <v:stroke dashstyle="solid"/>
            <w10:wrap type="none"/>
          </v:line>
        </w:pict>
      </w:r>
      <w:r>
        <w:rPr/>
        <w:pict>
          <v:line style="position:absolute;mso-position-horizontal-relative:page;mso-position-vertical-relative:paragraph;z-index:16199680" from="47.279999pt,98.563339pt" to="42.946999pt,98.563339pt" stroked="true" strokeweight=".5pt" strokecolor="#000000">
            <v:stroke dashstyle="solid"/>
            <w10:wrap type="none"/>
          </v:line>
        </w:pict>
      </w:r>
      <w:r>
        <w:rPr/>
        <w:pict>
          <v:line style="position:absolute;mso-position-horizontal-relative:page;mso-position-vertical-relative:paragraph;z-index:16200192" from="204.780006pt,50.375336pt" to="200.447006pt,50.375336pt" stroked="true" strokeweight=".5pt" strokecolor="#000000">
            <v:stroke dashstyle="solid"/>
            <w10:wrap type="none"/>
          </v:line>
        </w:pict>
      </w:r>
      <w:r>
        <w:rPr/>
        <w:pict>
          <v:line style="position:absolute;mso-position-horizontal-relative:page;mso-position-vertical-relative:paragraph;z-index:16200704" from="204.780006pt,82.514336pt" to="200.447006pt,82.514336pt" stroked="true" strokeweight=".5pt" strokecolor="#000000">
            <v:stroke dashstyle="solid"/>
            <w10:wrap type="none"/>
          </v:line>
        </w:pict>
      </w:r>
      <w:r>
        <w:rPr/>
        <w:pict>
          <v:line style="position:absolute;mso-position-horizontal-relative:page;mso-position-vertical-relative:paragraph;z-index:16201728" from="204.780006pt,66.445335pt" to="200.447006pt,66.445335pt" stroked="true" strokeweight=".5pt" strokecolor="#000000">
            <v:stroke dashstyle="solid"/>
            <w10:wrap type="none"/>
          </v:line>
        </w:pict>
      </w:r>
      <w:r>
        <w:rPr/>
        <w:pict>
          <v:line style="position:absolute;mso-position-horizontal-relative:page;mso-position-vertical-relative:paragraph;z-index:16203264" from="204.780006pt,98.583336pt" to="200.447006pt,98.583336pt" stroked="true" strokeweight=".5pt" strokecolor="#000000">
            <v:stroke dashstyle="solid"/>
            <w10:wrap type="none"/>
          </v:line>
        </w:pict>
      </w:r>
      <w:r>
        <w:rPr>
          <w:sz w:val="12"/>
        </w:rPr>
        <w:t>Percentage changes on a year earlier</w:t>
      </w:r>
    </w:p>
    <w:p>
      <w:pPr>
        <w:pStyle w:val="BodyText"/>
        <w:spacing w:before="7"/>
        <w:rPr>
          <w:sz w:val="2"/>
        </w:rPr>
      </w:pPr>
    </w:p>
    <w:p>
      <w:pPr>
        <w:tabs>
          <w:tab w:pos="3383" w:val="left" w:leader="none"/>
        </w:tabs>
        <w:spacing w:line="20" w:lineRule="exact"/>
        <w:ind w:left="233" w:right="-58"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r>
        <w:rPr/>
        <w:pict>
          <v:shape style="position:absolute;margin-left:42.946999pt;margin-top:17.397766pt;width:4.350pt;height:.1pt;mso-position-horizontal-relative:page;mso-position-vertical-relative:paragraph;z-index:-15269888;mso-wrap-distance-left:0;mso-wrap-distance-right:0" coordorigin="859,348" coordsize="87,0" path="m946,348l859,348e" filled="false" stroked="true" strokeweight=".5pt" strokecolor="#000000">
            <v:path arrowok="t"/>
            <v:stroke dashstyle="solid"/>
            <w10:wrap type="topAndBottom"/>
          </v:shape>
        </w:pict>
      </w:r>
      <w:r>
        <w:rPr/>
        <w:pict>
          <v:shape style="position:absolute;margin-left:52.5pt;margin-top:14.710766pt;width:143.8pt;height:2.7pt;mso-position-horizontal-relative:page;mso-position-vertical-relative:paragraph;z-index:-15269376;mso-wrap-distance-left:0;mso-wrap-distance-right:0" coordorigin="1050,294" coordsize="2876,54" path="m1053,348l3926,348m1050,294l1050,348m2218,294l2218,348m1634,294l1634,348m2802,294l2802,348m3386,294l3386,348e" filled="false" stroked="true" strokeweight=".5pt" strokecolor="#000000">
            <v:path arrowok="t"/>
            <v:stroke dashstyle="solid"/>
            <w10:wrap type="topAndBottom"/>
          </v:shape>
        </w:pict>
      </w:r>
      <w:r>
        <w:rPr/>
        <w:pict>
          <v:shape style="position:absolute;margin-left:200.447006pt;margin-top:17.418766pt;width:4.350pt;height:.1pt;mso-position-horizontal-relative:page;mso-position-vertical-relative:paragraph;z-index:-15268864;mso-wrap-distance-left:0;mso-wrap-distance-right:0" coordorigin="4009,348" coordsize="87,0" path="m4096,348l4009,348e" filled="false" stroked="true" strokeweight=".5pt" strokecolor="#000000">
            <v:path arrowok="t"/>
            <v:stroke dashstyle="solid"/>
            <w10:wrap type="topAndBottom"/>
          </v:shape>
        </w:pict>
      </w:r>
    </w:p>
    <w:p>
      <w:pPr>
        <w:tabs>
          <w:tab w:pos="1273" w:val="left" w:leader="none"/>
          <w:tab w:pos="1853" w:val="left" w:leader="none"/>
          <w:tab w:pos="2445" w:val="left" w:leader="none"/>
          <w:tab w:pos="3045" w:val="left" w:leader="none"/>
        </w:tabs>
        <w:spacing w:before="24"/>
        <w:ind w:left="590" w:right="0" w:firstLine="0"/>
        <w:jc w:val="left"/>
        <w:rPr>
          <w:sz w:val="12"/>
        </w:rPr>
      </w:pPr>
      <w:r>
        <w:rPr>
          <w:sz w:val="12"/>
        </w:rPr>
        <w:t>1995</w:t>
        <w:tab/>
        <w:t>96</w:t>
        <w:tab/>
        <w:t>97</w:t>
        <w:tab/>
        <w:t>98</w:t>
        <w:tab/>
        <w:t>99</w:t>
      </w:r>
    </w:p>
    <w:p>
      <w:pPr>
        <w:pStyle w:val="BodyText"/>
        <w:rPr>
          <w:sz w:val="12"/>
        </w:rPr>
      </w:pPr>
    </w:p>
    <w:p>
      <w:pPr>
        <w:pStyle w:val="BodyText"/>
        <w:rPr>
          <w:sz w:val="12"/>
        </w:rPr>
      </w:pPr>
    </w:p>
    <w:p>
      <w:pPr>
        <w:pStyle w:val="BodyText"/>
        <w:spacing w:before="4"/>
        <w:rPr>
          <w:sz w:val="11"/>
        </w:rPr>
      </w:pPr>
    </w:p>
    <w:p>
      <w:pPr>
        <w:pStyle w:val="Heading9"/>
        <w:spacing w:before="0"/>
        <w:ind w:left="175"/>
      </w:pPr>
      <w:r>
        <w:rPr/>
        <w:pict>
          <v:line style="position:absolute;mso-position-horizontal-relative:page;mso-position-vertical-relative:paragraph;z-index:16197632" from="47.279999pt,-62.30909pt" to="42.946999pt,-62.30909pt" stroked="true" strokeweight=".5pt" strokecolor="#000000">
            <v:stroke dashstyle="solid"/>
            <w10:wrap type="none"/>
          </v:line>
        </w:pict>
      </w:r>
      <w:r>
        <w:rPr/>
        <w:pict>
          <v:line style="position:absolute;mso-position-horizontal-relative:page;mso-position-vertical-relative:paragraph;z-index:16198656" from="47.279999pt,-78.379089pt" to="42.946999pt,-78.379089pt" stroked="true" strokeweight=".5pt" strokecolor="#000000">
            <v:stroke dashstyle="solid"/>
            <w10:wrap type="none"/>
          </v:line>
        </w:pict>
      </w:r>
      <w:r>
        <w:rPr/>
        <w:pict>
          <v:line style="position:absolute;mso-position-horizontal-relative:page;mso-position-vertical-relative:paragraph;z-index:16199168" from="47.279999pt,-46.240089pt" to="42.946999pt,-46.240089pt" stroked="true" strokeweight=".5pt" strokecolor="#000000">
            <v:stroke dashstyle="solid"/>
            <w10:wrap type="none"/>
          </v:line>
        </w:pict>
      </w:r>
      <w:r>
        <w:rPr/>
        <w:pict>
          <v:line style="position:absolute;mso-position-horizontal-relative:page;mso-position-vertical-relative:paragraph;z-index:16201216" from="204.780006pt,-62.289089pt" to="200.447006pt,-62.289089pt" stroked="true" strokeweight=".5pt" strokecolor="#000000">
            <v:stroke dashstyle="solid"/>
            <w10:wrap type="none"/>
          </v:line>
        </w:pict>
      </w:r>
      <w:r>
        <w:rPr/>
        <w:pict>
          <v:line style="position:absolute;mso-position-horizontal-relative:page;mso-position-vertical-relative:paragraph;z-index:16202240" from="204.780006pt,-78.358086pt" to="200.447006pt,-78.358086pt" stroked="true" strokeweight=".5pt" strokecolor="#000000">
            <v:stroke dashstyle="solid"/>
            <w10:wrap type="none"/>
          </v:line>
        </w:pict>
      </w:r>
      <w:r>
        <w:rPr/>
        <w:pict>
          <v:line style="position:absolute;mso-position-horizontal-relative:page;mso-position-vertical-relative:paragraph;z-index:16202752" from="204.780006pt,-46.21909pt" to="200.447006pt,-46.21909pt" stroked="true" strokeweight=".5pt" strokecolor="#000000">
            <v:stroke dashstyle="solid"/>
            <w10:wrap type="none"/>
          </v:line>
        </w:pict>
      </w:r>
      <w:r>
        <w:rPr>
          <w:color w:val="0093C1"/>
        </w:rPr>
        <w:t>Chart 4.9</w:t>
      </w:r>
    </w:p>
    <w:p>
      <w:pPr>
        <w:spacing w:before="10"/>
        <w:ind w:left="175" w:right="0" w:firstLine="0"/>
        <w:jc w:val="left"/>
        <w:rPr>
          <w:b/>
          <w:sz w:val="20"/>
        </w:rPr>
      </w:pPr>
      <w:r>
        <w:rPr>
          <w:b/>
          <w:color w:val="0093C1"/>
          <w:sz w:val="20"/>
        </w:rPr>
        <w:t>Contributions to RPIX inflation</w:t>
      </w:r>
    </w:p>
    <w:p>
      <w:pPr>
        <w:pStyle w:val="BodyText"/>
        <w:spacing w:before="9"/>
        <w:rPr>
          <w:b/>
          <w:sz w:val="17"/>
        </w:rPr>
      </w:pPr>
    </w:p>
    <w:p>
      <w:pPr>
        <w:spacing w:before="0"/>
        <w:ind w:left="0" w:right="0" w:firstLine="0"/>
        <w:jc w:val="right"/>
        <w:rPr>
          <w:sz w:val="12"/>
        </w:rPr>
      </w:pPr>
      <w:r>
        <w:rPr>
          <w:sz w:val="12"/>
        </w:rPr>
        <w:t>Percentage points</w:t>
      </w:r>
    </w:p>
    <w:p>
      <w:pPr>
        <w:tabs>
          <w:tab w:pos="3399" w:val="left" w:leader="none"/>
        </w:tabs>
        <w:spacing w:line="20" w:lineRule="exact"/>
        <w:ind w:left="258" w:right="-72"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p>
    <w:p>
      <w:pPr>
        <w:pStyle w:val="BodyText"/>
        <w:spacing w:before="6"/>
        <w:rPr>
          <w:sz w:val="11"/>
        </w:rPr>
      </w:pPr>
    </w:p>
    <w:p>
      <w:pPr>
        <w:spacing w:before="0"/>
        <w:ind w:left="975" w:right="0" w:firstLine="0"/>
        <w:jc w:val="left"/>
        <w:rPr>
          <w:sz w:val="12"/>
        </w:rPr>
      </w:pPr>
      <w:r>
        <w:rPr/>
        <w:pict>
          <v:group style="position:absolute;margin-left:52.654999pt;margin-top:4.476563pt;width:145.65pt;height:127.35pt;mso-position-horizontal-relative:page;mso-position-vertical-relative:paragraph;z-index:-21938688" coordorigin="1053,90" coordsize="2913,2547">
            <v:shape style="position:absolute;left:1063;top:174;width:1630;height:688" coordorigin="1063,175" coordsize="1630,688" path="m1063,667l1191,712m1191,712l1318,637m1318,637l1436,712m1436,712l1561,787m1561,787l1688,862m1688,862l1816,697m1816,697l1943,667m1943,667l2071,577m2071,577l2186,667m2186,667l2313,502m2313,502l2441,427m2441,427l2568,175m2568,175l2693,220e" filled="false" stroked="true" strokeweight="1pt" strokecolor="#40ad49">
              <v:path arrowok="t"/>
              <v:stroke dashstyle="solid"/>
            </v:shape>
            <v:line style="position:absolute" from="2683,221" to="2831,221" stroked="true" strokeweight="1.125pt" strokecolor="#40ad49">
              <v:stroke dashstyle="solid"/>
            </v:line>
            <v:shape style="position:absolute;left:2820;top:219;width:1123;height:1138" coordorigin="2821,220" coordsize="1123,1138" path="m2821,220l2938,382m2938,382l3066,637m3066,637l3191,577m3191,577l3318,652m3318,652l3446,847m3446,847l3573,1102m3573,1102l3688,1357m3688,1357l3816,1117m3816,1117l3943,997e" filled="false" stroked="true" strokeweight="1pt" strokecolor="#40ad49">
              <v:path arrowok="t"/>
              <v:stroke dashstyle="solid"/>
            </v:shape>
            <v:shape style="position:absolute;left:1063;top:847;width:1505;height:583" coordorigin="1063,847" coordsize="1505,583" path="m1063,1177l1191,967m1191,967l1318,922m1318,922l1436,1057m1436,1057l1561,862m1561,862l1688,847m1688,847l1816,1222m1816,1222l1943,1177m1943,1177l2071,997m2071,997l2186,1192m2186,1192l2313,1267m2313,1267l2441,1327m2441,1327l2568,1430e" filled="false" stroked="true" strokeweight="1pt" strokecolor="#0066a5">
              <v:path arrowok="t"/>
              <v:stroke dashstyle="solid"/>
            </v:shape>
            <v:line style="position:absolute" from="2558,1423" to="2703,1423" stroked="true" strokeweight="1.625pt" strokecolor="#0066a5">
              <v:stroke dashstyle="solid"/>
            </v:line>
            <v:shape style="position:absolute;left:2693;top:1387;width:1250;height:388" coordorigin="2693,1387" coordsize="1250,388" path="m2693,1417l2821,1460m2821,1460l2938,1520m2938,1520l3066,1655m3066,1655l3191,1610m3191,1610l3318,1387m3318,1387l3446,1535m3446,1535l3573,1610m3573,1610l3688,1625m3688,1625l3816,1685m3816,1685l3943,1775e" filled="false" stroked="true" strokeweight="1pt" strokecolor="#0066a5">
              <v:path arrowok="t"/>
              <v:stroke dashstyle="solid"/>
            </v:shape>
            <v:shape style="position:absolute;left:1063;top:772;width:2880;height:1693" coordorigin="1063,772" coordsize="2880,1693" path="m1063,772l1191,832m1191,832l1318,922m1318,922l1436,952m1436,952l1561,907m1561,907l1688,1132m1688,1132l1816,1327m1816,1327l1943,1445m1943,1445l2071,1417m2071,1417l2186,1505m2186,1505l2313,1565m2313,1565l2441,1820m2441,1820l2568,1520m2568,1520l2693,1835m2693,1835l2821,1865m2821,1865l2938,1730m2938,1730l3066,1835m3066,1835l3191,1820m3191,1820l3318,1880m3318,1880l3446,2060m3446,2060l3573,2255m3573,2255l3688,2330m3688,2330l3816,2465m3816,2465l3943,2435e" filled="false" stroked="true" strokeweight="1pt" strokecolor="#9bd3ae">
              <v:path arrowok="t"/>
              <v:stroke dashstyle="solid"/>
            </v:shape>
            <v:shape style="position:absolute;left:1063;top:1132;width:1008;height:448" coordorigin="1063,1132" coordsize="1008,448" path="m1063,1132l1191,1177m1191,1177l1318,1267m1318,1267l1436,1342m1436,1342l1561,1387m1561,1387l1688,1460m1688,1460l1816,1490m1816,1490l1943,1565m1943,1565l2071,1580e" filled="false" stroked="true" strokeweight="1pt" strokecolor="#0093c0">
              <v:path arrowok="t"/>
              <v:stroke dashstyle="solid"/>
            </v:shape>
            <v:line style="position:absolute" from="2061,1581" to="2196,1581" stroked="true" strokeweight="1.125pt" strokecolor="#0093c0">
              <v:stroke dashstyle="solid"/>
            </v:line>
            <v:shape style="position:absolute;left:2185;top:1564;width:1630;height:435" coordorigin="2186,1565" coordsize="1630,435" path="m2186,1580l2313,1565m2313,1565l2441,1580m2441,1580l2568,1565m2568,1565l2693,1685m3066,1685l3191,1715m3191,1715l3318,1850m3318,1850l3446,1910m3446,1910l3573,1925m3573,1925l3688,1940m3688,1940l3816,2000e" filled="false" stroked="true" strokeweight="1pt" strokecolor="#0093c0">
              <v:path arrowok="t"/>
              <v:stroke dashstyle="solid"/>
            </v:shape>
            <v:line style="position:absolute" from="3806,2001" to="3953,2001" stroked="true" strokeweight="1.125pt" strokecolor="#0093c0">
              <v:stroke dashstyle="solid"/>
            </v:line>
            <v:shape style="position:absolute;left:1063;top:547;width:255;height:375" coordorigin="1063,547" coordsize="255,375" path="m1063,922l1191,742m1191,742l1318,547e" filled="false" stroked="true" strokeweight="1pt" strokecolor="#a6af49">
              <v:path arrowok="t"/>
              <v:stroke dashstyle="solid"/>
            </v:shape>
            <v:line style="position:absolute" from="1308,548" to="1446,548" stroked="true" strokeweight="1.125pt" strokecolor="#a6af49">
              <v:stroke dashstyle="solid"/>
            </v:line>
            <v:shape style="position:absolute;left:1435;top:99;width:2508;height:1750" coordorigin="1436,100" coordsize="2508,1750" path="m1436,547l1561,100m1561,100l1688,802m1688,802l1816,892m1816,892l1943,367m1943,367l2071,547m2071,547l2186,457m2186,457l2313,442m2313,442l2441,115m2441,115l2568,220m2568,220l2693,115m2693,115l2821,322m2821,322l2938,652m2938,652l3066,997m3066,997l3191,1087m3191,1087l3318,1177m3318,1177l3446,1850m3446,1850l3573,1460m3573,1460l3688,1445m3688,1445l3816,1342m3816,1342l3943,1790e" filled="false" stroked="true" strokeweight="1pt" strokecolor="#a6af49">
              <v:path arrowok="t"/>
              <v:stroke dashstyle="solid"/>
            </v:shape>
            <v:shape style="position:absolute;left:1063;top:1432;width:2882;height:1198" coordorigin="1064,1433" coordsize="2882,1198" path="m1066,2631l3938,2631m1064,2537l1064,2630m1565,2577l1565,2630m2317,2577l2317,2630m3820,2577l3820,2630m2818,2577l2818,2630m1314,2577l1314,2630m1816,2577l1816,2630m3069,2577l3069,2630m3319,2577l3319,2630m2066,2577l2066,2630m3570,2577l3570,2630m2567,2537l2567,2630m1189,2577l1189,2630m1690,2577l1690,2630m2442,2577l2442,2630m3946,2577l3946,2630m2943,2577l2943,2630m1440,2577l1440,2630m1941,2577l1941,2630m3194,2577l3194,2630m3444,2577l3444,2630m2192,2577l2192,2630m3695,2577l3695,2630m2693,2577l2693,2630m2399,1433l1979,2100e" filled="false" stroked="true" strokeweight=".5pt" strokecolor="#000000">
              <v:path arrowok="t"/>
              <v:stroke dashstyle="solid"/>
            </v:shape>
            <v:shape style="position:absolute;left:2369;top:1375;width:67;height:86" coordorigin="2369,1375" coordsize="67,86" path="m2436,1375l2369,1434,2412,1461,2428,1394,2432,1384,2436,1375xe" filled="true" fillcolor="#000000" stroked="false">
              <v:path arrowok="t"/>
              <v:fill type="solid"/>
            </v:shape>
            <v:shape style="position:absolute;left:1058;top:316;width:2907;height:547" type="#_x0000_t202" filled="false" stroked="false">
              <v:textbox inset="0,0,0,0">
                <w:txbxContent>
                  <w:p>
                    <w:pPr>
                      <w:spacing w:line="133" w:lineRule="exact" w:before="0"/>
                      <w:ind w:left="1908" w:right="0" w:firstLine="0"/>
                      <w:jc w:val="left"/>
                      <w:rPr>
                        <w:sz w:val="12"/>
                      </w:rPr>
                    </w:pPr>
                    <w:r>
                      <w:rPr>
                        <w:sz w:val="12"/>
                      </w:rPr>
                      <w:t>Non-seasonal food</w:t>
                    </w:r>
                  </w:p>
                  <w:p>
                    <w:pPr>
                      <w:spacing w:line="240" w:lineRule="auto" w:before="0"/>
                      <w:rPr>
                        <w:sz w:val="12"/>
                      </w:rPr>
                    </w:pPr>
                  </w:p>
                  <w:p>
                    <w:pPr>
                      <w:tabs>
                        <w:tab w:pos="2886" w:val="left" w:leader="none"/>
                      </w:tabs>
                      <w:spacing w:before="91"/>
                      <w:ind w:left="0" w:right="0" w:firstLine="0"/>
                      <w:jc w:val="left"/>
                      <w:rPr>
                        <w:sz w:val="16"/>
                      </w:rPr>
                    </w:pPr>
                    <w:r>
                      <w:rPr>
                        <w:sz w:val="16"/>
                        <w:u w:val="single"/>
                      </w:rPr>
                      <w:t> </w:t>
                      <w:tab/>
                    </w:r>
                  </w:p>
                </w:txbxContent>
              </v:textbox>
              <w10:wrap type="none"/>
            </v:shape>
            <v:shape style="position:absolute;left:1263;top:1564;width:697;height:133" type="#_x0000_t202" filled="false" stroked="false">
              <v:textbox inset="0,0,0,0">
                <w:txbxContent>
                  <w:p>
                    <w:pPr>
                      <w:spacing w:line="133" w:lineRule="exact" w:before="0"/>
                      <w:ind w:left="0" w:right="0" w:firstLine="0"/>
                      <w:jc w:val="left"/>
                      <w:rPr>
                        <w:sz w:val="12"/>
                      </w:rPr>
                    </w:pPr>
                    <w:r>
                      <w:rPr>
                        <w:sz w:val="12"/>
                      </w:rPr>
                      <w:t>Leisure goods</w:t>
                    </w:r>
                  </w:p>
                </w:txbxContent>
              </v:textbox>
              <w10:wrap type="none"/>
            </v:shape>
            <v:shape style="position:absolute;left:2683;top:1564;width:413;height:133" type="#_x0000_t202" filled="false" stroked="false">
              <v:textbox inset="0,0,0,0">
                <w:txbxContent>
                  <w:p>
                    <w:pPr>
                      <w:tabs>
                        <w:tab w:pos="392" w:val="left" w:leader="none"/>
                      </w:tabs>
                      <w:spacing w:line="133" w:lineRule="exact" w:before="0"/>
                      <w:ind w:left="0" w:right="0" w:firstLine="0"/>
                      <w:jc w:val="left"/>
                      <w:rPr>
                        <w:sz w:val="12"/>
                      </w:rPr>
                    </w:pPr>
                    <w:r>
                      <w:rPr>
                        <w:sz w:val="12"/>
                        <w:u w:val="thick" w:color="0093C0"/>
                      </w:rPr>
                      <w:t> </w:t>
                      <w:tab/>
                    </w:r>
                  </w:p>
                </w:txbxContent>
              </v:textbox>
              <w10:wrap type="none"/>
            </v:shape>
            <v:shape style="position:absolute;left:1388;top:2100;width:1100;height:134" type="#_x0000_t202" filled="false" stroked="false">
              <v:textbox inset="0,0,0,0">
                <w:txbxContent>
                  <w:p>
                    <w:pPr>
                      <w:spacing w:line="133" w:lineRule="exact" w:before="0"/>
                      <w:ind w:left="0" w:right="0" w:firstLine="0"/>
                      <w:jc w:val="left"/>
                      <w:rPr>
                        <w:sz w:val="12"/>
                      </w:rPr>
                    </w:pPr>
                    <w:r>
                      <w:rPr>
                        <w:sz w:val="12"/>
                      </w:rPr>
                      <w:t>Clothing and footwear</w:t>
                    </w:r>
                  </w:p>
                </w:txbxContent>
              </v:textbox>
              <w10:wrap type="none"/>
            </v:shape>
            <v:shape style="position:absolute;left:2850;top:2229;width:744;height:134" type="#_x0000_t202" filled="false" stroked="false">
              <v:textbox inset="0,0,0,0">
                <w:txbxContent>
                  <w:p>
                    <w:pPr>
                      <w:spacing w:line="133" w:lineRule="exact" w:before="0"/>
                      <w:ind w:left="0" w:right="0" w:firstLine="0"/>
                      <w:jc w:val="left"/>
                      <w:rPr>
                        <w:sz w:val="12"/>
                      </w:rPr>
                    </w:pPr>
                    <w:r>
                      <w:rPr>
                        <w:sz w:val="12"/>
                      </w:rPr>
                      <w:t>Motor vehicles</w:t>
                    </w:r>
                  </w:p>
                </w:txbxContent>
              </v:textbox>
              <w10:wrap type="none"/>
            </v:shape>
            <w10:wrap type="none"/>
          </v:group>
        </w:pict>
      </w:r>
      <w:r>
        <w:rPr>
          <w:sz w:val="12"/>
        </w:rPr>
        <w:t>Seasonal food</w:t>
      </w:r>
    </w:p>
    <w:p>
      <w:pPr>
        <w:tabs>
          <w:tab w:pos="3399" w:val="left" w:leader="none"/>
        </w:tabs>
        <w:spacing w:line="20" w:lineRule="exact"/>
        <w:ind w:left="258" w:right="-72"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10"/>
        <w:rPr>
          <w:sz w:val="14"/>
        </w:rPr>
      </w:pPr>
    </w:p>
    <w:p>
      <w:pPr>
        <w:tabs>
          <w:tab w:pos="3399" w:val="left" w:leader="none"/>
        </w:tabs>
        <w:spacing w:line="20" w:lineRule="exact"/>
        <w:ind w:left="258" w:right="-72"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4"/>
        </w:rPr>
      </w:pPr>
    </w:p>
    <w:p>
      <w:pPr>
        <w:spacing w:before="0"/>
        <w:ind w:left="-4" w:right="0" w:firstLine="0"/>
        <w:jc w:val="left"/>
        <w:rPr>
          <w:sz w:val="12"/>
        </w:rPr>
      </w:pPr>
      <w:r>
        <w:rPr>
          <w:sz w:val="12"/>
        </w:rPr>
        <w:t>4.5</w:t>
      </w:r>
    </w:p>
    <w:p>
      <w:pPr>
        <w:pStyle w:val="BodyText"/>
        <w:spacing w:before="9"/>
        <w:rPr>
          <w:sz w:val="15"/>
        </w:rPr>
      </w:pPr>
    </w:p>
    <w:p>
      <w:pPr>
        <w:spacing w:before="1"/>
        <w:ind w:left="-4" w:right="0" w:firstLine="0"/>
        <w:jc w:val="left"/>
        <w:rPr>
          <w:sz w:val="12"/>
        </w:rPr>
      </w:pPr>
      <w:r>
        <w:rPr>
          <w:sz w:val="12"/>
        </w:rPr>
        <w:t>4.0</w:t>
      </w:r>
    </w:p>
    <w:p>
      <w:pPr>
        <w:pStyle w:val="BodyText"/>
        <w:spacing w:before="9"/>
        <w:rPr>
          <w:sz w:val="15"/>
        </w:rPr>
      </w:pPr>
    </w:p>
    <w:p>
      <w:pPr>
        <w:spacing w:before="0"/>
        <w:ind w:left="-4" w:right="0" w:firstLine="0"/>
        <w:jc w:val="left"/>
        <w:rPr>
          <w:sz w:val="12"/>
        </w:rPr>
      </w:pPr>
      <w:r>
        <w:rPr>
          <w:sz w:val="12"/>
        </w:rPr>
        <w:t>3.5</w:t>
      </w:r>
    </w:p>
    <w:p>
      <w:pPr>
        <w:pStyle w:val="BodyText"/>
        <w:spacing w:before="10"/>
        <w:rPr>
          <w:sz w:val="15"/>
        </w:rPr>
      </w:pPr>
    </w:p>
    <w:p>
      <w:pPr>
        <w:spacing w:before="0"/>
        <w:ind w:left="-4" w:right="0" w:firstLine="0"/>
        <w:jc w:val="left"/>
        <w:rPr>
          <w:sz w:val="12"/>
        </w:rPr>
      </w:pPr>
      <w:r>
        <w:rPr>
          <w:sz w:val="12"/>
        </w:rPr>
        <w:t>3.0</w:t>
      </w:r>
    </w:p>
    <w:p>
      <w:pPr>
        <w:pStyle w:val="BodyText"/>
        <w:spacing w:before="9"/>
        <w:rPr>
          <w:sz w:val="15"/>
        </w:rPr>
      </w:pPr>
    </w:p>
    <w:p>
      <w:pPr>
        <w:spacing w:before="0"/>
        <w:ind w:left="-4" w:right="0" w:firstLine="0"/>
        <w:jc w:val="left"/>
        <w:rPr>
          <w:sz w:val="12"/>
        </w:rPr>
      </w:pPr>
      <w:r>
        <w:rPr>
          <w:sz w:val="12"/>
        </w:rPr>
        <w:t>2.5</w:t>
      </w:r>
    </w:p>
    <w:p>
      <w:pPr>
        <w:pStyle w:val="BodyText"/>
        <w:spacing w:before="10"/>
        <w:rPr>
          <w:sz w:val="15"/>
        </w:rPr>
      </w:pPr>
    </w:p>
    <w:p>
      <w:pPr>
        <w:spacing w:before="0"/>
        <w:ind w:left="-4" w:right="0" w:firstLine="0"/>
        <w:jc w:val="left"/>
        <w:rPr>
          <w:sz w:val="12"/>
        </w:rPr>
      </w:pPr>
      <w:r>
        <w:rPr>
          <w:sz w:val="12"/>
        </w:rPr>
        <w:t>2.0</w:t>
      </w:r>
    </w:p>
    <w:p>
      <w:pPr>
        <w:pStyle w:val="BodyText"/>
        <w:spacing w:before="9"/>
        <w:rPr>
          <w:sz w:val="15"/>
        </w:rPr>
      </w:pPr>
    </w:p>
    <w:p>
      <w:pPr>
        <w:spacing w:before="0"/>
        <w:ind w:left="-4" w:right="0" w:firstLine="0"/>
        <w:jc w:val="left"/>
        <w:rPr>
          <w:sz w:val="12"/>
        </w:rPr>
      </w:pPr>
      <w:r>
        <w:rPr>
          <w:sz w:val="12"/>
        </w:rPr>
        <w:t>1.5</w:t>
      </w:r>
    </w:p>
    <w:p>
      <w:pPr>
        <w:pStyle w:val="BodyText"/>
        <w:spacing w:before="10"/>
        <w:rPr>
          <w:sz w:val="15"/>
        </w:rPr>
      </w:pPr>
    </w:p>
    <w:p>
      <w:pPr>
        <w:spacing w:before="0"/>
        <w:ind w:left="-4" w:right="0" w:firstLine="0"/>
        <w:jc w:val="left"/>
        <w:rPr>
          <w:sz w:val="12"/>
        </w:rPr>
      </w:pPr>
      <w:r>
        <w:rPr>
          <w:sz w:val="12"/>
        </w:rPr>
        <w:t>1.0</w:t>
      </w:r>
    </w:p>
    <w:p>
      <w:pPr>
        <w:pStyle w:val="BodyText"/>
        <w:spacing w:before="9"/>
        <w:rPr>
          <w:sz w:val="15"/>
        </w:rPr>
      </w:pPr>
    </w:p>
    <w:p>
      <w:pPr>
        <w:spacing w:before="0"/>
        <w:ind w:left="-4" w:right="0" w:firstLine="0"/>
        <w:jc w:val="left"/>
        <w:rPr>
          <w:sz w:val="12"/>
        </w:rPr>
      </w:pPr>
      <w:r>
        <w:rPr>
          <w:sz w:val="12"/>
        </w:rPr>
        <w:t>0.5</w:t>
      </w:r>
    </w:p>
    <w:p>
      <w:pPr>
        <w:pStyle w:val="BodyText"/>
        <w:spacing w:before="10"/>
        <w:rPr>
          <w:sz w:val="15"/>
        </w:rPr>
      </w:pPr>
    </w:p>
    <w:p>
      <w:pPr>
        <w:spacing w:before="0"/>
        <w:ind w:left="-4" w:right="0" w:firstLine="0"/>
        <w:jc w:val="left"/>
        <w:rPr>
          <w:sz w:val="12"/>
        </w:rPr>
      </w:pPr>
      <w:r>
        <w:rPr>
          <w:sz w:val="12"/>
        </w:rPr>
        <w:t>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0"/>
        <w:ind w:left="3" w:right="0" w:firstLine="0"/>
        <w:jc w:val="left"/>
        <w:rPr>
          <w:sz w:val="12"/>
        </w:rPr>
      </w:pPr>
      <w:r>
        <w:rPr>
          <w:sz w:val="12"/>
        </w:rPr>
        <w:t>0.3</w:t>
      </w:r>
    </w:p>
    <w:p>
      <w:pPr>
        <w:pStyle w:val="BodyText"/>
        <w:rPr>
          <w:sz w:val="12"/>
        </w:rPr>
      </w:pPr>
    </w:p>
    <w:p>
      <w:pPr>
        <w:pStyle w:val="BodyText"/>
        <w:spacing w:before="10"/>
        <w:rPr>
          <w:sz w:val="11"/>
        </w:rPr>
      </w:pPr>
    </w:p>
    <w:p>
      <w:pPr>
        <w:spacing w:before="0"/>
        <w:ind w:left="3" w:right="0" w:firstLine="0"/>
        <w:jc w:val="left"/>
        <w:rPr>
          <w:sz w:val="12"/>
        </w:rPr>
      </w:pPr>
      <w:r>
        <w:rPr>
          <w:sz w:val="12"/>
        </w:rPr>
        <w:t>0.2</w:t>
      </w:r>
    </w:p>
    <w:p>
      <w:pPr>
        <w:pStyle w:val="BodyText"/>
        <w:rPr>
          <w:sz w:val="12"/>
        </w:rPr>
      </w:pPr>
    </w:p>
    <w:p>
      <w:pPr>
        <w:pStyle w:val="BodyText"/>
        <w:spacing w:before="10"/>
        <w:rPr>
          <w:sz w:val="11"/>
        </w:rPr>
      </w:pPr>
    </w:p>
    <w:p>
      <w:pPr>
        <w:spacing w:before="0"/>
        <w:ind w:left="3" w:right="0" w:firstLine="0"/>
        <w:jc w:val="left"/>
        <w:rPr>
          <w:sz w:val="12"/>
        </w:rPr>
      </w:pPr>
      <w:r>
        <w:rPr>
          <w:sz w:val="12"/>
        </w:rPr>
        <w:t>0.1</w:t>
      </w:r>
    </w:p>
    <w:p>
      <w:pPr>
        <w:pStyle w:val="Heading6"/>
        <w:spacing w:line="242" w:lineRule="auto" w:before="206"/>
        <w:ind w:left="175" w:right="154"/>
      </w:pPr>
      <w:r>
        <w:rPr/>
        <w:br w:type="column"/>
      </w:r>
      <w:r>
        <w:rPr/>
        <w:t>Retail goods price inflation fell to 0.3% in December, the lowest rate since 1975. Over the past year the price of road fuel has risen sharply, contributing 0.7 percentage points to annual RPIX inflation in December, but the prices of many other retail goods are falling. There are some important sector-specific effects. The decline of 6% in the price of motor vehicles made the largest negative contribution (0.35 percentage points) to annual RPIX inflation in December (see Chart 4.9).  That reflects a fall in second-hand car prices, as new car </w:t>
      </w:r>
      <w:r>
        <w:rPr>
          <w:spacing w:val="-3"/>
        </w:rPr>
        <w:t>prices </w:t>
      </w:r>
      <w:r>
        <w:rPr/>
        <w:t>do not enter the RPI. But second-hand car prices may have been affected by expectations about the consequences of the Competition Commission inquiry </w:t>
      </w:r>
      <w:hyperlink w:history="true" w:anchor="_bookmark13">
        <w:r>
          <w:rPr/>
          <w:t>into new car retailing (see the box on pages 16–17).</w:t>
        </w:r>
      </w:hyperlink>
      <w:r>
        <w:rPr/>
        <w:t> The contribution of non-seasonal food price inflation fell between March and October 1999, possibly reflecting an increase in the degree of competition between supermarkets. But non-seasonal food prices rose slightly in November and</w:t>
      </w:r>
      <w:r>
        <w:rPr>
          <w:spacing w:val="-1"/>
        </w:rPr>
        <w:t> </w:t>
      </w:r>
      <w:r>
        <w:rPr/>
        <w:t>December.</w:t>
      </w:r>
    </w:p>
    <w:p>
      <w:pPr>
        <w:pStyle w:val="BodyText"/>
        <w:spacing w:before="6"/>
        <w:rPr>
          <w:sz w:val="29"/>
        </w:rPr>
      </w:pPr>
    </w:p>
    <w:p>
      <w:pPr>
        <w:spacing w:line="280" w:lineRule="atLeast" w:before="1"/>
        <w:ind w:left="175" w:right="362" w:firstLine="0"/>
        <w:jc w:val="left"/>
        <w:rPr>
          <w:sz w:val="24"/>
        </w:rPr>
      </w:pPr>
      <w:r>
        <w:rPr>
          <w:sz w:val="24"/>
        </w:rPr>
        <w:t>The decline in retail goods price inflation could also be indicative of an increase in the degree of price</w:t>
      </w:r>
    </w:p>
    <w:p>
      <w:pPr>
        <w:spacing w:after="0" w:line="280" w:lineRule="atLeast"/>
        <w:jc w:val="left"/>
        <w:rPr>
          <w:sz w:val="24"/>
        </w:rPr>
        <w:sectPr>
          <w:type w:val="continuous"/>
          <w:pgSz w:w="11900" w:h="16840"/>
          <w:pgMar w:top="1220" w:bottom="280" w:left="620" w:right="640"/>
          <w:cols w:num="3" w:equalWidth="0">
            <w:col w:w="3492" w:space="40"/>
            <w:col w:w="194" w:space="1058"/>
            <w:col w:w="5856"/>
          </w:cols>
        </w:sectPr>
      </w:pPr>
    </w:p>
    <w:p>
      <w:pPr>
        <w:pStyle w:val="BodyText"/>
        <w:spacing w:before="6"/>
        <w:rPr>
          <w:sz w:val="19"/>
        </w:rPr>
      </w:pPr>
    </w:p>
    <w:p>
      <w:pPr>
        <w:pStyle w:val="BodyText"/>
        <w:spacing w:line="20" w:lineRule="exact"/>
        <w:ind w:left="258"/>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2"/>
        <w:rPr>
          <w:sz w:val="10"/>
        </w:rPr>
      </w:pPr>
      <w:r>
        <w:rPr/>
        <w:pict>
          <v:shape style="position:absolute;margin-left:44.154999pt;margin-top:8.093977pt;width:4.350pt;height:.1pt;mso-position-horizontal-relative:page;mso-position-vertical-relative:paragraph;z-index:-15264768;mso-wrap-distance-left:0;mso-wrap-distance-right:0" coordorigin="883,162" coordsize="87,0" path="m970,162l883,162e" filled="false" stroked="true" strokeweight=".5pt" strokecolor="#000000">
            <v:path arrowok="t"/>
            <v:stroke dashstyle="solid"/>
            <w10:wrap type="topAndBottom"/>
          </v:shape>
        </w:pict>
      </w:r>
      <w:r>
        <w:rPr/>
        <w:pict>
          <v:shape style="position:absolute;margin-left:44.154999pt;margin-top:28.756977pt;width:4.350pt;height:.1pt;mso-position-horizontal-relative:page;mso-position-vertical-relative:paragraph;z-index:-15264256;mso-wrap-distance-left:0;mso-wrap-distance-right:0" coordorigin="883,575" coordsize="87,0" path="m970,575l883,575e" filled="false" stroked="true" strokeweight=".5pt" strokecolor="#000000">
            <v:path arrowok="t"/>
            <v:stroke dashstyle="solid"/>
            <w10:wrap type="topAndBottom"/>
          </v:shape>
        </w:pict>
      </w:r>
      <w:r>
        <w:rPr/>
        <w:pict>
          <v:shape style="position:absolute;margin-left:44.154999pt;margin-top:49.420975pt;width:4.350pt;height:.1pt;mso-position-horizontal-relative:page;mso-position-vertical-relative:paragraph;z-index:-15263744;mso-wrap-distance-left:0;mso-wrap-distance-right:0" coordorigin="883,988" coordsize="87,0" path="m970,988l883,988e" filled="false" stroked="true" strokeweight=".5pt" strokecolor="#000000">
            <v:path arrowok="t"/>
            <v:stroke dashstyle="solid"/>
            <w10:wrap type="topAndBottom"/>
          </v:shape>
        </w:pict>
      </w:r>
      <w:r>
        <w:rPr/>
        <w:pict>
          <v:shape style="position:absolute;margin-left:44.154999pt;margin-top:70.084976pt;width:4.350pt;height:.1pt;mso-position-horizontal-relative:page;mso-position-vertical-relative:paragraph;z-index:-15263232;mso-wrap-distance-left:0;mso-wrap-distance-right:0" coordorigin="883,1402" coordsize="87,0" path="m970,1402l883,1402e" filled="false" stroked="true" strokeweight=".5pt" strokecolor="#000000">
            <v:path arrowok="t"/>
            <v:stroke dashstyle="solid"/>
            <w10:wrap type="topAndBottom"/>
          </v:shape>
        </w:pict>
      </w:r>
    </w:p>
    <w:p>
      <w:pPr>
        <w:pStyle w:val="BodyText"/>
        <w:spacing w:before="1"/>
        <w:rPr>
          <w:sz w:val="29"/>
        </w:rPr>
      </w:pPr>
    </w:p>
    <w:p>
      <w:pPr>
        <w:pStyle w:val="BodyText"/>
        <w:spacing w:before="1"/>
        <w:rPr>
          <w:sz w:val="29"/>
        </w:rPr>
      </w:pPr>
    </w:p>
    <w:p>
      <w:pPr>
        <w:pStyle w:val="BodyText"/>
        <w:spacing w:before="1"/>
        <w:rPr>
          <w:sz w:val="29"/>
        </w:rPr>
      </w:pPr>
    </w:p>
    <w:p>
      <w:pPr>
        <w:tabs>
          <w:tab w:pos="2665" w:val="left" w:leader="none"/>
        </w:tabs>
        <w:spacing w:before="23"/>
        <w:ind w:left="1073" w:right="0" w:firstLine="0"/>
        <w:jc w:val="left"/>
        <w:rPr>
          <w:sz w:val="12"/>
        </w:rPr>
      </w:pPr>
      <w:r>
        <w:rPr>
          <w:sz w:val="12"/>
        </w:rPr>
        <w:t>1998</w:t>
        <w:tab/>
        <w:t>99</w:t>
      </w:r>
    </w:p>
    <w:p>
      <w:pPr>
        <w:pStyle w:val="BodyText"/>
        <w:rPr>
          <w:sz w:val="12"/>
        </w:rPr>
      </w:pPr>
    </w:p>
    <w:p>
      <w:pPr>
        <w:pStyle w:val="BodyText"/>
        <w:rPr>
          <w:sz w:val="12"/>
        </w:rPr>
      </w:pPr>
    </w:p>
    <w:p>
      <w:pPr>
        <w:pStyle w:val="BodyText"/>
        <w:rPr>
          <w:sz w:val="12"/>
        </w:rPr>
      </w:pPr>
    </w:p>
    <w:p>
      <w:pPr>
        <w:pStyle w:val="Heading9"/>
        <w:spacing w:before="107"/>
        <w:ind w:left="175"/>
      </w:pPr>
      <w:r>
        <w:rPr>
          <w:color w:val="0093C1"/>
        </w:rPr>
        <w:t>Chart 4.10</w:t>
      </w:r>
    </w:p>
    <w:p>
      <w:pPr>
        <w:spacing w:line="110" w:lineRule="exact" w:before="0"/>
        <w:ind w:left="175" w:right="0" w:firstLine="0"/>
        <w:jc w:val="left"/>
        <w:rPr>
          <w:sz w:val="16"/>
        </w:rPr>
      </w:pPr>
      <w:r>
        <w:rPr/>
        <w:br w:type="column"/>
      </w:r>
      <w:r>
        <w:rPr>
          <w:sz w:val="16"/>
          <w:u w:val="single"/>
        </w:rPr>
        <w:t>  </w:t>
      </w:r>
      <w:r>
        <w:rPr>
          <w:sz w:val="16"/>
        </w:rPr>
        <w:t>+</w:t>
      </w:r>
    </w:p>
    <w:p>
      <w:pPr>
        <w:spacing w:line="134" w:lineRule="exact" w:before="45"/>
        <w:ind w:left="305" w:right="0" w:firstLine="0"/>
        <w:jc w:val="left"/>
        <w:rPr>
          <w:sz w:val="12"/>
        </w:rPr>
      </w:pPr>
      <w:r>
        <w:rPr>
          <w:sz w:val="12"/>
        </w:rPr>
        <w:t>0.0</w:t>
      </w:r>
    </w:p>
    <w:p>
      <w:pPr>
        <w:spacing w:line="180" w:lineRule="exact" w:before="0"/>
        <w:ind w:left="273" w:right="0" w:firstLine="0"/>
        <w:jc w:val="left"/>
        <w:rPr>
          <w:sz w:val="16"/>
        </w:rPr>
      </w:pPr>
      <w:r>
        <w:rPr>
          <w:sz w:val="16"/>
        </w:rPr>
        <w:t>–</w:t>
      </w:r>
    </w:p>
    <w:p>
      <w:pPr>
        <w:spacing w:before="98"/>
        <w:ind w:left="305" w:right="0" w:firstLine="0"/>
        <w:jc w:val="left"/>
        <w:rPr>
          <w:sz w:val="12"/>
        </w:rPr>
      </w:pPr>
      <w:r>
        <w:rPr/>
        <w:pict>
          <v:line style="position:absolute;mso-position-horizontal-relative:page;mso-position-vertical-relative:paragraph;z-index:16207872" from="205.572007pt,8.387548pt" to="201.238007pt,8.387548pt" stroked="true" strokeweight=".5pt" strokecolor="#000000">
            <v:stroke dashstyle="solid"/>
            <w10:wrap type="none"/>
          </v:line>
        </w:pict>
      </w:r>
      <w:r>
        <w:rPr>
          <w:sz w:val="12"/>
        </w:rPr>
        <w:t>0.1</w:t>
      </w:r>
    </w:p>
    <w:p>
      <w:pPr>
        <w:pStyle w:val="BodyText"/>
        <w:rPr>
          <w:sz w:val="12"/>
        </w:rPr>
      </w:pPr>
    </w:p>
    <w:p>
      <w:pPr>
        <w:pStyle w:val="BodyText"/>
        <w:spacing w:before="10"/>
        <w:rPr>
          <w:sz w:val="11"/>
        </w:rPr>
      </w:pPr>
    </w:p>
    <w:p>
      <w:pPr>
        <w:spacing w:before="0"/>
        <w:ind w:left="305" w:right="0" w:firstLine="0"/>
        <w:jc w:val="left"/>
        <w:rPr>
          <w:sz w:val="12"/>
        </w:rPr>
      </w:pPr>
      <w:r>
        <w:rPr/>
        <w:pict>
          <v:line style="position:absolute;mso-position-horizontal-relative:page;mso-position-vertical-relative:paragraph;z-index:16206848" from="205.572007pt,3.508573pt" to="201.238007pt,3.508573pt" stroked="true" strokeweight=".5pt" strokecolor="#000000">
            <v:stroke dashstyle="solid"/>
            <w10:wrap type="none"/>
          </v:line>
        </w:pict>
      </w:r>
      <w:r>
        <w:rPr>
          <w:sz w:val="12"/>
        </w:rPr>
        <w:t>0.2</w:t>
      </w:r>
    </w:p>
    <w:p>
      <w:pPr>
        <w:pStyle w:val="BodyText"/>
        <w:rPr>
          <w:sz w:val="12"/>
        </w:rPr>
      </w:pPr>
    </w:p>
    <w:p>
      <w:pPr>
        <w:pStyle w:val="BodyText"/>
        <w:spacing w:before="11"/>
        <w:rPr>
          <w:sz w:val="11"/>
        </w:rPr>
      </w:pPr>
    </w:p>
    <w:p>
      <w:pPr>
        <w:spacing w:before="0"/>
        <w:ind w:left="305" w:right="0" w:firstLine="0"/>
        <w:jc w:val="left"/>
        <w:rPr>
          <w:sz w:val="12"/>
        </w:rPr>
      </w:pPr>
      <w:r>
        <w:rPr/>
        <w:pict>
          <v:line style="position:absolute;mso-position-horizontal-relative:page;mso-position-vertical-relative:paragraph;z-index:16208384" from="205.572007pt,3.528568pt" to="201.238007pt,3.528568pt" stroked="true" strokeweight=".5pt" strokecolor="#000000">
            <v:stroke dashstyle="solid"/>
            <w10:wrap type="none"/>
          </v:line>
        </w:pict>
      </w:r>
      <w:r>
        <w:rPr>
          <w:sz w:val="12"/>
        </w:rPr>
        <w:t>0.3</w:t>
      </w:r>
    </w:p>
    <w:p>
      <w:pPr>
        <w:pStyle w:val="BodyText"/>
        <w:rPr>
          <w:sz w:val="12"/>
        </w:rPr>
      </w:pPr>
    </w:p>
    <w:p>
      <w:pPr>
        <w:pStyle w:val="BodyText"/>
        <w:spacing w:before="10"/>
        <w:rPr>
          <w:sz w:val="11"/>
        </w:rPr>
      </w:pPr>
    </w:p>
    <w:p>
      <w:pPr>
        <w:spacing w:before="0"/>
        <w:ind w:left="305" w:right="0" w:firstLine="0"/>
        <w:jc w:val="left"/>
        <w:rPr>
          <w:sz w:val="12"/>
        </w:rPr>
      </w:pPr>
      <w:r>
        <w:rPr/>
        <w:pict>
          <v:line style="position:absolute;mso-position-horizontal-relative:page;mso-position-vertical-relative:paragraph;z-index:16207360" from="205.572007pt,3.549562pt" to="201.238007pt,3.549562pt" stroked="true" strokeweight=".5pt" strokecolor="#000000">
            <v:stroke dashstyle="solid"/>
            <w10:wrap type="none"/>
          </v:line>
        </w:pict>
      </w:r>
      <w:r>
        <w:rPr>
          <w:sz w:val="12"/>
        </w:rPr>
        <w:t>0.4</w:t>
      </w:r>
    </w:p>
    <w:p>
      <w:pPr>
        <w:pStyle w:val="Heading6"/>
        <w:spacing w:line="242" w:lineRule="auto" w:before="4"/>
        <w:ind w:left="175" w:right="209"/>
      </w:pPr>
      <w:r>
        <w:rPr/>
        <w:br w:type="column"/>
      </w:r>
      <w:r>
        <w:rPr/>
        <w:t>competition in the retail sector more broadly. New technology, such as the Internet, may be enabling new firms with lower unit costs to enter the retail market. That technology may also have lowered the cost to consumers of searching across different retailers to obtain alternative prices. If, as a result, consumer demand has become more price-sensitive, then we might expect to see a decline in retailers’ margins. During the period of adjustment to a lower level of unit costs, or margins, retail price inflation may decline temporarily.</w:t>
      </w:r>
    </w:p>
    <w:p>
      <w:pPr>
        <w:spacing w:after="0" w:line="242" w:lineRule="auto"/>
        <w:sectPr>
          <w:type w:val="continuous"/>
          <w:pgSz w:w="11900" w:h="16840"/>
          <w:pgMar w:top="1220" w:bottom="280" w:left="620" w:right="640"/>
          <w:cols w:num="3" w:equalWidth="0">
            <w:col w:w="2826" w:space="403"/>
            <w:col w:w="496" w:space="1059"/>
            <w:col w:w="5856"/>
          </w:cols>
        </w:sectPr>
      </w:pPr>
    </w:p>
    <w:p>
      <w:pPr>
        <w:pStyle w:val="Heading9"/>
        <w:spacing w:line="249" w:lineRule="auto" w:before="11"/>
        <w:ind w:left="175" w:right="20"/>
      </w:pPr>
      <w:r>
        <w:rPr>
          <w:color w:val="0093C1"/>
        </w:rPr>
        <w:t>Retailers’ and manufacturers’ selling price expectations</w:t>
      </w:r>
    </w:p>
    <w:p>
      <w:pPr>
        <w:spacing w:line="115" w:lineRule="exact" w:before="191"/>
        <w:ind w:left="2598" w:right="0" w:firstLine="0"/>
        <w:jc w:val="left"/>
        <w:rPr>
          <w:sz w:val="12"/>
        </w:rPr>
      </w:pPr>
      <w:r>
        <w:rPr>
          <w:sz w:val="12"/>
        </w:rPr>
        <w:t>Percentage balance</w:t>
      </w:r>
    </w:p>
    <w:p>
      <w:pPr>
        <w:spacing w:line="115" w:lineRule="exact" w:before="0"/>
        <w:ind w:left="3553" w:right="0" w:firstLine="0"/>
        <w:jc w:val="left"/>
        <w:rPr>
          <w:sz w:val="12"/>
        </w:rPr>
      </w:pPr>
      <w:r>
        <w:rPr/>
        <w:pict>
          <v:line style="position:absolute;mso-position-horizontal-relative:page;mso-position-vertical-relative:paragraph;z-index:16214528" from="50.946999pt,2.416277pt" to="46.612999pt,2.416277pt" stroked="true" strokeweight=".5pt" strokecolor="#000000">
            <v:stroke dashstyle="solid"/>
            <w10:wrap type="none"/>
          </v:line>
        </w:pict>
      </w:r>
      <w:r>
        <w:rPr/>
        <w:pict>
          <v:line style="position:absolute;mso-position-horizontal-relative:page;mso-position-vertical-relative:paragraph;z-index:16215552" from="207.322007pt,2.395277pt" to="202.988007pt,2.395277pt" stroked="true" strokeweight=".5pt" strokecolor="#000000">
            <v:stroke dashstyle="solid"/>
            <w10:wrap type="none"/>
          </v:line>
        </w:pict>
      </w:r>
      <w:r>
        <w:rPr>
          <w:sz w:val="12"/>
        </w:rPr>
        <w:t>100</w:t>
      </w:r>
    </w:p>
    <w:p>
      <w:pPr>
        <w:pStyle w:val="BodyText"/>
        <w:rPr>
          <w:sz w:val="12"/>
        </w:rPr>
      </w:pPr>
    </w:p>
    <w:p>
      <w:pPr>
        <w:pStyle w:val="BodyText"/>
        <w:spacing w:before="8"/>
        <w:rPr>
          <w:sz w:val="11"/>
        </w:rPr>
      </w:pPr>
    </w:p>
    <w:p>
      <w:pPr>
        <w:spacing w:before="0"/>
        <w:ind w:left="0" w:right="146" w:firstLine="0"/>
        <w:jc w:val="right"/>
        <w:rPr>
          <w:sz w:val="12"/>
        </w:rPr>
      </w:pPr>
      <w:r>
        <w:rPr/>
        <w:pict>
          <v:group style="position:absolute;margin-left:54.946999pt;margin-top:-1.884526pt;width:158pt;height:109.75pt;mso-position-horizontal-relative:page;mso-position-vertical-relative:paragraph;z-index:16210432" coordorigin="1099,-38" coordsize="3160,2195">
            <v:line style="position:absolute" from="1099,1721" to="3999,1721" stroked="true" strokeweight=".5pt" strokecolor="#000000">
              <v:stroke dashstyle="solid"/>
            </v:line>
            <v:shape style="position:absolute;left:1110;top:919;width:958;height:705" coordorigin="1111,920" coordsize="958,705" path="m1111,1180l1161,1327m1161,1327l1223,1235m1223,1235l1273,920m1273,920l1338,1067m1338,1067l1388,1235m1388,1235l1451,1050m1451,1050l1501,957m1501,957l1563,1105m1563,1105l1616,1180m1616,1180l1678,1125m1678,1125l1728,957m1728,957l1791,1050m1791,1050l1841,1272m1841,1272l1906,1235m1906,1235l1956,1197m1956,1197l2018,1515m2018,1515l2068,1625e" filled="false" stroked="true" strokeweight="1pt" strokecolor="#0066a5">
              <v:path arrowok="t"/>
              <v:stroke dashstyle="solid"/>
            </v:shape>
            <v:line style="position:absolute" from="2058,1626" to="2141,1626" stroked="true" strokeweight="1.125pt" strokecolor="#0066a5">
              <v:stroke dashstyle="solid"/>
            </v:line>
            <v:shape style="position:absolute;left:2130;top:1029;width:795;height:745" coordorigin="2131,1030" coordsize="795,745" path="m2131,1625l2181,1457m2181,1457l2246,1645m2246,1645l2296,1755m2296,1755l2358,1775m2358,1775l2408,1755m2408,1755l2471,1515m2471,1515l2523,1700m2523,1700l2586,1737m2586,1737l2636,1457m2636,1457l2698,1737m2698,1737l2748,1457m2748,1457l2813,1310m2813,1310l2863,1030m2863,1030l2926,1347e" filled="false" stroked="true" strokeweight="1pt" strokecolor="#0066a5">
              <v:path arrowok="t"/>
              <v:stroke dashstyle="solid"/>
            </v:shape>
            <v:line style="position:absolute" from="2916,1348" to="2986,1348" stroked="true" strokeweight="1.125pt" strokecolor="#0066a5">
              <v:stroke dashstyle="solid"/>
            </v:line>
            <v:shape style="position:absolute;left:2975;top:1347;width:1023;height:800" coordorigin="2976,1347" coordsize="1023,800" path="m2976,1347l3038,1495m3038,1495l3091,1347m3091,1347l3153,1515m3153,1515l3203,1737m3203,1737l3266,1570m3266,1570l3316,1385m3316,1385l3381,1720m3381,1720l3431,1775m3431,1775l3493,1682m3493,1682l3543,1700m3543,1700l3606,1887m3606,1887l3656,2017m3656,2017l3721,2090m3721,2090l3771,2147m3771,2147l3833,2035m3833,2035l3883,2110m3883,2110l3946,1922m3946,1922l3998,1792e" filled="false" stroked="true" strokeweight="1pt" strokecolor="#0066a5">
              <v:path arrowok="t"/>
              <v:stroke dashstyle="solid"/>
            </v:shape>
            <v:shape style="position:absolute;left:1110;top:64;width:568;height:185" coordorigin="1111,65" coordsize="568,185" path="m1111,65l1161,120m1161,120l1223,175m1223,175l1273,232m1273,232l1338,82m1338,82l1388,120m1388,120l1451,65m1451,65l1501,175m1501,175l1563,82m1563,82l1616,250m1616,250l1678,102e" filled="false" stroked="true" strokeweight="1pt" strokecolor="#ac6e90">
              <v:path arrowok="t"/>
              <v:stroke dashstyle="solid"/>
            </v:shape>
            <v:line style="position:absolute" from="1668,103" to="1738,103" stroked="true" strokeweight="1.125pt" strokecolor="#ac6e90">
              <v:stroke dashstyle="solid"/>
            </v:line>
            <v:shape style="position:absolute;left:1728;top:44;width:630;height:633" coordorigin="1728,45" coordsize="630,633" path="m1728,102l1791,65m1791,65l1841,45m1841,45l1906,250m1906,250l1956,120m1956,120l2018,380m2018,380l2068,232m2068,232l2131,270m2131,270l2181,400m2181,400l2246,362m2246,362l2296,530m2296,530l2358,677e" filled="false" stroked="true" strokeweight="1pt" strokecolor="#ac6e90">
              <v:path arrowok="t"/>
              <v:stroke dashstyle="solid"/>
            </v:shape>
            <v:line style="position:absolute" from="2348,678" to="2418,678" stroked="true" strokeweight="1.125pt" strokecolor="#ac6e90">
              <v:stroke dashstyle="solid"/>
            </v:line>
            <v:shape style="position:absolute;left:2408;top:659;width:973;height:798" coordorigin="2408,660" coordsize="973,798" path="m2408,677l2471,920m2471,920l2523,752m2523,752l2586,1197m2586,1197l2636,882m2636,882l2698,1125m2698,1125l2748,1142m2748,1142l2813,1162m2813,1162l2863,1457m2863,1457l2926,1125m2926,1125l2976,1030m2976,1030l3038,1012m3038,1012l3091,957m3091,957l3153,790m3153,790l3203,807m3203,807l3266,660m3266,660l3316,937m3316,937l3381,1030e" filled="false" stroked="true" strokeweight="1pt" strokecolor="#ac6e90">
              <v:path arrowok="t"/>
              <v:stroke dashstyle="solid"/>
            </v:shape>
            <v:line style="position:absolute" from="3371,1031" to="3441,1031" stroked="true" strokeweight="1.125pt" strokecolor="#ac6e90">
              <v:stroke dashstyle="solid"/>
            </v:line>
            <v:line style="position:absolute" from="3431,1030" to="3493,937" stroked="true" strokeweight="1pt" strokecolor="#ac6e90">
              <v:stroke dashstyle="solid"/>
            </v:line>
            <v:shape style="position:absolute;left:3483;top:938;width:133;height:2" coordorigin="3483,938" coordsize="133,0" path="m3483,938l3553,938m3533,938l3616,938e" filled="false" stroked="true" strokeweight="1.125pt" strokecolor="#ac6e90">
              <v:path arrowok="t"/>
              <v:stroke dashstyle="solid"/>
            </v:shape>
            <v:shape style="position:absolute;left:3605;top:807;width:393;height:930" coordorigin="3606,807" coordsize="393,930" path="m3606,937l3656,807m3656,807l3721,1142m3721,1142l3771,995m3771,995l3833,1235m3833,1235l3883,1440m3883,1440l3946,1515m3946,1515l3998,1737e" filled="false" stroked="true" strokeweight="1pt" strokecolor="#ac6e90">
              <v:path arrowok="t"/>
              <v:stroke dashstyle="solid"/>
            </v:shape>
            <v:shape style="position:absolute;left:4059;top:61;width:87;height:2060" coordorigin="4060,61" coordsize="87,2060" path="m4146,474l4060,474m4146,875l4060,875m4146,1315l4060,1315m4146,1720l4060,1720m4146,2121l4060,2121m4146,61l4060,61e" filled="false" stroked="true" strokeweight=".5pt" strokecolor="#000000">
              <v:path arrowok="t"/>
              <v:stroke dashstyle="solid"/>
            </v:shape>
            <v:shape style="position:absolute;left:2038;top:-38;width:610;height:133" type="#_x0000_t202" filled="false" stroked="false">
              <v:textbox inset="0,0,0,0">
                <w:txbxContent>
                  <w:p>
                    <w:pPr>
                      <w:spacing w:line="133" w:lineRule="exact" w:before="0"/>
                      <w:ind w:left="0" w:right="0" w:firstLine="0"/>
                      <w:jc w:val="left"/>
                      <w:rPr>
                        <w:sz w:val="12"/>
                      </w:rPr>
                    </w:pPr>
                    <w:r>
                      <w:rPr>
                        <w:sz w:val="12"/>
                      </w:rPr>
                      <w:t>Retailers (a)</w:t>
                    </w:r>
                  </w:p>
                </w:txbxContent>
              </v:textbox>
              <w10:wrap type="none"/>
            </v:shape>
            <v:shape style="position:absolute;left:4128;top:1421;width:131;height:498" type="#_x0000_t202" filled="false" stroked="false">
              <v:textbox inset="0,0,0,0">
                <w:txbxContent>
                  <w:p>
                    <w:pPr>
                      <w:spacing w:line="177" w:lineRule="exact" w:before="0"/>
                      <w:ind w:left="0" w:right="0" w:firstLine="0"/>
                      <w:jc w:val="left"/>
                      <w:rPr>
                        <w:sz w:val="16"/>
                      </w:rPr>
                    </w:pPr>
                    <w:r>
                      <w:rPr>
                        <w:sz w:val="16"/>
                      </w:rPr>
                      <w:t>+</w:t>
                    </w:r>
                  </w:p>
                  <w:p>
                    <w:pPr>
                      <w:spacing w:before="136"/>
                      <w:ind w:left="30" w:right="0" w:firstLine="0"/>
                      <w:jc w:val="left"/>
                      <w:rPr>
                        <w:sz w:val="16"/>
                      </w:rPr>
                    </w:pPr>
                    <w:r>
                      <w:rPr>
                        <w:sz w:val="16"/>
                      </w:rPr>
                      <w:t>–</w:t>
                    </w:r>
                  </w:p>
                </w:txbxContent>
              </v:textbox>
              <w10:wrap type="none"/>
            </v:shape>
            <v:shape style="position:absolute;left:2708;top:1932;width:890;height:134" type="#_x0000_t202" filled="false" stroked="false">
              <v:textbox inset="0,0,0,0">
                <w:txbxContent>
                  <w:p>
                    <w:pPr>
                      <w:spacing w:line="133" w:lineRule="exact" w:before="0"/>
                      <w:ind w:left="0" w:right="0" w:firstLine="0"/>
                      <w:jc w:val="left"/>
                      <w:rPr>
                        <w:sz w:val="12"/>
                      </w:rPr>
                    </w:pPr>
                    <w:r>
                      <w:rPr>
                        <w:sz w:val="12"/>
                      </w:rPr>
                      <w:t>Manufacturers (b)</w:t>
                    </w:r>
                  </w:p>
                </w:txbxContent>
              </v:textbox>
              <w10:wrap type="none"/>
            </v:shape>
            <w10:wrap type="none"/>
          </v:group>
        </w:pict>
      </w:r>
      <w:r>
        <w:rPr/>
        <w:pict>
          <v:line style="position:absolute;mso-position-horizontal-relative:page;mso-position-vertical-relative:paragraph;z-index:16215040" from="50.946999pt,3.070776pt" to="46.612999pt,3.070776pt" stroked="true" strokeweight=".5pt" strokecolor="#000000">
            <v:stroke dashstyle="solid"/>
            <w10:wrap type="none"/>
          </v:line>
        </w:pict>
      </w:r>
      <w:r>
        <w:rPr>
          <w:sz w:val="12"/>
        </w:rPr>
        <w:t>80</w:t>
      </w:r>
    </w:p>
    <w:p>
      <w:pPr>
        <w:pStyle w:val="BodyText"/>
        <w:rPr>
          <w:sz w:val="12"/>
        </w:rPr>
      </w:pPr>
    </w:p>
    <w:p>
      <w:pPr>
        <w:pStyle w:val="BodyText"/>
        <w:spacing w:before="5"/>
        <w:rPr>
          <w:sz w:val="11"/>
        </w:rPr>
      </w:pPr>
    </w:p>
    <w:p>
      <w:pPr>
        <w:spacing w:before="0"/>
        <w:ind w:left="0" w:right="146" w:firstLine="0"/>
        <w:jc w:val="right"/>
        <w:rPr>
          <w:sz w:val="12"/>
        </w:rPr>
      </w:pPr>
      <w:r>
        <w:rPr/>
        <w:pict>
          <v:line style="position:absolute;mso-position-horizontal-relative:page;mso-position-vertical-relative:paragraph;z-index:16210944" from="50.946999pt,3.351959pt" to="46.612999pt,3.351959pt" stroked="true" strokeweight=".5pt" strokecolor="#000000">
            <v:stroke dashstyle="solid"/>
            <w10:wrap type="none"/>
          </v:line>
        </w:pict>
      </w:r>
      <w:r>
        <w:rPr>
          <w:sz w:val="12"/>
        </w:rPr>
        <w:t>60</w:t>
      </w:r>
    </w:p>
    <w:p>
      <w:pPr>
        <w:pStyle w:val="BodyText"/>
        <w:rPr>
          <w:sz w:val="12"/>
        </w:rPr>
      </w:pPr>
    </w:p>
    <w:p>
      <w:pPr>
        <w:pStyle w:val="BodyText"/>
        <w:spacing w:before="7"/>
        <w:rPr>
          <w:sz w:val="11"/>
        </w:rPr>
      </w:pPr>
    </w:p>
    <w:p>
      <w:pPr>
        <w:spacing w:before="0"/>
        <w:ind w:left="0" w:right="146" w:firstLine="0"/>
        <w:jc w:val="right"/>
        <w:rPr>
          <w:sz w:val="12"/>
        </w:rPr>
      </w:pPr>
      <w:r>
        <w:rPr/>
        <w:pict>
          <v:line style="position:absolute;mso-position-horizontal-relative:page;mso-position-vertical-relative:paragraph;z-index:16211456" from="50.946999pt,2.872761pt" to="46.612999pt,2.872761pt" stroked="true" strokeweight=".5pt" strokecolor="#000000">
            <v:stroke dashstyle="solid"/>
            <w10:wrap type="none"/>
          </v:line>
        </w:pict>
      </w:r>
      <w:r>
        <w:rPr>
          <w:sz w:val="12"/>
        </w:rPr>
        <w:t>40</w:t>
      </w:r>
    </w:p>
    <w:p>
      <w:pPr>
        <w:pStyle w:val="BodyText"/>
        <w:rPr>
          <w:sz w:val="12"/>
        </w:rPr>
      </w:pPr>
    </w:p>
    <w:p>
      <w:pPr>
        <w:pStyle w:val="BodyText"/>
        <w:spacing w:before="2"/>
        <w:rPr>
          <w:sz w:val="13"/>
        </w:rPr>
      </w:pPr>
    </w:p>
    <w:p>
      <w:pPr>
        <w:spacing w:before="1"/>
        <w:ind w:left="0" w:right="146" w:firstLine="0"/>
        <w:jc w:val="right"/>
        <w:rPr>
          <w:sz w:val="12"/>
        </w:rPr>
      </w:pPr>
      <w:r>
        <w:rPr/>
        <w:pict>
          <v:line style="position:absolute;mso-position-horizontal-relative:page;mso-position-vertical-relative:paragraph;z-index:16211968" from="50.946999pt,3.547761pt" to="46.612999pt,3.547761pt" stroked="true" strokeweight=".5pt" strokecolor="#000000">
            <v:stroke dashstyle="solid"/>
            <w10:wrap type="none"/>
          </v:line>
        </w:pict>
      </w:r>
      <w:r>
        <w:rPr>
          <w:sz w:val="12"/>
        </w:rPr>
        <w:t>20</w:t>
      </w:r>
    </w:p>
    <w:p>
      <w:pPr>
        <w:pStyle w:val="BodyText"/>
        <w:rPr>
          <w:sz w:val="12"/>
        </w:rPr>
      </w:pPr>
    </w:p>
    <w:p>
      <w:pPr>
        <w:pStyle w:val="BodyText"/>
        <w:spacing w:before="7"/>
        <w:rPr>
          <w:sz w:val="11"/>
        </w:rPr>
      </w:pPr>
    </w:p>
    <w:p>
      <w:pPr>
        <w:spacing w:before="0"/>
        <w:ind w:left="0" w:right="146" w:firstLine="0"/>
        <w:jc w:val="right"/>
        <w:rPr>
          <w:sz w:val="12"/>
        </w:rPr>
      </w:pPr>
      <w:r>
        <w:rPr/>
        <w:pict>
          <v:line style="position:absolute;mso-position-horizontal-relative:page;mso-position-vertical-relative:paragraph;z-index:16212480" from="50.946999pt,3.289456pt" to="46.612999pt,3.289456pt" stroked="true" strokeweight=".5pt" strokecolor="#000000">
            <v:stroke dashstyle="solid"/>
            <w10:wrap type="none"/>
          </v:line>
        </w:pict>
      </w:r>
      <w:r>
        <w:rPr>
          <w:sz w:val="12"/>
        </w:rPr>
        <w:t>0</w:t>
      </w:r>
    </w:p>
    <w:p>
      <w:pPr>
        <w:pStyle w:val="BodyText"/>
        <w:rPr>
          <w:sz w:val="12"/>
        </w:rPr>
      </w:pPr>
    </w:p>
    <w:p>
      <w:pPr>
        <w:pStyle w:val="BodyText"/>
        <w:spacing w:before="5"/>
        <w:rPr>
          <w:sz w:val="11"/>
        </w:rPr>
      </w:pPr>
    </w:p>
    <w:p>
      <w:pPr>
        <w:spacing w:before="0"/>
        <w:ind w:left="0" w:right="146" w:firstLine="0"/>
        <w:jc w:val="right"/>
        <w:rPr>
          <w:sz w:val="12"/>
        </w:rPr>
      </w:pPr>
      <w:r>
        <w:rPr/>
        <w:pict>
          <v:line style="position:absolute;mso-position-horizontal-relative:page;mso-position-vertical-relative:paragraph;z-index:16212992" from="50.946999pt,2.934761pt" to="46.612999pt,2.934761pt" stroked="true" strokeweight=".5pt" strokecolor="#000000">
            <v:stroke dashstyle="solid"/>
            <w10:wrap type="none"/>
          </v:line>
        </w:pict>
      </w:r>
      <w:r>
        <w:rPr>
          <w:sz w:val="12"/>
        </w:rPr>
        <w:t>20</w:t>
      </w:r>
    </w:p>
    <w:p>
      <w:pPr>
        <w:pStyle w:val="BodyText"/>
        <w:rPr>
          <w:sz w:val="12"/>
        </w:rPr>
      </w:pPr>
    </w:p>
    <w:p>
      <w:pPr>
        <w:pStyle w:val="BodyText"/>
        <w:spacing w:before="7"/>
        <w:rPr>
          <w:sz w:val="11"/>
        </w:rPr>
      </w:pPr>
    </w:p>
    <w:p>
      <w:pPr>
        <w:spacing w:line="121" w:lineRule="exact" w:before="1"/>
        <w:ind w:left="3613" w:right="0" w:firstLine="0"/>
        <w:jc w:val="left"/>
        <w:rPr>
          <w:sz w:val="12"/>
        </w:rPr>
      </w:pPr>
      <w:r>
        <w:rPr/>
        <w:pict>
          <v:line style="position:absolute;mso-position-horizontal-relative:page;mso-position-vertical-relative:paragraph;z-index:16213504" from="50.946999pt,3.130563pt" to="46.612999pt,3.130563pt" stroked="true" strokeweight=".5pt" strokecolor="#000000">
            <v:stroke dashstyle="solid"/>
            <w10:wrap type="none"/>
          </v:line>
        </w:pict>
      </w:r>
      <w:r>
        <w:rPr/>
        <w:pict>
          <v:group style="position:absolute;margin-left:54.862999pt;margin-top:-1.827438pt;width:152.5pt;height:5.2pt;mso-position-horizontal-relative:page;mso-position-vertical-relative:paragraph;z-index:16214016" coordorigin="1097,-37" coordsize="3050,104">
            <v:shape style="position:absolute;left:1102;top:-37;width:3045;height:100" coordorigin="1102,-37" coordsize="3045,100" path="m1787,-37l1787,63m1102,9l1102,62m1331,9l1331,62m1559,9l1559,62m2016,9l2016,62m4146,62l4060,62e" filled="false" stroked="true" strokeweight=".5pt" strokecolor="#000000">
              <v:path arrowok="t"/>
              <v:stroke dashstyle="solid"/>
            </v:shape>
            <v:line style="position:absolute" from="1102,62" to="4002,62" stroked="true" strokeweight=".5pt" strokecolor="#000000">
              <v:stroke dashstyle="solid"/>
            </v:line>
            <v:shape style="position:absolute;left:2243;top:-37;width:1599;height:100" coordorigin="2244,-37" coordsize="1599,100" path="m2929,-37l2929,63m2244,9l2244,62m2472,9l2472,62m2701,9l2701,62m3157,9l3157,62m3386,9l3386,62m3614,9l3614,62m3842,9l3842,62e" filled="false" stroked="true" strokeweight=".5pt" strokecolor="#000000">
              <v:path arrowok="t"/>
              <v:stroke dashstyle="solid"/>
            </v:shape>
            <w10:wrap type="none"/>
          </v:group>
        </w:pict>
      </w:r>
      <w:r>
        <w:rPr>
          <w:sz w:val="12"/>
        </w:rPr>
        <w:t>40</w:t>
      </w:r>
    </w:p>
    <w:p>
      <w:pPr>
        <w:tabs>
          <w:tab w:pos="1005" w:val="left" w:leader="none"/>
          <w:tab w:pos="1458" w:val="left" w:leader="none"/>
          <w:tab w:pos="1913" w:val="left" w:leader="none"/>
          <w:tab w:pos="2365" w:val="left" w:leader="none"/>
          <w:tab w:pos="2820" w:val="left" w:leader="none"/>
          <w:tab w:pos="3258" w:val="left" w:leader="none"/>
        </w:tabs>
        <w:spacing w:line="121" w:lineRule="exact" w:before="0"/>
        <w:ind w:left="493" w:right="0" w:firstLine="0"/>
        <w:jc w:val="left"/>
        <w:rPr>
          <w:sz w:val="12"/>
        </w:rPr>
      </w:pPr>
      <w:r>
        <w:rPr>
          <w:sz w:val="12"/>
        </w:rPr>
        <w:t>1987</w:t>
        <w:tab/>
        <w:t>89</w:t>
        <w:tab/>
        <w:t>91</w:t>
        <w:tab/>
        <w:t>93</w:t>
        <w:tab/>
        <w:t>95</w:t>
        <w:tab/>
        <w:t>97</w:t>
        <w:tab/>
        <w:t>99</w:t>
      </w:r>
    </w:p>
    <w:p>
      <w:pPr>
        <w:pStyle w:val="BodyText"/>
        <w:rPr>
          <w:sz w:val="12"/>
        </w:rPr>
      </w:pPr>
    </w:p>
    <w:p>
      <w:pPr>
        <w:spacing w:before="74"/>
        <w:ind w:left="175" w:right="0" w:firstLine="0"/>
        <w:jc w:val="left"/>
        <w:rPr>
          <w:sz w:val="12"/>
        </w:rPr>
      </w:pPr>
      <w:r>
        <w:rPr>
          <w:sz w:val="12"/>
        </w:rPr>
        <w:t>Source: CBI.</w:t>
      </w:r>
    </w:p>
    <w:p>
      <w:pPr>
        <w:pStyle w:val="BodyText"/>
        <w:spacing w:before="2"/>
        <w:rPr>
          <w:sz w:val="10"/>
        </w:rPr>
      </w:pPr>
    </w:p>
    <w:p>
      <w:pPr>
        <w:pStyle w:val="ListParagraph"/>
        <w:numPr>
          <w:ilvl w:val="0"/>
          <w:numId w:val="35"/>
        </w:numPr>
        <w:tabs>
          <w:tab w:pos="416" w:val="left" w:leader="none"/>
        </w:tabs>
        <w:spacing w:line="208" w:lineRule="auto" w:before="0" w:after="0"/>
        <w:ind w:left="415" w:right="345" w:hanging="240"/>
        <w:jc w:val="left"/>
        <w:rPr>
          <w:sz w:val="12"/>
        </w:rPr>
      </w:pPr>
      <w:r>
        <w:rPr>
          <w:sz w:val="12"/>
        </w:rPr>
        <w:t>Balance of retailers expecting to raise prices over the next </w:t>
      </w:r>
      <w:r>
        <w:rPr>
          <w:spacing w:val="-4"/>
          <w:sz w:val="12"/>
        </w:rPr>
        <w:t>month </w:t>
      </w:r>
      <w:r>
        <w:rPr>
          <w:sz w:val="12"/>
        </w:rPr>
        <w:t>minus those expecting to reduce prices.</w:t>
      </w:r>
    </w:p>
    <w:p>
      <w:pPr>
        <w:pStyle w:val="ListParagraph"/>
        <w:numPr>
          <w:ilvl w:val="0"/>
          <w:numId w:val="35"/>
        </w:numPr>
        <w:tabs>
          <w:tab w:pos="416" w:val="left" w:leader="none"/>
        </w:tabs>
        <w:spacing w:line="208" w:lineRule="auto" w:before="0" w:after="0"/>
        <w:ind w:left="415" w:right="381" w:hanging="240"/>
        <w:jc w:val="left"/>
        <w:rPr>
          <w:sz w:val="12"/>
        </w:rPr>
      </w:pPr>
      <w:r>
        <w:rPr>
          <w:sz w:val="12"/>
        </w:rPr>
        <w:t>Balance of manufacturers expecting to raise prices over the </w:t>
      </w:r>
      <w:r>
        <w:rPr>
          <w:spacing w:val="-5"/>
          <w:sz w:val="12"/>
        </w:rPr>
        <w:t>next </w:t>
      </w:r>
      <w:r>
        <w:rPr>
          <w:sz w:val="12"/>
        </w:rPr>
        <w:t>four months minus those expecting to reduce prices.</w:t>
      </w:r>
    </w:p>
    <w:p>
      <w:pPr>
        <w:pStyle w:val="BodyText"/>
        <w:spacing w:before="2"/>
        <w:rPr>
          <w:sz w:val="26"/>
        </w:rPr>
      </w:pPr>
      <w:r>
        <w:rPr/>
        <w:br w:type="column"/>
      </w:r>
      <w:r>
        <w:rPr>
          <w:sz w:val="26"/>
        </w:rPr>
      </w:r>
    </w:p>
    <w:p>
      <w:pPr>
        <w:pStyle w:val="Heading6"/>
        <w:spacing w:line="242" w:lineRule="auto"/>
        <w:ind w:left="175" w:right="163"/>
      </w:pPr>
      <w:r>
        <w:rPr/>
        <w:t>It is extremely difficult to assess movements in</w:t>
      </w:r>
      <w:r>
        <w:rPr>
          <w:spacing w:val="-20"/>
        </w:rPr>
        <w:t> </w:t>
      </w:r>
      <w:r>
        <w:rPr/>
        <w:t>aggregate retailers’ margins. Bank estimates suggest that retailers’ weighted costs in 1999 Q3 were almost unchanged relative to a year ago, while retail goods prices (excluding indirect taxes) have fallen. That suggests that aggregate retailers’ margins may have declined relative to a year ago. But at present it is not possible to identify from official data a significant structural change in the relationship between retail prices and costs.</w:t>
      </w:r>
    </w:p>
    <w:p>
      <w:pPr>
        <w:pStyle w:val="BodyText"/>
        <w:spacing w:before="9"/>
        <w:rPr>
          <w:sz w:val="28"/>
        </w:rPr>
      </w:pPr>
    </w:p>
    <w:p>
      <w:pPr>
        <w:spacing w:line="242" w:lineRule="auto" w:before="0"/>
        <w:ind w:left="175" w:right="149" w:firstLine="0"/>
        <w:jc w:val="left"/>
        <w:rPr>
          <w:sz w:val="24"/>
        </w:rPr>
      </w:pPr>
      <w:r>
        <w:rPr>
          <w:sz w:val="24"/>
        </w:rPr>
        <w:t>Surveys may contain some information about the prospects for retail margins. The balance of retailers in the CBI distributive trades survey expecting to raise prices fell to -1 in November, the lowest since the survey began in 1983 (see Chart 4.10). By contrast, the CBI quarterly industrial trends survey indicates that fewer manufacturers are expecting to reduce prices. That may indicate downward pressure on retail margins in the near</w:t>
      </w:r>
    </w:p>
    <w:p>
      <w:pPr>
        <w:spacing w:after="0" w:line="242" w:lineRule="auto"/>
        <w:jc w:val="left"/>
        <w:rPr>
          <w:sz w:val="24"/>
        </w:rPr>
        <w:sectPr>
          <w:type w:val="continuous"/>
          <w:pgSz w:w="11900" w:h="16840"/>
          <w:pgMar w:top="1220" w:bottom="280" w:left="620" w:right="640"/>
          <w:cols w:num="2" w:equalWidth="0">
            <w:col w:w="3882" w:space="902"/>
            <w:col w:w="5856"/>
          </w:cols>
        </w:sectPr>
      </w:pPr>
    </w:p>
    <w:p>
      <w:pPr>
        <w:pStyle w:val="BodyText"/>
        <w:rPr>
          <w:sz w:val="20"/>
        </w:rPr>
      </w:pPr>
    </w:p>
    <w:p>
      <w:pPr>
        <w:spacing w:after="0"/>
        <w:rPr>
          <w:sz w:val="20"/>
        </w:rPr>
        <w:sectPr>
          <w:pgSz w:w="11900" w:h="16840"/>
          <w:pgMar w:header="584" w:footer="597" w:top="780" w:bottom="780" w:left="620" w:right="640"/>
        </w:sectPr>
      </w:pPr>
    </w:p>
    <w:p>
      <w:pPr>
        <w:pStyle w:val="BodyText"/>
        <w:spacing w:before="6"/>
        <w:rPr>
          <w:sz w:val="20"/>
        </w:rPr>
      </w:pPr>
    </w:p>
    <w:p>
      <w:pPr>
        <w:pStyle w:val="Heading9"/>
        <w:spacing w:before="0"/>
      </w:pPr>
      <w:bookmarkStart w:name="Other price indices" w:id="64"/>
      <w:bookmarkEnd w:id="64"/>
      <w:r>
        <w:rPr>
          <w:b w:val="0"/>
        </w:rPr>
      </w:r>
      <w:bookmarkStart w:name="_bookmark25" w:id="65"/>
      <w:bookmarkEnd w:id="65"/>
      <w:r>
        <w:rPr>
          <w:b w:val="0"/>
        </w:rPr>
      </w:r>
      <w:r>
        <w:rPr>
          <w:color w:val="0093C1"/>
        </w:rPr>
        <w:t>Chart 4.11</w:t>
      </w:r>
    </w:p>
    <w:p>
      <w:pPr>
        <w:spacing w:before="10"/>
        <w:ind w:left="190" w:right="0" w:firstLine="0"/>
        <w:jc w:val="left"/>
        <w:rPr>
          <w:sz w:val="12"/>
        </w:rPr>
      </w:pPr>
      <w:r>
        <w:rPr>
          <w:b/>
          <w:color w:val="0093C1"/>
          <w:sz w:val="20"/>
        </w:rPr>
        <w:t>Retailers’ relative share prices</w:t>
      </w:r>
      <w:r>
        <w:rPr>
          <w:position w:val="4"/>
          <w:sz w:val="12"/>
        </w:rPr>
        <w:t>(a)</w:t>
      </w:r>
    </w:p>
    <w:p>
      <w:pPr>
        <w:spacing w:before="158"/>
        <w:ind w:left="0" w:right="38" w:firstLine="0"/>
        <w:jc w:val="right"/>
        <w:rPr>
          <w:sz w:val="12"/>
        </w:rPr>
      </w:pPr>
      <w:r>
        <w:rPr/>
        <w:pict>
          <v:line style="position:absolute;mso-position-horizontal-relative:page;mso-position-vertical-relative:paragraph;z-index:16227328" from="47.333pt,15.508581pt" to="43pt,15.508581pt" stroked="true" strokeweight=".5pt" strokecolor="#000000">
            <v:stroke dashstyle="solid"/>
            <w10:wrap type="none"/>
          </v:line>
        </w:pict>
      </w:r>
      <w:r>
        <w:rPr>
          <w:sz w:val="12"/>
        </w:rPr>
        <w:t>Jan. 1990 = 1</w:t>
      </w:r>
      <w:r>
        <w:rPr>
          <w:sz w:val="12"/>
          <w:u w:val="single"/>
        </w:rPr>
        <w:t>00</w:t>
      </w:r>
      <w:r>
        <w:rPr>
          <w:spacing w:val="28"/>
          <w:sz w:val="12"/>
        </w:rPr>
        <w:t> </w:t>
      </w:r>
      <w:r>
        <w:rPr>
          <w:position w:val="-6"/>
          <w:sz w:val="12"/>
        </w:rPr>
        <w:t>175</w:t>
      </w:r>
    </w:p>
    <w:p>
      <w:pPr>
        <w:pStyle w:val="BodyText"/>
        <w:rPr>
          <w:sz w:val="20"/>
        </w:rPr>
      </w:pPr>
    </w:p>
    <w:p>
      <w:pPr>
        <w:pStyle w:val="BodyText"/>
        <w:spacing w:before="3"/>
      </w:pPr>
    </w:p>
    <w:p>
      <w:pPr>
        <w:spacing w:before="0"/>
        <w:ind w:left="0" w:right="38" w:firstLine="0"/>
        <w:jc w:val="right"/>
        <w:rPr>
          <w:sz w:val="12"/>
        </w:rPr>
      </w:pPr>
      <w:r>
        <w:rPr/>
        <w:pict>
          <v:group style="position:absolute;margin-left:51pt;margin-top:.092003pt;width:151.85pt;height:103.9pt;mso-position-horizontal-relative:page;mso-position-vertical-relative:paragraph;z-index:16226816" coordorigin="1020,2" coordsize="3037,2078">
            <v:shape style="position:absolute;left:1030;top:761;width:433;height:478" coordorigin="1030,762" coordsize="433,478" path="m1030,1237l1055,1239m1055,1237l1080,1134m1080,1134l1105,1204m1105,1204l1118,1219m1118,1219l1143,1084m1143,1084l1170,1119m1170,1119l1195,1049m1195,1049l1220,967m1220,967l1245,932m1245,932l1270,762m1270,762l1295,864m1295,864l1310,932m1310,932l1335,914m1335,914l1360,949m1360,949l1385,1017m1385,1017l1410,932m1410,932l1435,949m1435,949l1463,1017e" filled="false" stroked="true" strokeweight="1pt" strokecolor="#95459a">
              <v:path arrowok="t"/>
              <v:stroke dashstyle="solid"/>
            </v:shape>
            <v:line style="position:absolute" from="1469,802" to="1469,1027" stroked="true" strokeweight="1.625pt" strokecolor="#95459a">
              <v:stroke dashstyle="solid"/>
            </v:line>
            <v:shape style="position:absolute;left:1475;top:559;width:178;height:305" coordorigin="1475,559" coordsize="178,305" path="m1475,812l1500,779m1500,779l1525,864m1525,864l1550,694m1550,694l1575,727m1575,727l1603,744m1603,744l1628,694m1628,694l1653,559e" filled="false" stroked="true" strokeweight="1pt" strokecolor="#95459a">
              <v:path arrowok="t"/>
              <v:stroke dashstyle="solid"/>
            </v:shape>
            <v:line style="position:absolute" from="1659,549" to="1659,722" stroked="true" strokeweight="1.625pt" strokecolor="#95459a">
              <v:stroke dashstyle="solid"/>
            </v:line>
            <v:shape style="position:absolute;left:1665;top:524;width:1805;height:918" coordorigin="1665,524" coordsize="1805,918" path="m1665,712l1690,609m1690,609l1715,659m1715,659l1740,609m1740,609l1768,644m1768,644l1793,627m1793,627l1818,677m1818,677l1843,712m1843,712l1855,609m1855,609l1880,627m1880,627l1908,812m1908,812l1933,814m1933,812l1958,762m1958,762l1983,694m1983,694l2008,779m2008,779l2020,744m2020,744l2048,694m2048,694l2073,697m2073,694l2098,659m2098,659l2123,677m2123,677l2148,524m2148,524l2173,527m2173,524l2200,744m2200,744l2213,712m2213,712l2238,627m2238,627l2263,574m2263,574l2288,644m2288,644l2313,592m2313,592l2340,659m2340,659l2365,677m2365,677l2378,694m2378,694l2403,727m2403,727l2428,762m2428,762l2453,779m2453,779l2478,829m2478,829l2505,864m2505,864l2530,779m2530,779l2555,782m2555,779l2568,847m2568,847l2593,914m2593,914l2618,797m2618,797l2645,812m2645,812l2670,814m2670,812l2695,864m2695,864l2720,762m2720,762l2733,677m2733,677l2758,744m2758,744l2785,779m2785,779l2810,712m2810,712l2835,659m2835,659l2885,559m2885,559l2910,609m2910,609l2925,592m2925,592l2950,659m2950,659l2975,662m2975,659l3000,694m3000,694l3025,829m3025,829l3050,932m3050,932l3078,882m3078,882l3090,914m3090,914l3115,967m3115,967l3140,1034m3140,1034l3165,1134m3165,1134l3190,1034m3190,1034l3215,967m3215,967l3243,999m3243,999l3268,897m3268,897l3280,864m3280,864l3305,1017m3305,1017l3330,1219m3330,1219l3355,1187m3355,1187l3383,1304m3383,1304l3408,1289m3408,1289l3433,1292m3433,1289l3458,1389m3458,1389l3470,1442e" filled="false" stroked="true" strokeweight="1pt" strokecolor="#95459a">
              <v:path arrowok="t"/>
              <v:stroke dashstyle="solid"/>
            </v:shape>
            <v:line style="position:absolute" from="3483,1142" to="3483,1452" stroked="true" strokeweight="2.25pt" strokecolor="#95459a">
              <v:stroke dashstyle="solid"/>
            </v:line>
            <v:shape style="position:absolute;left:3495;top:1151;width:128;height:375" coordorigin="3495,1152" coordsize="128,375" path="m3495,1152l3523,1219m3523,1219l3548,1442m3548,1442l3573,1492m3573,1492l3598,1494m3598,1492l3623,1527e" filled="false" stroked="true" strokeweight="1pt" strokecolor="#95459a">
              <v:path arrowok="t"/>
              <v:stroke dashstyle="solid"/>
            </v:shape>
            <v:line style="position:absolute" from="3629,1312" to="3629,1537" stroked="true" strokeweight="1.625pt" strokecolor="#95459a">
              <v:stroke dashstyle="solid"/>
            </v:line>
            <v:shape style="position:absolute;left:3635;top:1321;width:268;height:748" coordorigin="3635,1322" coordsize="268,748" path="m3635,1322l3663,1424m3663,1424l3688,1372m3688,1372l3738,1577m3738,1577l3763,1579m3763,1577l3788,1542m3788,1542l3815,1747m3815,1747l3828,1849m3828,1849l3853,2034m3853,2034l3878,1984m3878,1984l3903,2069e" filled="false" stroked="true" strokeweight="1pt" strokecolor="#95459a">
              <v:path arrowok="t"/>
              <v:stroke dashstyle="solid"/>
            </v:shape>
            <v:shape style="position:absolute;left:1030;top:966;width:113;height:270" coordorigin="1030,967" coordsize="113,270" path="m1030,1237l1055,1187m1055,1187l1080,1119m1080,1119l1105,1152m1105,1152l1118,1067m1118,1067l1143,967e" filled="false" stroked="true" strokeweight="1pt" strokecolor="#40ad49">
              <v:path arrowok="t"/>
              <v:stroke dashstyle="solid"/>
            </v:shape>
            <v:line style="position:absolute" from="1133,968" to="1180,968" stroked="true" strokeweight="1.125pt" strokecolor="#40ad49">
              <v:stroke dashstyle="solid"/>
            </v:line>
            <v:shape style="position:absolute;left:1170;top:421;width:405;height:545" coordorigin="1170,422" coordsize="405,545" path="m1170,967l1195,864m1195,864l1220,677m1220,677l1245,524m1245,524l1270,457m1270,457l1295,609m1295,609l1310,574m1310,574l1335,439m1335,439l1360,644m1360,644l1385,592m1385,592l1410,422m1410,422l1435,457m1435,457l1463,559m1463,559l1475,542m1475,542l1500,727m1500,727l1525,847m1525,847l1550,897m1550,897l1575,779e" filled="false" stroked="true" strokeweight="1pt" strokecolor="#40ad49">
              <v:path arrowok="t"/>
              <v:stroke dashstyle="solid"/>
            </v:shape>
            <v:line style="position:absolute" from="1565,780" to="1613,780" stroked="true" strokeweight="1.125pt" strokecolor="#40ad49">
              <v:stroke dashstyle="solid"/>
            </v:line>
            <v:shape style="position:absolute;left:1602;top:151;width:305;height:628" coordorigin="1603,152" coordsize="305,628" path="m1603,779l1628,694m1628,694l1653,592m1653,592l1665,507m1665,507l1690,542m1690,542l1715,474m1715,474l1740,269m1740,269l1768,219m1768,219l1793,237m1793,237l1818,389m1818,389l1843,322m1843,322l1855,287m1855,287l1880,237m1880,237l1908,152e" filled="false" stroked="true" strokeweight="1pt" strokecolor="#40ad49">
              <v:path arrowok="t"/>
              <v:stroke dashstyle="solid"/>
            </v:shape>
            <v:line style="position:absolute" from="1920,142" to="1920,417" stroked="true" strokeweight="2.25pt" strokecolor="#40ad49">
              <v:stroke dashstyle="solid"/>
            </v:line>
            <v:shape style="position:absolute;left:1932;top:406;width:75;height:220" coordorigin="1933,407" coordsize="75,220" path="m1933,407l1958,574m1958,574l1983,627m1983,627l2008,574e" filled="false" stroked="true" strokeweight="1pt" strokecolor="#40ad49">
              <v:path arrowok="t"/>
              <v:stroke dashstyle="solid"/>
            </v:shape>
            <v:line style="position:absolute" from="2014,564" to="2014,722" stroked="true" strokeweight="1.625pt" strokecolor="#40ad49">
              <v:stroke dashstyle="solid"/>
            </v:line>
            <v:shape style="position:absolute;left:2020;top:711;width:53;height:100" coordorigin="2020,712" coordsize="53,100" path="m2020,712l2048,797m2048,797l2073,812e" filled="false" stroked="true" strokeweight="1pt" strokecolor="#40ad49">
              <v:path arrowok="t"/>
              <v:stroke dashstyle="solid"/>
            </v:shape>
            <v:line style="position:absolute" from="2085,802" to="2085,1247" stroked="true" strokeweight="2.25pt" strokecolor="#40ad49">
              <v:stroke dashstyle="solid"/>
            </v:line>
            <v:shape style="position:absolute;left:2097;top:811;width:1145;height:783" coordorigin="2098,812" coordsize="1145,783" path="m2098,1237l2123,1339m2123,1339l2148,1424m2148,1424l2173,1389m2173,1389l2200,1559m2200,1559l2213,1509m2213,1509l2238,1372m2238,1372l2263,1457m2263,1457l2288,1357m2288,1357l2313,1237m2313,1237l2340,1187m2340,1187l2365,1102m2365,1102l2378,1119m2378,1119l2403,1204m2403,1204l2428,1152m2428,1152l2478,1017m2478,1017l2505,1034m2505,1034l2530,982m2530,982l2555,967m2555,967l2568,914m2568,914l2593,897m2593,897l2618,882m2618,882l2645,812m2645,812l2670,982m2670,982l2695,1119m2695,1119l2720,1254m2720,1254l2733,1204m2733,1204l2758,1289m2758,1289l2785,1424m2785,1424l2835,1389m2835,1389l2860,1254m2860,1254l2885,1272m2885,1272l2910,1304m2910,1304l2925,1372m2925,1372l2950,1457m2950,1457l2975,1357m2975,1357l3000,1339m3000,1339l3025,1289m3025,1289l3050,1474m3050,1474l3078,1594m3078,1594l3090,1527m3090,1527l3115,1559m3115,1559l3140,1542m3140,1542l3165,1527m3165,1527l3190,1339m3190,1339l3215,1342m3215,1339l3243,1357e" filled="false" stroked="true" strokeweight="1pt" strokecolor="#40ad49">
              <v:path arrowok="t"/>
              <v:stroke dashstyle="solid"/>
            </v:shape>
            <v:line style="position:absolute" from="3255,1109" to="3255,1367" stroked="true" strokeweight="2.25pt" strokecolor="#40ad49">
              <v:stroke dashstyle="solid"/>
            </v:line>
            <v:shape style="position:absolute;left:3267;top:864;width:255;height:458" coordorigin="3268,864" coordsize="255,458" path="m3268,1119l3280,1152m3280,1152l3305,1134m3305,1134l3330,1169m3330,1169l3355,1322m3355,1322l3383,1169m3383,1169l3408,1272m3408,1272l3433,1304m3433,1304l3458,1102m3458,1102l3470,1119m3470,1119l3495,982m3495,982l3523,864e" filled="false" stroked="true" strokeweight="1pt" strokecolor="#40ad49">
              <v:path arrowok="t"/>
              <v:stroke dashstyle="solid"/>
            </v:shape>
            <v:line style="position:absolute" from="3535,854" to="3535,1247" stroked="true" strokeweight="2.25pt" strokecolor="#40ad49">
              <v:stroke dashstyle="solid"/>
            </v:line>
            <v:shape style="position:absolute;left:3547;top:1204;width:75;height:185" coordorigin="3548,1204" coordsize="75,185" path="m3548,1237l3573,1204m3573,1204l3598,1357m3598,1357l3623,1389e" filled="false" stroked="true" strokeweight="1pt" strokecolor="#40ad49">
              <v:path arrowok="t"/>
              <v:stroke dashstyle="solid"/>
            </v:shape>
            <v:line style="position:absolute" from="3629,1379" to="3629,1637" stroked="true" strokeweight="1.625pt" strokecolor="#40ad49">
              <v:stroke dashstyle="solid"/>
            </v:line>
            <v:shape style="position:absolute;left:3635;top:1576;width:128;height:153" coordorigin="3635,1577" coordsize="128,153" path="m3635,1627l3663,1729m3663,1729l3688,1594m3688,1594l3713,1577m3713,1577l3738,1662m3738,1662l3763,1679e" filled="false" stroked="true" strokeweight="1pt" strokecolor="#40ad49">
              <v:path arrowok="t"/>
              <v:stroke dashstyle="solid"/>
            </v:shape>
            <v:line style="position:absolute" from="3775,1432" to="3775,1689" stroked="true" strokeweight="2.25pt" strokecolor="#40ad49">
              <v:stroke dashstyle="solid"/>
            </v:line>
            <v:shape style="position:absolute;left:3787;top:1441;width:40;height:220" coordorigin="3788,1442" coordsize="40,220" path="m3788,1442l3815,1559m3815,1559l3828,1662e" filled="false" stroked="true" strokeweight="1pt" strokecolor="#40ad49">
              <v:path arrowok="t"/>
              <v:stroke dashstyle="solid"/>
            </v:shape>
            <v:line style="position:absolute" from="3840,1652" to="3840,1909" stroked="true" strokeweight="2.25pt" strokecolor="#40ad49">
              <v:stroke dashstyle="solid"/>
            </v:line>
            <v:shape style="position:absolute;left:3852;top:1864;width:50;height:35" coordorigin="3853,1864" coordsize="50,35" path="m3853,1899l3878,1864m3878,1864l3903,1882e" filled="false" stroked="true" strokeweight="1pt" strokecolor="#40ad49">
              <v:path arrowok="t"/>
              <v:stroke dashstyle="solid"/>
            </v:shape>
            <v:shape style="position:absolute;left:3963;top:85;width:94;height:1732" coordorigin="3963,85" coordsize="94,1732" path="m4057,85l3970,85m4057,656l3970,656m4057,1236l3970,1236m4050,1817l3963,1817e" filled="false" stroked="true" strokeweight=".5pt" strokecolor="#000000">
              <v:path arrowok="t"/>
              <v:stroke dashstyle="solid"/>
            </v:shape>
            <v:shape style="position:absolute;left:1515;top:1;width:860;height:134" type="#_x0000_t202" filled="false" stroked="false">
              <v:textbox inset="0,0,0,0">
                <w:txbxContent>
                  <w:p>
                    <w:pPr>
                      <w:spacing w:line="133" w:lineRule="exact" w:before="0"/>
                      <w:ind w:left="0" w:right="0" w:firstLine="0"/>
                      <w:jc w:val="left"/>
                      <w:rPr>
                        <w:sz w:val="12"/>
                      </w:rPr>
                    </w:pPr>
                    <w:r>
                      <w:rPr>
                        <w:sz w:val="12"/>
                      </w:rPr>
                      <w:t>UK food retailers</w:t>
                    </w:r>
                  </w:p>
                </w:txbxContent>
              </v:textbox>
              <w10:wrap type="none"/>
            </v:shape>
            <v:shape style="position:absolute;left:2465;top:414;width:993;height:134" type="#_x0000_t202" filled="false" stroked="false">
              <v:textbox inset="0,0,0,0">
                <w:txbxContent>
                  <w:p>
                    <w:pPr>
                      <w:spacing w:line="133" w:lineRule="exact" w:before="0"/>
                      <w:ind w:left="0" w:right="0" w:firstLine="0"/>
                      <w:jc w:val="left"/>
                      <w:rPr>
                        <w:sz w:val="12"/>
                      </w:rPr>
                    </w:pPr>
                    <w:r>
                      <w:rPr>
                        <w:sz w:val="12"/>
                      </w:rPr>
                      <w:t>UK general retailers</w:t>
                    </w:r>
                  </w:p>
                </w:txbxContent>
              </v:textbox>
              <w10:wrap type="none"/>
            </v:shape>
            <w10:wrap type="none"/>
          </v:group>
        </w:pict>
      </w:r>
      <w:r>
        <w:rPr/>
        <w:pict>
          <v:line style="position:absolute;mso-position-horizontal-relative:page;mso-position-vertical-relative:paragraph;z-index:16227840" from="47.333pt,4.205872pt" to="43pt,4.205872pt" stroked="true" strokeweight=".5pt" strokecolor="#000000">
            <v:stroke dashstyle="solid"/>
            <w10:wrap type="none"/>
          </v:line>
        </w:pict>
      </w:r>
      <w:r>
        <w:rPr>
          <w:sz w:val="12"/>
        </w:rPr>
        <w:t>150</w:t>
      </w:r>
    </w:p>
    <w:p>
      <w:pPr>
        <w:pStyle w:val="Heading6"/>
        <w:spacing w:line="242" w:lineRule="auto" w:before="206"/>
        <w:ind w:right="461"/>
      </w:pPr>
      <w:r>
        <w:rPr/>
        <w:br w:type="column"/>
      </w:r>
      <w:r>
        <w:rPr/>
        <w:t>term. Looking forward, if the impact of lower retail margins on profits is expected to be significant, we might see some effect on retailers’ share prices.</w:t>
      </w:r>
    </w:p>
    <w:p>
      <w:pPr>
        <w:spacing w:line="242" w:lineRule="auto" w:before="4"/>
        <w:ind w:left="190" w:right="313" w:firstLine="0"/>
        <w:jc w:val="both"/>
        <w:rPr>
          <w:sz w:val="24"/>
        </w:rPr>
      </w:pPr>
      <w:r>
        <w:rPr>
          <w:sz w:val="24"/>
        </w:rPr>
        <w:t>Chart 4.11 shows that in recent months, retailers’ share prices have fallen considerably relative to the market as a whole and, indeed, in absolute terms as well.</w:t>
      </w:r>
    </w:p>
    <w:p>
      <w:pPr>
        <w:spacing w:after="0" w:line="242" w:lineRule="auto"/>
        <w:jc w:val="both"/>
        <w:rPr>
          <w:sz w:val="24"/>
        </w:rPr>
        <w:sectPr>
          <w:type w:val="continuous"/>
          <w:pgSz w:w="11900" w:h="16840"/>
          <w:pgMar w:top="1220" w:bottom="280" w:left="620" w:right="640"/>
          <w:cols w:num="2" w:equalWidth="0">
            <w:col w:w="3721" w:space="1069"/>
            <w:col w:w="5850"/>
          </w:cols>
        </w:sectPr>
      </w:pPr>
    </w:p>
    <w:p>
      <w:pPr>
        <w:pStyle w:val="BodyText"/>
        <w:spacing w:before="8"/>
        <w:rPr>
          <w:sz w:val="9"/>
        </w:rPr>
      </w:pPr>
    </w:p>
    <w:p>
      <w:pPr>
        <w:spacing w:after="0"/>
        <w:rPr>
          <w:sz w:val="9"/>
        </w:rPr>
        <w:sectPr>
          <w:type w:val="continuous"/>
          <w:pgSz w:w="11900" w:h="16840"/>
          <w:pgMar w:top="1220" w:bottom="280" w:left="620" w:right="640"/>
        </w:sectPr>
      </w:pPr>
    </w:p>
    <w:p>
      <w:pPr>
        <w:pStyle w:val="BodyText"/>
        <w:spacing w:before="6"/>
        <w:rPr>
          <w:sz w:val="14"/>
        </w:rPr>
      </w:pPr>
    </w:p>
    <w:p>
      <w:pPr>
        <w:pStyle w:val="BodyText"/>
        <w:spacing w:line="20" w:lineRule="exact"/>
        <w:ind w:left="235"/>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3"/>
        <w:rPr>
          <w:sz w:val="25"/>
        </w:rPr>
      </w:pPr>
      <w:r>
        <w:rPr/>
        <w:pict>
          <v:shape style="position:absolute;margin-left:43pt;margin-top:16.771976pt;width:4.350pt;height:.1pt;mso-position-horizontal-relative:page;mso-position-vertical-relative:paragraph;z-index:-15240704;mso-wrap-distance-left:0;mso-wrap-distance-right:0" coordorigin="860,335" coordsize="87,0" path="m947,335l860,335e" filled="false" stroked="true" strokeweight=".5pt" strokecolor="#000000">
            <v:path arrowok="t"/>
            <v:stroke dashstyle="solid"/>
            <w10:wrap type="topAndBottom"/>
          </v:shape>
        </w:pict>
      </w:r>
    </w:p>
    <w:p>
      <w:pPr>
        <w:pStyle w:val="BodyText"/>
        <w:rPr>
          <w:sz w:val="20"/>
        </w:rPr>
      </w:pPr>
    </w:p>
    <w:p>
      <w:pPr>
        <w:pStyle w:val="BodyText"/>
        <w:spacing w:before="7"/>
        <w:rPr>
          <w:sz w:val="23"/>
        </w:rPr>
      </w:pPr>
      <w:r>
        <w:rPr/>
        <w:pict>
          <v:shape style="position:absolute;margin-left:42.667pt;margin-top:15.820976pt;width:4.350pt;height:.1pt;mso-position-horizontal-relative:page;mso-position-vertical-relative:paragraph;z-index:-15240192;mso-wrap-distance-left:0;mso-wrap-distance-right:0" coordorigin="853,316" coordsize="87,0" path="m940,316l853,316e" filled="false" stroked="true" strokeweight=".5pt" strokecolor="#000000">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spacing w:before="5"/>
        <w:rPr>
          <w:sz w:val="14"/>
        </w:rPr>
      </w:pPr>
    </w:p>
    <w:p>
      <w:pPr>
        <w:tabs>
          <w:tab w:pos="1067" w:val="left" w:leader="none"/>
        </w:tabs>
        <w:spacing w:before="0"/>
        <w:ind w:left="427" w:right="0" w:firstLine="0"/>
        <w:jc w:val="left"/>
        <w:rPr>
          <w:sz w:val="12"/>
        </w:rPr>
      </w:pPr>
      <w:r>
        <w:rPr/>
        <w:pict>
          <v:shape style="position:absolute;margin-left:43pt;margin-top:-7.268127pt;width:150.2pt;height:5.35pt;mso-position-horizontal-relative:page;mso-position-vertical-relative:paragraph;z-index:16228352" coordorigin="860,-145" coordsize="3004,107" path="m947,-45l860,-45m1013,-139l1013,-39m1299,-103l1299,-50m1585,-103l1585,-50m1871,-103l1871,-50m2443,-145l2443,-45m2157,-103l2157,-50m1013,-45l3863,-45m3863,-145l3863,-45m2727,-103l2727,-50m3011,-103l3011,-50m3295,-103l3295,-50m3579,-103l3579,-50e" filled="false" stroked="true" strokeweight=".5pt" strokecolor="#000000">
            <v:path arrowok="t"/>
            <v:stroke dashstyle="solid"/>
            <w10:wrap type="none"/>
          </v:shape>
        </w:pict>
      </w:r>
      <w:r>
        <w:rPr>
          <w:sz w:val="12"/>
        </w:rPr>
        <w:t>1990</w:t>
        <w:tab/>
      </w:r>
      <w:r>
        <w:rPr>
          <w:spacing w:val="-10"/>
          <w:sz w:val="12"/>
        </w:rPr>
        <w:t>92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tabs>
          <w:tab w:pos="972" w:val="left" w:leader="none"/>
          <w:tab w:pos="1544" w:val="left" w:leader="none"/>
          <w:tab w:pos="1939" w:val="left" w:leader="none"/>
        </w:tabs>
        <w:spacing w:before="0"/>
        <w:ind w:left="412" w:right="0" w:firstLine="0"/>
        <w:jc w:val="left"/>
        <w:rPr>
          <w:sz w:val="12"/>
        </w:rPr>
      </w:pPr>
      <w:r>
        <w:rPr/>
        <w:pict>
          <v:line style="position:absolute;mso-position-horizontal-relative:page;mso-position-vertical-relative:paragraph;z-index:16228864" from="202.833pt,-2.202648pt" to="198.5pt,-2.202648pt" stroked="true" strokeweight=".5pt" strokecolor="#000000">
            <v:stroke dashstyle="solid"/>
            <w10:wrap type="none"/>
          </v:line>
        </w:pict>
      </w:r>
      <w:r>
        <w:rPr>
          <w:sz w:val="12"/>
        </w:rPr>
        <w:t>94</w:t>
        <w:tab/>
        <w:t>96</w:t>
        <w:tab/>
        <w:t>98</w:t>
        <w:tab/>
      </w:r>
      <w:r>
        <w:rPr>
          <w:spacing w:val="-5"/>
          <w:sz w:val="12"/>
        </w:rPr>
        <w:t>2000</w:t>
      </w:r>
    </w:p>
    <w:p>
      <w:pPr>
        <w:spacing w:before="95"/>
        <w:ind w:left="52" w:right="0" w:firstLine="0"/>
        <w:jc w:val="left"/>
        <w:rPr>
          <w:sz w:val="12"/>
        </w:rPr>
      </w:pPr>
      <w:r>
        <w:rPr/>
        <w:br w:type="column"/>
      </w:r>
      <w:r>
        <w:rPr>
          <w:sz w:val="12"/>
        </w:rPr>
        <w:t>125</w:t>
      </w:r>
    </w:p>
    <w:p>
      <w:pPr>
        <w:pStyle w:val="BodyText"/>
        <w:rPr>
          <w:sz w:val="12"/>
        </w:rPr>
      </w:pPr>
    </w:p>
    <w:p>
      <w:pPr>
        <w:pStyle w:val="BodyText"/>
        <w:rPr>
          <w:sz w:val="12"/>
        </w:rPr>
      </w:pPr>
    </w:p>
    <w:p>
      <w:pPr>
        <w:pStyle w:val="BodyText"/>
        <w:spacing w:before="3"/>
        <w:rPr>
          <w:sz w:val="14"/>
        </w:rPr>
      </w:pPr>
    </w:p>
    <w:p>
      <w:pPr>
        <w:spacing w:before="0"/>
        <w:ind w:left="52" w:right="0" w:firstLine="0"/>
        <w:jc w:val="left"/>
        <w:rPr>
          <w:sz w:val="12"/>
        </w:rPr>
      </w:pPr>
      <w:r>
        <w:rPr>
          <w:sz w:val="12"/>
        </w:rPr>
        <w:t>100</w:t>
      </w:r>
    </w:p>
    <w:p>
      <w:pPr>
        <w:pStyle w:val="BodyText"/>
        <w:rPr>
          <w:sz w:val="12"/>
        </w:rPr>
      </w:pPr>
    </w:p>
    <w:p>
      <w:pPr>
        <w:pStyle w:val="BodyText"/>
        <w:rPr>
          <w:sz w:val="12"/>
        </w:rPr>
      </w:pPr>
    </w:p>
    <w:p>
      <w:pPr>
        <w:pStyle w:val="BodyText"/>
        <w:rPr>
          <w:sz w:val="14"/>
        </w:rPr>
      </w:pPr>
    </w:p>
    <w:p>
      <w:pPr>
        <w:spacing w:before="0"/>
        <w:ind w:left="112" w:right="0" w:firstLine="0"/>
        <w:jc w:val="left"/>
        <w:rPr>
          <w:sz w:val="12"/>
        </w:rPr>
      </w:pPr>
      <w:r>
        <w:rPr>
          <w:sz w:val="12"/>
        </w:rPr>
        <w:t>75</w:t>
      </w:r>
    </w:p>
    <w:p>
      <w:pPr>
        <w:pStyle w:val="BodyText"/>
        <w:rPr>
          <w:sz w:val="12"/>
        </w:rPr>
      </w:pPr>
    </w:p>
    <w:p>
      <w:pPr>
        <w:pStyle w:val="BodyText"/>
        <w:rPr>
          <w:sz w:val="12"/>
        </w:rPr>
      </w:pPr>
    </w:p>
    <w:p>
      <w:pPr>
        <w:pStyle w:val="BodyText"/>
        <w:spacing w:before="2"/>
        <w:rPr>
          <w:sz w:val="14"/>
        </w:rPr>
      </w:pPr>
    </w:p>
    <w:p>
      <w:pPr>
        <w:spacing w:before="0"/>
        <w:ind w:left="112" w:right="0" w:firstLine="0"/>
        <w:jc w:val="left"/>
        <w:rPr>
          <w:sz w:val="12"/>
        </w:rPr>
      </w:pPr>
      <w:r>
        <w:rPr>
          <w:sz w:val="12"/>
        </w:rPr>
        <w:t>50</w:t>
      </w:r>
    </w:p>
    <w:p>
      <w:pPr>
        <w:pStyle w:val="Heading6"/>
        <w:spacing w:line="242" w:lineRule="auto" w:before="192"/>
        <w:ind w:left="427" w:right="268"/>
      </w:pPr>
      <w:r>
        <w:rPr/>
        <w:br w:type="column"/>
      </w:r>
      <w:r>
        <w:rPr/>
        <w:t>The MPC has maintained its assumption that the prospective increase in competitive pressures is rather more widespread than has been observed in the past. The Committee has therefore assumed that there will be some overall compression of retailers’ margins over the forecast period, which will put downward pressure on retail prices. The Committee has also maintained the</w:t>
      </w:r>
    </w:p>
    <w:p>
      <w:pPr>
        <w:spacing w:after="0" w:line="242" w:lineRule="auto"/>
        <w:sectPr>
          <w:type w:val="continuous"/>
          <w:pgSz w:w="11900" w:h="16840"/>
          <w:pgMar w:top="1220" w:bottom="280" w:left="620" w:right="640"/>
          <w:cols w:num="4" w:equalWidth="0">
            <w:col w:w="1188" w:space="40"/>
            <w:col w:w="2181" w:space="39"/>
            <w:col w:w="273" w:space="832"/>
            <w:col w:w="6087"/>
          </w:cols>
        </w:sectPr>
      </w:pPr>
    </w:p>
    <w:p>
      <w:pPr>
        <w:pStyle w:val="BodyText"/>
        <w:spacing w:before="10"/>
        <w:rPr>
          <w:sz w:val="12"/>
        </w:rPr>
      </w:pPr>
    </w:p>
    <w:p>
      <w:pPr>
        <w:spacing w:before="1"/>
        <w:ind w:left="190" w:right="0" w:firstLine="0"/>
        <w:jc w:val="left"/>
        <w:rPr>
          <w:sz w:val="12"/>
        </w:rPr>
      </w:pPr>
      <w:r>
        <w:rPr>
          <w:sz w:val="12"/>
        </w:rPr>
        <w:t>(a) Indices are relative to the FTSE All-Share. End-month data.</w:t>
      </w:r>
    </w:p>
    <w:p>
      <w:pPr>
        <w:pStyle w:val="BodyText"/>
        <w:rPr>
          <w:sz w:val="12"/>
        </w:rPr>
      </w:pPr>
    </w:p>
    <w:p>
      <w:pPr>
        <w:pStyle w:val="BodyText"/>
        <w:spacing w:before="1"/>
        <w:rPr>
          <w:sz w:val="15"/>
        </w:rPr>
      </w:pPr>
    </w:p>
    <w:p>
      <w:pPr>
        <w:pStyle w:val="Heading9"/>
        <w:spacing w:before="0"/>
        <w:ind w:left="185"/>
      </w:pPr>
      <w:r>
        <w:rPr>
          <w:color w:val="0093C1"/>
        </w:rPr>
        <w:t>Chart 4.12</w:t>
      </w:r>
    </w:p>
    <w:p>
      <w:pPr>
        <w:spacing w:before="10"/>
        <w:ind w:left="185" w:right="0" w:firstLine="0"/>
        <w:jc w:val="left"/>
        <w:rPr>
          <w:b/>
          <w:sz w:val="20"/>
        </w:rPr>
      </w:pPr>
      <w:r>
        <w:rPr>
          <w:b/>
          <w:color w:val="0093C1"/>
          <w:sz w:val="20"/>
        </w:rPr>
        <w:t>Retail goods price inflation</w:t>
      </w:r>
    </w:p>
    <w:p>
      <w:pPr>
        <w:spacing w:line="119" w:lineRule="exact" w:before="185"/>
        <w:ind w:left="1753" w:right="0" w:firstLine="0"/>
        <w:jc w:val="left"/>
        <w:rPr>
          <w:sz w:val="12"/>
        </w:rPr>
      </w:pPr>
      <w:r>
        <w:rPr>
          <w:color w:val="231F20"/>
          <w:sz w:val="12"/>
        </w:rPr>
        <w:t>Percentage changes on a year earlier</w:t>
      </w:r>
    </w:p>
    <w:p>
      <w:pPr>
        <w:spacing w:line="119" w:lineRule="exact" w:before="0"/>
        <w:ind w:left="3554" w:right="0" w:firstLine="0"/>
        <w:jc w:val="left"/>
        <w:rPr>
          <w:sz w:val="12"/>
        </w:rPr>
      </w:pPr>
      <w:r>
        <w:rPr/>
        <w:pict>
          <v:line style="position:absolute;mso-position-horizontal-relative:page;mso-position-vertical-relative:paragraph;z-index:16224256" from="49.922001pt,2.341557pt" to="45.589001pt,2.341557pt" stroked="true" strokeweight=".5pt" strokecolor="#000000">
            <v:stroke dashstyle="solid"/>
            <w10:wrap type="none"/>
          </v:line>
        </w:pict>
      </w:r>
      <w:r>
        <w:rPr/>
        <w:pict>
          <v:line style="position:absolute;mso-position-horizontal-relative:page;mso-position-vertical-relative:paragraph;z-index:16224768" from="206.487999pt,2.278557pt" to="202.154999pt,2.278557pt" stroked="true" strokeweight=".5pt" strokecolor="#000000">
            <v:stroke dashstyle="solid"/>
            <w10:wrap type="none"/>
          </v:line>
        </w:pict>
      </w:r>
      <w:r>
        <w:rPr>
          <w:color w:val="231F20"/>
          <w:sz w:val="12"/>
        </w:rPr>
        <w:t>3.0</w:t>
      </w:r>
    </w:p>
    <w:p>
      <w:pPr>
        <w:pStyle w:val="Heading6"/>
        <w:spacing w:line="242" w:lineRule="auto" w:before="9"/>
        <w:ind w:left="185" w:right="475"/>
      </w:pPr>
      <w:r>
        <w:rPr/>
        <w:br w:type="column"/>
      </w:r>
      <w:r>
        <w:rPr/>
        <w:t>assumption that there will be substantial reductions in the prices of some services provided by utilities following decisions by the relevant regulatory bodies.</w:t>
      </w:r>
    </w:p>
    <w:p>
      <w:pPr>
        <w:pStyle w:val="BodyText"/>
        <w:spacing w:before="4"/>
        <w:rPr>
          <w:sz w:val="28"/>
        </w:rPr>
      </w:pPr>
    </w:p>
    <w:p>
      <w:pPr>
        <w:pStyle w:val="Heading3"/>
        <w:numPr>
          <w:ilvl w:val="1"/>
          <w:numId w:val="28"/>
        </w:numPr>
        <w:tabs>
          <w:tab w:pos="3179" w:val="left" w:leader="none"/>
          <w:tab w:pos="3180" w:val="left" w:leader="none"/>
        </w:tabs>
        <w:spacing w:line="240" w:lineRule="auto" w:before="0" w:after="0"/>
        <w:ind w:left="3179" w:right="0" w:hanging="2995"/>
        <w:jc w:val="left"/>
        <w:rPr>
          <w:color w:val="009483"/>
        </w:rPr>
      </w:pPr>
      <w:r>
        <w:rPr>
          <w:color w:val="009483"/>
        </w:rPr>
        <w:t>Other price indices</w:t>
      </w:r>
    </w:p>
    <w:p>
      <w:pPr>
        <w:spacing w:after="0" w:line="240" w:lineRule="auto"/>
        <w:jc w:val="left"/>
        <w:sectPr>
          <w:type w:val="continuous"/>
          <w:pgSz w:w="11900" w:h="16840"/>
          <w:pgMar w:top="1220" w:bottom="280" w:left="620" w:right="640"/>
          <w:cols w:num="2" w:equalWidth="0">
            <w:col w:w="3745" w:space="1049"/>
            <w:col w:w="5846"/>
          </w:cols>
        </w:sectPr>
      </w:pPr>
    </w:p>
    <w:p>
      <w:pPr>
        <w:pStyle w:val="BodyText"/>
        <w:spacing w:line="40" w:lineRule="exact"/>
        <w:ind w:left="4960"/>
        <w:rPr>
          <w:sz w:val="4"/>
        </w:rPr>
      </w:pPr>
      <w:r>
        <w:rPr>
          <w:position w:val="0"/>
          <w:sz w:val="4"/>
        </w:rPr>
        <w:pict>
          <v:group style="width:275pt;height:2pt;mso-position-horizontal-relative:char;mso-position-vertical-relative:line" coordorigin="0,0" coordsize="5500,40">
            <v:line style="position:absolute" from="0,20" to="5500,20" stroked="true" strokeweight="2pt" strokecolor="#0093c1">
              <v:stroke dashstyle="solid"/>
            </v:line>
          </v:group>
        </w:pict>
      </w:r>
      <w:r>
        <w:rPr>
          <w:position w:val="0"/>
          <w:sz w:val="4"/>
        </w:rPr>
      </w:r>
    </w:p>
    <w:p>
      <w:pPr>
        <w:pStyle w:val="BodyText"/>
        <w:spacing w:before="3"/>
        <w:rPr>
          <w:b/>
          <w:sz w:val="11"/>
        </w:rPr>
      </w:pPr>
    </w:p>
    <w:p>
      <w:pPr>
        <w:spacing w:after="0"/>
        <w:rPr>
          <w:sz w:val="11"/>
        </w:rPr>
        <w:sectPr>
          <w:type w:val="continuous"/>
          <w:pgSz w:w="11900" w:h="16840"/>
          <w:pgMar w:top="1220" w:bottom="280" w:left="620" w:right="640"/>
        </w:sectPr>
      </w:pPr>
    </w:p>
    <w:p>
      <w:pPr>
        <w:pStyle w:val="BodyText"/>
        <w:spacing w:before="1"/>
        <w:rPr>
          <w:b/>
          <w:sz w:val="20"/>
        </w:rPr>
      </w:pPr>
    </w:p>
    <w:p>
      <w:pPr>
        <w:pStyle w:val="BodyText"/>
        <w:spacing w:line="20" w:lineRule="exact"/>
        <w:ind w:left="286"/>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b/>
          <w:sz w:val="20"/>
        </w:rPr>
      </w:pPr>
    </w:p>
    <w:p>
      <w:pPr>
        <w:pStyle w:val="BodyText"/>
        <w:spacing w:before="7"/>
        <w:rPr>
          <w:b/>
          <w:sz w:val="16"/>
        </w:rPr>
      </w:pPr>
      <w:r>
        <w:rPr/>
        <w:pict>
          <v:shape style="position:absolute;margin-left:45.589001pt;margin-top:11.757977pt;width:4.350pt;height:.1pt;mso-position-horizontal-relative:page;mso-position-vertical-relative:paragraph;z-index:-15238656;mso-wrap-distance-left:0;mso-wrap-distance-right:0" coordorigin="912,235" coordsize="87,0" path="m998,235l912,235e" filled="false" stroked="true" strokeweight=".5pt" strokecolor="#000000">
            <v:path arrowok="t"/>
            <v:stroke dashstyle="solid"/>
            <w10:wrap type="topAndBottom"/>
          </v:shape>
        </w:pict>
      </w:r>
    </w:p>
    <w:p>
      <w:pPr>
        <w:pStyle w:val="BodyText"/>
        <w:rPr>
          <w:b/>
          <w:sz w:val="20"/>
        </w:rPr>
      </w:pPr>
    </w:p>
    <w:p>
      <w:pPr>
        <w:pStyle w:val="BodyText"/>
        <w:spacing w:before="11"/>
        <w:rPr>
          <w:b/>
          <w:sz w:val="14"/>
        </w:rPr>
      </w:pPr>
      <w:r>
        <w:rPr/>
        <w:pict>
          <v:shape style="position:absolute;margin-left:45.589001pt;margin-top:10.807977pt;width:4.350pt;height:.1pt;mso-position-horizontal-relative:page;mso-position-vertical-relative:paragraph;z-index:-15238144;mso-wrap-distance-left:0;mso-wrap-distance-right:0" coordorigin="912,216" coordsize="87,0" path="m998,216l912,216e" filled="false" stroked="true" strokeweight=".5pt" strokecolor="#000000">
            <v:path arrowok="t"/>
            <v:stroke dashstyle="solid"/>
            <w10:wrap type="topAndBottom"/>
          </v:shape>
        </w:pict>
      </w:r>
    </w:p>
    <w:p>
      <w:pPr>
        <w:pStyle w:val="BodyText"/>
        <w:rPr>
          <w:b/>
          <w:sz w:val="20"/>
        </w:rPr>
      </w:pPr>
    </w:p>
    <w:p>
      <w:pPr>
        <w:pStyle w:val="BodyText"/>
        <w:spacing w:before="11"/>
        <w:rPr>
          <w:b/>
          <w:sz w:val="14"/>
        </w:rPr>
      </w:pPr>
      <w:r>
        <w:rPr/>
        <w:pict>
          <v:shape style="position:absolute;margin-left:45.589001pt;margin-top:10.807977pt;width:4.350pt;height:.1pt;mso-position-horizontal-relative:page;mso-position-vertical-relative:paragraph;z-index:-15237632;mso-wrap-distance-left:0;mso-wrap-distance-right:0" coordorigin="912,216" coordsize="87,0" path="m998,216l912,216e" filled="false" stroked="true" strokeweight=".5pt" strokecolor="#000000">
            <v:path arrowok="t"/>
            <v:stroke dashstyle="solid"/>
            <w10:wrap type="topAndBottom"/>
          </v:shape>
        </w:pict>
      </w:r>
    </w:p>
    <w:p>
      <w:pPr>
        <w:pStyle w:val="BodyText"/>
        <w:rPr>
          <w:b/>
          <w:sz w:val="20"/>
        </w:rPr>
      </w:pPr>
    </w:p>
    <w:p>
      <w:pPr>
        <w:pStyle w:val="BodyText"/>
        <w:spacing w:before="11"/>
        <w:rPr>
          <w:b/>
          <w:sz w:val="14"/>
        </w:rPr>
      </w:pPr>
      <w:r>
        <w:rPr/>
        <w:pict>
          <v:shape style="position:absolute;margin-left:45.589001pt;margin-top:10.806976pt;width:4.350pt;height:.1pt;mso-position-horizontal-relative:page;mso-position-vertical-relative:paragraph;z-index:-15237120;mso-wrap-distance-left:0;mso-wrap-distance-right:0" coordorigin="912,216" coordsize="87,0" path="m998,216l912,216e" filled="false" stroked="true" strokeweight=".5pt" strokecolor="#000000">
            <v:path arrowok="t"/>
            <v:stroke dashstyle="solid"/>
            <w10:wrap type="topAndBottom"/>
          </v:shape>
        </w:pict>
      </w:r>
      <w:r>
        <w:rPr/>
        <w:pict>
          <v:shape style="position:absolute;margin-left:45.589001pt;margin-top:34.814976pt;width:4.350pt;height:.1pt;mso-position-horizontal-relative:page;mso-position-vertical-relative:paragraph;z-index:-15236608;mso-wrap-distance-left:0;mso-wrap-distance-right:0" coordorigin="912,696" coordsize="87,0" path="m998,696l912,696e" filled="false" stroked="true" strokeweight=".5pt" strokecolor="#000000">
            <v:path arrowok="t"/>
            <v:stroke dashstyle="solid"/>
            <w10:wrap type="topAndBottom"/>
          </v:shape>
        </w:pict>
      </w:r>
      <w:r>
        <w:rPr/>
        <w:pict>
          <v:shape style="position:absolute;margin-left:54.356998pt;margin-top:30.105976pt;width:143.7pt;height:4.7pt;mso-position-horizontal-relative:page;mso-position-vertical-relative:paragraph;z-index:-15236096;mso-wrap-distance-left:0;mso-wrap-distance-right:0" coordorigin="1087,602" coordsize="2874,94" path="m1090,696l3961,696m1087,602l1087,695m1587,642l1587,695m2337,642l2337,695m3836,642l3836,695m2836,642l2836,695m1337,642l1337,695m1837,642l1837,695m3086,642l3086,695m3336,642l3336,695m2087,642l2087,695m3586,642l3586,695m2586,602l2586,695m1212,642l1212,695m1712,642l1712,695m2462,642l2462,695m3961,642l3961,695m2961,642l2961,695m1462,642l1462,695m1962,642l1962,695m3211,642l3211,695m3461,642l3461,695m2212,642l2212,695m3711,642l3711,695m2711,642l2711,695e" filled="false" stroked="true" strokeweight=".5pt" strokecolor="#000000">
            <v:path arrowok="t"/>
            <v:stroke dashstyle="solid"/>
            <w10:wrap type="topAndBottom"/>
          </v:shape>
        </w:pict>
      </w:r>
    </w:p>
    <w:p>
      <w:pPr>
        <w:pStyle w:val="BodyText"/>
        <w:spacing w:before="9"/>
        <w:rPr>
          <w:b/>
          <w:sz w:val="26"/>
        </w:rPr>
      </w:pPr>
    </w:p>
    <w:p>
      <w:pPr>
        <w:tabs>
          <w:tab w:pos="2675" w:val="left" w:leader="none"/>
        </w:tabs>
        <w:spacing w:before="4"/>
        <w:ind w:left="1103" w:right="0" w:firstLine="0"/>
        <w:jc w:val="left"/>
        <w:rPr>
          <w:sz w:val="12"/>
        </w:rPr>
      </w:pPr>
      <w:r>
        <w:rPr>
          <w:color w:val="231F20"/>
          <w:sz w:val="12"/>
        </w:rPr>
        <w:t>1998</w:t>
        <w:tab/>
        <w:t>99</w:t>
      </w:r>
    </w:p>
    <w:p>
      <w:pPr>
        <w:pStyle w:val="BodyText"/>
        <w:spacing w:before="3"/>
        <w:rPr>
          <w:sz w:val="13"/>
        </w:rPr>
      </w:pPr>
    </w:p>
    <w:p>
      <w:pPr>
        <w:spacing w:line="125" w:lineRule="exact" w:before="0"/>
        <w:ind w:left="180" w:right="0" w:firstLine="0"/>
        <w:jc w:val="left"/>
        <w:rPr>
          <w:sz w:val="12"/>
        </w:rPr>
      </w:pPr>
      <w:r>
        <w:rPr>
          <w:sz w:val="12"/>
        </w:rPr>
        <w:t>(a) Import-intensive sectors are defined as those non-food sectors</w:t>
      </w:r>
    </w:p>
    <w:p>
      <w:pPr>
        <w:pStyle w:val="BodyText"/>
        <w:spacing w:before="9"/>
        <w:rPr>
          <w:sz w:val="14"/>
        </w:rPr>
      </w:pPr>
      <w:r>
        <w:rPr/>
        <w:br w:type="column"/>
      </w:r>
      <w:r>
        <w:rPr>
          <w:sz w:val="14"/>
        </w:rPr>
      </w:r>
    </w:p>
    <w:p>
      <w:pPr>
        <w:spacing w:before="0"/>
        <w:ind w:left="119" w:right="0" w:firstLine="0"/>
        <w:jc w:val="left"/>
        <w:rPr>
          <w:sz w:val="12"/>
        </w:rPr>
      </w:pPr>
      <w:r>
        <w:rPr>
          <w:color w:val="231F20"/>
          <w:sz w:val="12"/>
        </w:rPr>
        <w:t>2.5</w:t>
      </w:r>
    </w:p>
    <w:p>
      <w:pPr>
        <w:pStyle w:val="BodyText"/>
        <w:rPr>
          <w:sz w:val="12"/>
        </w:rPr>
      </w:pPr>
    </w:p>
    <w:p>
      <w:pPr>
        <w:pStyle w:val="BodyText"/>
        <w:spacing w:before="8"/>
        <w:rPr>
          <w:sz w:val="17"/>
        </w:rPr>
      </w:pPr>
    </w:p>
    <w:p>
      <w:pPr>
        <w:spacing w:before="0"/>
        <w:ind w:left="119" w:right="0" w:firstLine="0"/>
        <w:jc w:val="left"/>
        <w:rPr>
          <w:sz w:val="12"/>
        </w:rPr>
      </w:pPr>
      <w:r>
        <w:rPr/>
        <w:pict>
          <v:group style="position:absolute;margin-left:53.779999pt;margin-top:-21.648445pt;width:152.75pt;height:105.15pt;mso-position-horizontal-relative:page;mso-position-vertical-relative:paragraph;z-index:16223744" coordorigin="1076,-433" coordsize="3055,2103">
            <v:line style="position:absolute" from="1086,465" to="1216,142" stroked="true" strokeweight="1pt" strokecolor="#0066a5">
              <v:stroke dashstyle="solid"/>
            </v:line>
            <v:line style="position:absolute" from="1206,143" to="1343,143" stroked="true" strokeweight="1.125pt" strokecolor="#0066a5">
              <v:stroke dashstyle="solid"/>
            </v:line>
            <v:shape style="position:absolute;left:1333;top:-423;width:875;height:1303" coordorigin="1333,-423" coordsize="875,1303" path="m1333,142l1461,-118m1461,-118l1588,-423m1588,-423l1706,97m1706,97l1836,480m1836,480l1963,617m1963,617l2091,757m2091,757l2208,880e" filled="false" stroked="true" strokeweight="1pt" strokecolor="#0066a5">
              <v:path arrowok="t"/>
              <v:stroke dashstyle="solid"/>
            </v:shape>
            <v:line style="position:absolute" from="2198,881" to="2348,881" stroked="true" strokeweight="1.125pt" strokecolor="#0066a5">
              <v:stroke dashstyle="solid"/>
            </v:line>
            <v:shape style="position:absolute;left:2338;top:572;width:748;height:583" coordorigin="2338,572" coordsize="748,583" path="m2338,880l2466,635m2466,635l2583,617m2583,617l2711,955m2711,955l2841,572m2841,572l2958,772m2958,772l3086,1155e" filled="false" stroked="true" strokeweight="1pt" strokecolor="#0066a5">
              <v:path arrowok="t"/>
              <v:stroke dashstyle="solid"/>
            </v:shape>
            <v:line style="position:absolute" from="3076,1156" to="3223,1156" stroked="true" strokeweight="1.125pt" strokecolor="#0066a5">
              <v:stroke dashstyle="solid"/>
            </v:line>
            <v:line style="position:absolute" from="3203,1147" to="3353,1147" stroked="true" strokeweight="1.75pt" strokecolor="#0066a5">
              <v:stroke dashstyle="solid"/>
            </v:line>
            <v:line style="position:absolute" from="3343,1140" to="3461,1477" stroked="true" strokeweight="1pt" strokecolor="#0066a5">
              <v:stroke dashstyle="solid"/>
            </v:line>
            <v:line style="position:absolute" from="3451,1478" to="3598,1478" stroked="true" strokeweight="1.125pt" strokecolor="#0066a5">
              <v:stroke dashstyle="solid"/>
            </v:line>
            <v:shape style="position:absolute;left:3588;top:1477;width:375;height:183" coordorigin="3588,1477" coordsize="375,183" path="m3588,1477l3716,1600m3716,1600l3833,1537m3833,1537l3963,1660e" filled="false" stroked="true" strokeweight="1pt" strokecolor="#0066a5">
              <v:path arrowok="t"/>
              <v:stroke dashstyle="solid"/>
            </v:shape>
            <v:shape style="position:absolute;left:1085;top:-393;width:1123;height:1010" coordorigin="1086,-393" coordsize="1123,1010" path="m1086,435l1216,190m1216,190l1333,175m1333,175l1461,-163m1461,-163l1588,-393m1588,-393l1706,67m1706,67l1836,312m1836,312l1963,420m1963,420l2091,587m2091,587l2208,617e" filled="false" stroked="true" strokeweight="1pt" strokecolor="#ed1b2d">
              <v:path arrowok="t"/>
              <v:stroke dashstyle="solid"/>
            </v:shape>
            <v:line style="position:absolute" from="2198,610" to="2348,610" stroked="true" strokeweight="1.75pt" strokecolor="#ed1b2d">
              <v:stroke dashstyle="solid"/>
            </v:line>
            <v:shape style="position:absolute;left:2338;top:67;width:748;height:535" coordorigin="2338,67" coordsize="748,535" path="m2338,602l2466,250m2466,250l2583,265m2583,265l2711,495m2711,495l2841,67m2841,67l2958,265m2958,265l3086,602e" filled="false" stroked="true" strokeweight="1pt" strokecolor="#ed1b2d">
              <v:path arrowok="t"/>
              <v:stroke dashstyle="solid"/>
            </v:shape>
            <v:line style="position:absolute" from="3076,603" to="3223,603" stroked="true" strokeweight="1.125pt" strokecolor="#ed1b2d">
              <v:stroke dashstyle="solid"/>
            </v:line>
            <v:shape style="position:absolute;left:3213;top:572;width:750;height:290" coordorigin="3213,572" coordsize="750,290" path="m3213,602l3343,572m3343,572l3461,832m3461,832l3588,787m3588,787l3716,862m3716,862l3833,725m3833,725l3963,847e" filled="false" stroked="true" strokeweight="1pt" strokecolor="#ed1b2d">
              <v:path arrowok="t"/>
              <v:stroke dashstyle="solid"/>
            </v:shape>
            <v:shape style="position:absolute;left:4043;top:-416;width:87;height:1921" coordorigin="4043,-415" coordsize="87,1921" path="m4130,65l4043,65m4130,1025l4043,1025m4130,-415l4043,-415m4130,545l4043,545m4130,1505l4043,1505e" filled="false" stroked="true" strokeweight=".5pt" strokecolor="#000000">
              <v:path arrowok="t"/>
              <v:stroke dashstyle="solid"/>
            </v:shape>
            <v:shape style="position:absolute;left:2235;top:-255;width:1144;height:374" type="#_x0000_t202" filled="false" stroked="false">
              <v:textbox inset="0,0,0,0">
                <w:txbxContent>
                  <w:p>
                    <w:pPr>
                      <w:spacing w:line="208" w:lineRule="auto" w:before="9"/>
                      <w:ind w:left="60" w:right="18" w:hanging="60"/>
                      <w:jc w:val="left"/>
                      <w:rPr>
                        <w:sz w:val="12"/>
                      </w:rPr>
                    </w:pPr>
                    <w:r>
                      <w:rPr>
                        <w:color w:val="231F20"/>
                        <w:sz w:val="12"/>
                      </w:rPr>
                      <w:t>RPIX goods, excluding import-intensive sectors (a)</w:t>
                    </w:r>
                  </w:p>
                </w:txbxContent>
              </v:textbox>
              <w10:wrap type="none"/>
            </v:shape>
            <v:shape style="position:absolute;left:1992;top:934;width:611;height:133" type="#_x0000_t202" filled="false" stroked="false">
              <v:textbox inset="0,0,0,0">
                <w:txbxContent>
                  <w:p>
                    <w:pPr>
                      <w:spacing w:line="133" w:lineRule="exact" w:before="0"/>
                      <w:ind w:left="0" w:right="0" w:firstLine="0"/>
                      <w:jc w:val="left"/>
                      <w:rPr>
                        <w:sz w:val="12"/>
                      </w:rPr>
                    </w:pPr>
                    <w:r>
                      <w:rPr>
                        <w:color w:val="231F20"/>
                        <w:sz w:val="12"/>
                      </w:rPr>
                      <w:t>RPIX goods</w:t>
                    </w:r>
                  </w:p>
                </w:txbxContent>
              </v:textbox>
              <w10:wrap type="none"/>
            </v:shape>
            <w10:wrap type="none"/>
          </v:group>
        </w:pict>
      </w:r>
      <w:r>
        <w:rPr>
          <w:color w:val="231F20"/>
          <w:sz w:val="12"/>
        </w:rPr>
        <w:t>2.0</w:t>
      </w:r>
    </w:p>
    <w:p>
      <w:pPr>
        <w:pStyle w:val="BodyText"/>
        <w:rPr>
          <w:sz w:val="12"/>
        </w:rPr>
      </w:pPr>
    </w:p>
    <w:p>
      <w:pPr>
        <w:pStyle w:val="BodyText"/>
        <w:spacing w:before="9"/>
        <w:rPr>
          <w:sz w:val="17"/>
        </w:rPr>
      </w:pPr>
    </w:p>
    <w:p>
      <w:pPr>
        <w:spacing w:before="0"/>
        <w:ind w:left="119" w:right="0" w:firstLine="0"/>
        <w:jc w:val="left"/>
        <w:rPr>
          <w:sz w:val="12"/>
        </w:rPr>
      </w:pPr>
      <w:r>
        <w:rPr>
          <w:color w:val="231F20"/>
          <w:sz w:val="12"/>
        </w:rPr>
        <w:t>1.5</w:t>
      </w:r>
    </w:p>
    <w:p>
      <w:pPr>
        <w:pStyle w:val="BodyText"/>
        <w:rPr>
          <w:sz w:val="12"/>
        </w:rPr>
      </w:pPr>
    </w:p>
    <w:p>
      <w:pPr>
        <w:pStyle w:val="BodyText"/>
        <w:spacing w:before="8"/>
        <w:rPr>
          <w:sz w:val="17"/>
        </w:rPr>
      </w:pPr>
    </w:p>
    <w:p>
      <w:pPr>
        <w:spacing w:before="0"/>
        <w:ind w:left="119" w:right="0" w:firstLine="0"/>
        <w:jc w:val="left"/>
        <w:rPr>
          <w:sz w:val="12"/>
        </w:rPr>
      </w:pPr>
      <w:r>
        <w:rPr>
          <w:color w:val="231F20"/>
          <w:sz w:val="12"/>
        </w:rPr>
        <w:t>1.0</w:t>
      </w:r>
    </w:p>
    <w:p>
      <w:pPr>
        <w:pStyle w:val="BodyText"/>
        <w:rPr>
          <w:sz w:val="12"/>
        </w:rPr>
      </w:pPr>
    </w:p>
    <w:p>
      <w:pPr>
        <w:pStyle w:val="BodyText"/>
        <w:spacing w:before="9"/>
        <w:rPr>
          <w:sz w:val="17"/>
        </w:rPr>
      </w:pPr>
    </w:p>
    <w:p>
      <w:pPr>
        <w:spacing w:before="0"/>
        <w:ind w:left="119" w:right="0" w:firstLine="0"/>
        <w:jc w:val="left"/>
        <w:rPr>
          <w:sz w:val="12"/>
        </w:rPr>
      </w:pPr>
      <w:r>
        <w:rPr>
          <w:color w:val="231F20"/>
          <w:sz w:val="12"/>
        </w:rPr>
        <w:t>0.5</w:t>
      </w:r>
    </w:p>
    <w:p>
      <w:pPr>
        <w:pStyle w:val="BodyText"/>
        <w:rPr>
          <w:sz w:val="12"/>
        </w:rPr>
      </w:pPr>
    </w:p>
    <w:p>
      <w:pPr>
        <w:pStyle w:val="BodyText"/>
        <w:spacing w:before="8"/>
        <w:rPr>
          <w:sz w:val="17"/>
        </w:rPr>
      </w:pPr>
    </w:p>
    <w:p>
      <w:pPr>
        <w:spacing w:before="1"/>
        <w:ind w:left="119" w:right="0" w:firstLine="0"/>
        <w:jc w:val="left"/>
        <w:rPr>
          <w:sz w:val="12"/>
        </w:rPr>
      </w:pPr>
      <w:r>
        <w:rPr/>
        <w:pict>
          <v:line style="position:absolute;mso-position-horizontal-relative:page;mso-position-vertical-relative:paragraph;z-index:16225280" from="206.487999pt,3.318555pt" to="202.154999pt,3.318555pt" stroked="true" strokeweight=".5pt" strokecolor="#000000">
            <v:stroke dashstyle="solid"/>
            <w10:wrap type="none"/>
          </v:line>
        </w:pict>
      </w:r>
      <w:r>
        <w:rPr>
          <w:color w:val="231F20"/>
          <w:sz w:val="12"/>
        </w:rPr>
        <w:t>0.0</w:t>
      </w:r>
    </w:p>
    <w:p>
      <w:pPr>
        <w:pStyle w:val="Heading6"/>
        <w:spacing w:line="242" w:lineRule="auto" w:before="90"/>
        <w:ind w:left="180" w:right="219"/>
      </w:pPr>
      <w:r>
        <w:rPr/>
        <w:br w:type="column"/>
      </w:r>
      <w:r>
        <w:rPr/>
        <w:t>Retail price inflation can be thought of as a weighted average of domestically generated inflation (DGI) and imported inflation. It is apparent from Chart 4.12 that the weakness of import prices, especially in sterling terms following the appreciation of the exchange rate, has continued to exert downward pressure on retail </w:t>
      </w:r>
      <w:r>
        <w:rPr>
          <w:spacing w:val="-4"/>
        </w:rPr>
        <w:t>price </w:t>
      </w:r>
      <w:r>
        <w:rPr/>
        <w:t>inflation. DGI provides some information on the pressure being exerted on prices by domestic demand.</w:t>
      </w:r>
    </w:p>
    <w:p>
      <w:pPr>
        <w:pStyle w:val="BodyText"/>
        <w:spacing w:before="7"/>
        <w:rPr>
          <w:sz w:val="26"/>
        </w:rPr>
      </w:pPr>
    </w:p>
    <w:p>
      <w:pPr>
        <w:spacing w:line="280" w:lineRule="atLeast" w:before="0"/>
        <w:ind w:left="180" w:right="614" w:firstLine="0"/>
        <w:jc w:val="left"/>
        <w:rPr>
          <w:sz w:val="24"/>
        </w:rPr>
      </w:pPr>
      <w:r>
        <w:rPr>
          <w:sz w:val="24"/>
        </w:rPr>
        <w:t>One measure of DGI is based on the GDP deflator. Annual inflation of the GDP deflator was revised up</w:t>
      </w:r>
    </w:p>
    <w:p>
      <w:pPr>
        <w:spacing w:after="0" w:line="280" w:lineRule="atLeast"/>
        <w:jc w:val="left"/>
        <w:rPr>
          <w:sz w:val="24"/>
        </w:rPr>
        <w:sectPr>
          <w:type w:val="continuous"/>
          <w:pgSz w:w="11900" w:h="16840"/>
          <w:pgMar w:top="1220" w:bottom="280" w:left="620" w:right="640"/>
          <w:cols w:num="3" w:equalWidth="0">
            <w:col w:w="3396" w:space="40"/>
            <w:col w:w="310" w:space="1054"/>
            <w:col w:w="5840"/>
          </w:cols>
        </w:sectPr>
      </w:pPr>
    </w:p>
    <w:p>
      <w:pPr>
        <w:spacing w:line="29" w:lineRule="exact" w:before="0"/>
        <w:ind w:left="420" w:right="0" w:firstLine="0"/>
        <w:jc w:val="left"/>
        <w:rPr>
          <w:sz w:val="12"/>
        </w:rPr>
      </w:pPr>
      <w:r>
        <w:rPr>
          <w:sz w:val="12"/>
        </w:rPr>
        <w:t>producing consumer goods and services where 1990 input-output</w:t>
      </w:r>
    </w:p>
    <w:p>
      <w:pPr>
        <w:spacing w:line="208" w:lineRule="auto" w:before="5"/>
        <w:ind w:left="420" w:right="110" w:firstLine="0"/>
        <w:jc w:val="left"/>
        <w:rPr>
          <w:sz w:val="12"/>
        </w:rPr>
      </w:pPr>
      <w:r>
        <w:rPr>
          <w:sz w:val="12"/>
        </w:rPr>
        <w:t>tables suggest that more than two thirds of the sector’s inputs originate as imports. They correspond to the following components of the RPI: electrical appliances, other household equipment, clothing and footwear, chemists’ goods, motor vehicles,</w:t>
      </w:r>
    </w:p>
    <w:p>
      <w:pPr>
        <w:spacing w:line="208" w:lineRule="auto" w:before="0"/>
        <w:ind w:left="420" w:right="20" w:firstLine="0"/>
        <w:jc w:val="left"/>
        <w:rPr>
          <w:sz w:val="12"/>
        </w:rPr>
      </w:pPr>
      <w:r>
        <w:rPr>
          <w:sz w:val="12"/>
        </w:rPr>
        <w:t>audio-visual equipment, CDs and tapes, toys, photographic equipment and sports goods.</w:t>
      </w:r>
    </w:p>
    <w:p>
      <w:pPr>
        <w:pStyle w:val="BodyText"/>
        <w:rPr>
          <w:sz w:val="12"/>
        </w:rPr>
      </w:pPr>
    </w:p>
    <w:p>
      <w:pPr>
        <w:pStyle w:val="BodyText"/>
        <w:rPr>
          <w:sz w:val="12"/>
        </w:rPr>
      </w:pPr>
    </w:p>
    <w:p>
      <w:pPr>
        <w:pStyle w:val="Heading9"/>
        <w:spacing w:line="249" w:lineRule="auto" w:before="70"/>
        <w:ind w:left="180" w:right="2350"/>
        <w:rPr>
          <w:b w:val="0"/>
          <w:sz w:val="12"/>
        </w:rPr>
      </w:pPr>
      <w:r>
        <w:rPr>
          <w:color w:val="0093C1"/>
        </w:rPr>
        <w:t>Chart 4.13 GDP deflator</w:t>
      </w:r>
      <w:r>
        <w:rPr>
          <w:b w:val="0"/>
          <w:position w:val="4"/>
          <w:sz w:val="12"/>
        </w:rPr>
        <w:t>(a)</w:t>
      </w:r>
    </w:p>
    <w:p>
      <w:pPr>
        <w:spacing w:line="119" w:lineRule="exact" w:before="159"/>
        <w:ind w:left="1757" w:right="0" w:firstLine="0"/>
        <w:jc w:val="left"/>
        <w:rPr>
          <w:sz w:val="12"/>
        </w:rPr>
      </w:pPr>
      <w:r>
        <w:rPr>
          <w:sz w:val="12"/>
        </w:rPr>
        <w:t>Percentage changes on a year earlier</w:t>
      </w:r>
    </w:p>
    <w:p>
      <w:pPr>
        <w:spacing w:line="119" w:lineRule="exact" w:before="0"/>
        <w:ind w:left="3557" w:right="0" w:firstLine="0"/>
        <w:jc w:val="left"/>
        <w:rPr>
          <w:sz w:val="12"/>
        </w:rPr>
      </w:pPr>
      <w:r>
        <w:rPr/>
        <w:pict>
          <v:line style="position:absolute;mso-position-horizontal-relative:page;mso-position-vertical-relative:paragraph;z-index:16235520" from="48.333pt,2.153160pt" to="44pt,2.153160pt" stroked="true" strokeweight=".5pt" strokecolor="#000000">
            <v:stroke dashstyle="solid"/>
            <w10:wrap type="none"/>
          </v:line>
        </w:pict>
      </w:r>
      <w:r>
        <w:rPr/>
        <w:pict>
          <v:line style="position:absolute;mso-position-horizontal-relative:page;mso-position-vertical-relative:paragraph;z-index:16240128" from="205.833pt,2.153160pt" to="201.5pt,2.153160pt" stroked="true" strokeweight=".5pt" strokecolor="#000000">
            <v:stroke dashstyle="solid"/>
            <w10:wrap type="none"/>
          </v:line>
        </w:pict>
      </w:r>
      <w:r>
        <w:rPr>
          <w:sz w:val="12"/>
        </w:rPr>
        <w:t>4.0</w:t>
      </w:r>
    </w:p>
    <w:p>
      <w:pPr>
        <w:pStyle w:val="BodyText"/>
        <w:rPr>
          <w:sz w:val="12"/>
        </w:rPr>
      </w:pPr>
    </w:p>
    <w:p>
      <w:pPr>
        <w:spacing w:before="83"/>
        <w:ind w:left="0" w:right="123" w:firstLine="0"/>
        <w:jc w:val="right"/>
        <w:rPr>
          <w:sz w:val="12"/>
        </w:rPr>
      </w:pPr>
      <w:r>
        <w:rPr/>
        <w:pict>
          <v:group style="position:absolute;margin-left:52.375pt;margin-top:.684363pt;width:146.5pt;height:70.4pt;mso-position-horizontal-relative:page;mso-position-vertical-relative:paragraph;z-index:16230400" coordorigin="1048,14" coordsize="2930,1408">
            <v:line style="position:absolute" from="1048,472" to="1328,472" stroked="true" strokeweight="1.875pt" strokecolor="#008256">
              <v:stroke dashstyle="solid"/>
            </v:line>
            <v:shape style="position:absolute;left:1317;top:23;width:1835;height:845" coordorigin="1318,24" coordsize="1835,845" path="m1318,481l1578,769m1578,769l1850,869m1850,869l2110,176m2110,176l2373,751m2373,751l2633,209m2633,209l2893,24m2893,24l3153,531e" filled="false" stroked="true" strokeweight="1pt" strokecolor="#008256">
              <v:path arrowok="t"/>
              <v:stroke dashstyle="solid"/>
            </v:shape>
            <v:line style="position:absolute" from="1048,472" to="1328,472" stroked="true" strokeweight="1.875pt" strokecolor="#a6af49">
              <v:stroke dashstyle="solid"/>
            </v:line>
            <v:shape style="position:absolute;left:1317;top:176;width:2370;height:1235" coordorigin="1318,176" coordsize="2370,1235" path="m1318,481l1578,769m1578,769l1850,869m1850,869l2110,176m2110,176l2373,819m2373,819l2633,414m2633,414l2893,496m2893,496l3153,1259m3153,1259l3425,1191m3425,1191l3688,1411e" filled="false" stroked="true" strokeweight="1pt" strokecolor="#a6af49">
              <v:path arrowok="t"/>
              <v:stroke dashstyle="solid"/>
            </v:shape>
            <v:shape style="position:absolute;left:3055;top:199;width:407;height:133" type="#_x0000_t202" filled="false" stroked="false">
              <v:textbox inset="0,0,0,0">
                <w:txbxContent>
                  <w:p>
                    <w:pPr>
                      <w:spacing w:line="133" w:lineRule="exact" w:before="0"/>
                      <w:ind w:left="0" w:right="0" w:firstLine="0"/>
                      <w:jc w:val="left"/>
                      <w:rPr>
                        <w:sz w:val="12"/>
                      </w:rPr>
                    </w:pPr>
                    <w:r>
                      <w:rPr>
                        <w:color w:val="231F20"/>
                        <w:sz w:val="12"/>
                      </w:rPr>
                      <w:t>Revised</w:t>
                    </w:r>
                  </w:p>
                </w:txbxContent>
              </v:textbox>
              <w10:wrap type="none"/>
            </v:shape>
            <v:shape style="position:absolute;left:3102;top:1274;width:875;height:133" type="#_x0000_t202" filled="false" stroked="false">
              <v:textbox inset="0,0,0,0">
                <w:txbxContent>
                  <w:p>
                    <w:pPr>
                      <w:tabs>
                        <w:tab w:pos="574" w:val="left" w:leader="none"/>
                        <w:tab w:pos="854" w:val="left" w:leader="none"/>
                      </w:tabs>
                      <w:spacing w:line="133" w:lineRule="exact" w:before="0"/>
                      <w:ind w:left="0" w:right="0" w:firstLine="0"/>
                      <w:jc w:val="left"/>
                      <w:rPr>
                        <w:sz w:val="12"/>
                      </w:rPr>
                    </w:pPr>
                    <w:r>
                      <w:rPr>
                        <w:color w:val="231F20"/>
                        <w:sz w:val="12"/>
                      </w:rPr>
                      <w:t>Old</w:t>
                      <w:tab/>
                    </w:r>
                    <w:r>
                      <w:rPr>
                        <w:color w:val="231F20"/>
                        <w:sz w:val="12"/>
                        <w:u w:val="thick" w:color="A6AF49"/>
                      </w:rPr>
                      <w:t> </w:t>
                      <w:tab/>
                    </w:r>
                  </w:p>
                </w:txbxContent>
              </v:textbox>
              <w10:wrap type="none"/>
            </v:shape>
            <w10:wrap type="none"/>
          </v:group>
        </w:pict>
      </w:r>
      <w:r>
        <w:rPr/>
        <w:pict>
          <v:group style="position:absolute;margin-left:157.125pt;margin-top:20.934362pt;width:60.25pt;height:28.15pt;mso-position-horizontal-relative:page;mso-position-vertical-relative:paragraph;z-index:16232448" coordorigin="3143,419" coordsize="1205,563">
            <v:shape style="position:absolute;left:3425;top:428;width:523;height:543" coordorigin="3425,429" coordsize="523,543" path="m3425,531l3688,429m3688,429l3948,971e" filled="false" stroked="true" strokeweight="1pt" strokecolor="#008256">
              <v:path arrowok="t"/>
              <v:stroke dashstyle="solid"/>
            </v:shape>
            <v:shape style="position:absolute;left:3142;top:456;width:313;height:133" type="#_x0000_t202" filled="false" stroked="false">
              <v:textbox inset="0,0,0,0">
                <w:txbxContent>
                  <w:p>
                    <w:pPr>
                      <w:tabs>
                        <w:tab w:pos="292" w:val="left" w:leader="none"/>
                      </w:tabs>
                      <w:spacing w:line="133" w:lineRule="exact" w:before="0"/>
                      <w:ind w:left="0" w:right="0" w:firstLine="0"/>
                      <w:jc w:val="left"/>
                      <w:rPr>
                        <w:sz w:val="12"/>
                      </w:rPr>
                    </w:pPr>
                    <w:r>
                      <w:rPr>
                        <w:sz w:val="12"/>
                        <w:u w:val="thick" w:color="008256"/>
                      </w:rPr>
                      <w:t> </w:t>
                      <w:tab/>
                    </w:r>
                  </w:p>
                </w:txbxContent>
              </v:textbox>
              <w10:wrap type="none"/>
            </v:shape>
            <v:shape style="position:absolute;left:4177;top:456;width:17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4177;top:811;width:170;height:133" type="#_x0000_t202" filled="false" stroked="false">
              <v:textbox inset="0,0,0,0">
                <w:txbxContent>
                  <w:p>
                    <w:pPr>
                      <w:spacing w:line="133" w:lineRule="exact" w:before="0"/>
                      <w:ind w:left="0" w:right="0" w:firstLine="0"/>
                      <w:jc w:val="left"/>
                      <w:rPr>
                        <w:sz w:val="12"/>
                      </w:rPr>
                    </w:pPr>
                    <w:r>
                      <w:rPr>
                        <w:sz w:val="12"/>
                      </w:rPr>
                      <w:t>2.5</w:t>
                    </w:r>
                  </w:p>
                </w:txbxContent>
              </v:textbox>
              <w10:wrap type="none"/>
            </v:shape>
            <w10:wrap type="none"/>
          </v:group>
        </w:pict>
      </w:r>
      <w:r>
        <w:rPr/>
        <w:pict>
          <v:line style="position:absolute;mso-position-horizontal-relative:page;mso-position-vertical-relative:paragraph;z-index:16236032" from="48.333pt,7.309363pt" to="44pt,7.309363pt" stroked="true" strokeweight=".5pt" strokecolor="#000000">
            <v:stroke dashstyle="solid"/>
            <w10:wrap type="none"/>
          </v:line>
        </w:pict>
      </w:r>
      <w:r>
        <w:rPr/>
        <w:pict>
          <v:line style="position:absolute;mso-position-horizontal-relative:page;mso-position-vertical-relative:paragraph;z-index:16236544" from="48.333pt,24.809362pt" to="44pt,24.809362pt" stroked="true" strokeweight=".5pt" strokecolor="#000000">
            <v:stroke dashstyle="solid"/>
            <w10:wrap type="none"/>
          </v:line>
        </w:pict>
      </w:r>
      <w:r>
        <w:rPr/>
        <w:pict>
          <v:line style="position:absolute;mso-position-horizontal-relative:page;mso-position-vertical-relative:paragraph;z-index:16240640" from="205.833pt,7.309363pt" to="201.5pt,7.309363pt" stroked="true" strokeweight=".5pt" strokecolor="#000000">
            <v:stroke dashstyle="solid"/>
            <w10:wrap type="none"/>
          </v:line>
        </w:pict>
      </w:r>
      <w:r>
        <w:rPr/>
        <w:pict>
          <v:line style="position:absolute;mso-position-horizontal-relative:page;mso-position-vertical-relative:paragraph;z-index:16241152" from="205.833pt,24.809362pt" to="201.5pt,24.809362pt" stroked="true" strokeweight=".5pt" strokecolor="#000000">
            <v:stroke dashstyle="solid"/>
            <w10:wrap type="none"/>
          </v:line>
        </w:pict>
      </w:r>
      <w:r>
        <w:rPr>
          <w:sz w:val="12"/>
        </w:rPr>
        <w:t>3.5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9"/>
        </w:rPr>
      </w:pPr>
    </w:p>
    <w:p>
      <w:pPr>
        <w:spacing w:before="0"/>
        <w:ind w:left="0" w:right="123" w:firstLine="0"/>
        <w:jc w:val="right"/>
        <w:rPr>
          <w:sz w:val="12"/>
        </w:rPr>
      </w:pPr>
      <w:r>
        <w:rPr/>
        <w:pict>
          <v:line style="position:absolute;mso-position-horizontal-relative:page;mso-position-vertical-relative:paragraph;z-index:16232960" from="48.333pt,-14.773438pt" to="44pt,-14.773438pt" stroked="true" strokeweight=".5pt" strokecolor="#000000">
            <v:stroke dashstyle="solid"/>
            <w10:wrap type="none"/>
          </v:line>
        </w:pict>
      </w:r>
      <w:r>
        <w:rPr/>
        <w:pict>
          <v:line style="position:absolute;mso-position-horizontal-relative:page;mso-position-vertical-relative:paragraph;z-index:16233472" from="48.333pt,3.226563pt" to="44pt,3.226563pt" stroked="true" strokeweight=".5pt" strokecolor="#000000">
            <v:stroke dashstyle="solid"/>
            <w10:wrap type="none"/>
          </v:line>
        </w:pict>
      </w:r>
      <w:r>
        <w:rPr/>
        <w:pict>
          <v:line style="position:absolute;mso-position-horizontal-relative:page;mso-position-vertical-relative:paragraph;z-index:16237056" from="205.833pt,-14.773438pt" to="201.5pt,-14.773438pt" stroked="true" strokeweight=".5pt" strokecolor="#000000">
            <v:stroke dashstyle="solid"/>
            <w10:wrap type="none"/>
          </v:line>
        </w:pict>
      </w:r>
      <w:r>
        <w:rPr/>
        <w:pict>
          <v:line style="position:absolute;mso-position-horizontal-relative:page;mso-position-vertical-relative:paragraph;z-index:16237568" from="205.833pt,3.226563pt" to="201.5pt,3.226563pt" stroked="true" strokeweight=".5pt" strokecolor="#000000">
            <v:stroke dashstyle="solid"/>
            <w10:wrap type="none"/>
          </v:line>
        </w:pict>
      </w:r>
      <w:r>
        <w:rPr>
          <w:sz w:val="12"/>
        </w:rPr>
        <w:t>2.0</w:t>
      </w:r>
    </w:p>
    <w:p>
      <w:pPr>
        <w:pStyle w:val="BodyText"/>
        <w:rPr>
          <w:sz w:val="12"/>
        </w:rPr>
      </w:pPr>
    </w:p>
    <w:p>
      <w:pPr>
        <w:spacing w:before="79"/>
        <w:ind w:left="0" w:right="123" w:firstLine="0"/>
        <w:jc w:val="right"/>
        <w:rPr>
          <w:sz w:val="12"/>
        </w:rPr>
      </w:pPr>
      <w:r>
        <w:rPr/>
        <w:pict>
          <v:line style="position:absolute;mso-position-horizontal-relative:page;mso-position-vertical-relative:paragraph;z-index:16233984" from="48.333pt,6.926761pt" to="44pt,6.926761pt" stroked="true" strokeweight=".5pt" strokecolor="#000000">
            <v:stroke dashstyle="solid"/>
            <w10:wrap type="none"/>
          </v:line>
        </w:pict>
      </w:r>
      <w:r>
        <w:rPr/>
        <w:pict>
          <v:line style="position:absolute;mso-position-horizontal-relative:page;mso-position-vertical-relative:paragraph;z-index:16238080" from="205.833pt,6.926761pt" to="201.5pt,6.926761pt" stroked="true" strokeweight=".5pt" strokecolor="#000000">
            <v:stroke dashstyle="solid"/>
            <w10:wrap type="none"/>
          </v:line>
        </w:pict>
      </w:r>
      <w:r>
        <w:rPr>
          <w:sz w:val="12"/>
        </w:rPr>
        <w:t>1.5</w:t>
      </w:r>
    </w:p>
    <w:p>
      <w:pPr>
        <w:pStyle w:val="BodyText"/>
        <w:rPr>
          <w:sz w:val="12"/>
        </w:rPr>
      </w:pPr>
    </w:p>
    <w:p>
      <w:pPr>
        <w:spacing w:before="101"/>
        <w:ind w:left="0" w:right="123" w:firstLine="0"/>
        <w:jc w:val="right"/>
        <w:rPr>
          <w:sz w:val="12"/>
        </w:rPr>
      </w:pPr>
      <w:r>
        <w:rPr/>
        <w:pict>
          <v:line style="position:absolute;mso-position-horizontal-relative:page;mso-position-vertical-relative:paragraph;z-index:16234496" from="48.333pt,7.709561pt" to="44pt,7.709561pt" stroked="true" strokeweight=".5pt" strokecolor="#000000">
            <v:stroke dashstyle="solid"/>
            <w10:wrap type="none"/>
          </v:line>
        </w:pict>
      </w:r>
      <w:r>
        <w:rPr/>
        <w:pict>
          <v:line style="position:absolute;mso-position-horizontal-relative:page;mso-position-vertical-relative:paragraph;z-index:16238592" from="205.833pt,7.709561pt" to="201.5pt,7.709561pt" stroked="true" strokeweight=".5pt" strokecolor="#000000">
            <v:stroke dashstyle="solid"/>
            <w10:wrap type="none"/>
          </v:line>
        </w:pict>
      </w:r>
      <w:r>
        <w:rPr>
          <w:sz w:val="12"/>
        </w:rPr>
        <w:t>1.0</w:t>
      </w:r>
    </w:p>
    <w:p>
      <w:pPr>
        <w:pStyle w:val="Heading6"/>
        <w:spacing w:line="242" w:lineRule="auto" w:before="4"/>
        <w:ind w:left="180" w:right="265"/>
      </w:pPr>
      <w:r>
        <w:rPr/>
        <w:br w:type="column"/>
      </w:r>
      <w:r>
        <w:rPr/>
        <w:t>significantly in the latest set of National Accounts, </w:t>
      </w:r>
      <w:r>
        <w:rPr>
          <w:spacing w:val="-5"/>
        </w:rPr>
        <w:t>from </w:t>
      </w:r>
      <w:r>
        <w:rPr/>
        <w:t>1.7% to 2.4% in 1999 Q3 (see Chart 4.13). That </w:t>
      </w:r>
      <w:r>
        <w:rPr>
          <w:spacing w:val="-3"/>
        </w:rPr>
        <w:t>largely </w:t>
      </w:r>
      <w:r>
        <w:rPr/>
        <w:t>reflected upward revisions to the household and government consumption deflators.  The revisions to the household consumption deflator were mainly accounted for by new data on rents. Data on rents are used by the ONS to estimate the imputed rents for owner-occupied housing, a component of nominal consumer spending.</w:t>
      </w:r>
    </w:p>
    <w:p>
      <w:pPr>
        <w:pStyle w:val="BodyText"/>
        <w:spacing w:before="4"/>
        <w:rPr>
          <w:sz w:val="25"/>
        </w:rPr>
      </w:pPr>
    </w:p>
    <w:p>
      <w:pPr>
        <w:spacing w:line="242" w:lineRule="auto" w:before="0"/>
        <w:ind w:left="180" w:right="268" w:firstLine="0"/>
        <w:jc w:val="left"/>
        <w:rPr>
          <w:sz w:val="24"/>
        </w:rPr>
      </w:pPr>
      <w:r>
        <w:rPr>
          <w:sz w:val="24"/>
        </w:rPr>
        <w:t>The revisions aligned the GDP deflator measure of DGI (excluding export prices) more closely with the other measures (see Chart 4.14). These suggest that domestic inflationary pressures eased during the first three quarters of 1999, but remain in the 2</w:t>
      </w:r>
      <w:r>
        <w:rPr>
          <w:position w:val="8"/>
          <w:sz w:val="12"/>
        </w:rPr>
        <w:t>1</w:t>
      </w:r>
      <w:r>
        <w:rPr>
          <w:sz w:val="24"/>
        </w:rPr>
        <w:t>/</w:t>
      </w:r>
      <w:r>
        <w:rPr>
          <w:sz w:val="12"/>
        </w:rPr>
        <w:t>2</w:t>
      </w:r>
      <w:r>
        <w:rPr>
          <w:sz w:val="24"/>
        </w:rPr>
        <w:t>%–4% range.</w:t>
      </w:r>
    </w:p>
    <w:p>
      <w:pPr>
        <w:spacing w:after="0" w:line="242" w:lineRule="auto"/>
        <w:jc w:val="left"/>
        <w:rPr>
          <w:sz w:val="24"/>
        </w:rPr>
        <w:sectPr>
          <w:type w:val="continuous"/>
          <w:pgSz w:w="11900" w:h="16840"/>
          <w:pgMar w:top="1220" w:bottom="280" w:left="620" w:right="640"/>
          <w:cols w:num="2" w:equalWidth="0">
            <w:col w:w="3833" w:space="967"/>
            <w:col w:w="5840"/>
          </w:cols>
        </w:sectPr>
      </w:pPr>
    </w:p>
    <w:p>
      <w:pPr>
        <w:pStyle w:val="BodyText"/>
        <w:spacing w:before="9" w:after="1"/>
      </w:pPr>
    </w:p>
    <w:p>
      <w:pPr>
        <w:pStyle w:val="BodyText"/>
        <w:spacing w:line="20" w:lineRule="exact"/>
        <w:ind w:left="255"/>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3"/>
        <w:rPr>
          <w:sz w:val="25"/>
        </w:rPr>
      </w:pPr>
      <w:r>
        <w:rPr/>
        <w:pict>
          <v:shape style="position:absolute;margin-left:44pt;margin-top:16.75pt;width:4.350pt;height:.1pt;mso-position-horizontal-relative:page;mso-position-vertical-relative:paragraph;z-index:-15235072;mso-wrap-distance-left:0;mso-wrap-distance-right:0" coordorigin="880,335" coordsize="87,0" path="m967,335l880,335e" filled="false" stroked="true" strokeweight=".5pt" strokecolor="#000000">
            <v:path arrowok="t"/>
            <v:stroke dashstyle="solid"/>
            <w10:wrap type="topAndBottom"/>
          </v:shape>
        </w:pict>
      </w:r>
    </w:p>
    <w:p>
      <w:pPr>
        <w:tabs>
          <w:tab w:pos="1177" w:val="left" w:leader="none"/>
          <w:tab w:pos="2219" w:val="left" w:leader="none"/>
        </w:tabs>
        <w:spacing w:before="10"/>
        <w:ind w:left="437" w:right="0" w:firstLine="0"/>
        <w:jc w:val="left"/>
        <w:rPr>
          <w:sz w:val="12"/>
        </w:rPr>
      </w:pPr>
      <w:r>
        <w:rPr>
          <w:sz w:val="12"/>
        </w:rPr>
        <w:t>1996</w:t>
        <w:tab/>
        <w:t>97</w:t>
        <w:tab/>
        <w:t>98</w:t>
      </w:r>
    </w:p>
    <w:p>
      <w:pPr>
        <w:pStyle w:val="BodyText"/>
        <w:spacing w:before="4"/>
        <w:rPr>
          <w:sz w:val="16"/>
        </w:rPr>
      </w:pPr>
    </w:p>
    <w:p>
      <w:pPr>
        <w:spacing w:before="0"/>
        <w:ind w:left="180" w:right="0" w:firstLine="0"/>
        <w:jc w:val="left"/>
        <w:rPr>
          <w:sz w:val="12"/>
        </w:rPr>
      </w:pPr>
      <w:r>
        <w:rPr>
          <w:sz w:val="12"/>
        </w:rPr>
        <w:t>(a) Implied deflator for GDP at market prices.</w:t>
      </w:r>
    </w:p>
    <w:p>
      <w:pPr>
        <w:pStyle w:val="BodyText"/>
        <w:spacing w:before="1"/>
        <w:rPr>
          <w:sz w:val="14"/>
        </w:rPr>
      </w:pPr>
      <w:r>
        <w:rPr/>
        <w:br w:type="column"/>
      </w:r>
      <w:r>
        <w:rPr>
          <w:sz w:val="14"/>
        </w:rPr>
      </w:r>
    </w:p>
    <w:p>
      <w:pPr>
        <w:spacing w:before="0"/>
        <w:ind w:left="727" w:right="0" w:firstLine="0"/>
        <w:jc w:val="left"/>
        <w:rPr>
          <w:sz w:val="12"/>
        </w:rPr>
      </w:pPr>
      <w:r>
        <w:rPr>
          <w:sz w:val="12"/>
        </w:rPr>
        <w:t>0.5</w:t>
      </w:r>
    </w:p>
    <w:p>
      <w:pPr>
        <w:pStyle w:val="BodyText"/>
        <w:rPr>
          <w:sz w:val="12"/>
        </w:rPr>
      </w:pPr>
    </w:p>
    <w:p>
      <w:pPr>
        <w:spacing w:line="118" w:lineRule="exact" w:before="79"/>
        <w:ind w:left="727" w:right="0" w:firstLine="0"/>
        <w:jc w:val="left"/>
        <w:rPr>
          <w:sz w:val="12"/>
        </w:rPr>
      </w:pPr>
      <w:r>
        <w:rPr/>
        <w:pict>
          <v:shape style="position:absolute;margin-left:52.875pt;margin-top:1.676563pt;width:144.15pt;height:5pt;mso-position-horizontal-relative:page;mso-position-vertical-relative:paragraph;z-index:16235008" coordorigin="1058,34" coordsize="2883,100" path="m1320,34l1320,134m1058,80l1058,134m3678,80l3678,134m1582,80l1582,134m2368,34l2368,134m3940,80l3940,134m1058,129l3940,129m3416,34l3416,134m1844,80l1844,134m2106,80l2106,134m2630,80l2630,134m2892,80l2892,134m3154,80l3154,134e" filled="false" stroked="true" strokeweight=".5pt" strokecolor="#000000">
            <v:path arrowok="t"/>
            <v:stroke dashstyle="solid"/>
            <w10:wrap type="none"/>
          </v:shape>
        </w:pict>
      </w:r>
      <w:r>
        <w:rPr/>
        <w:pict>
          <v:line style="position:absolute;mso-position-horizontal-relative:page;mso-position-vertical-relative:paragraph;z-index:16239104" from="205.833pt,-10.823438pt" to="201.5pt,-10.823438pt" stroked="true" strokeweight=".5pt" strokecolor="#000000">
            <v:stroke dashstyle="solid"/>
            <w10:wrap type="none"/>
          </v:line>
        </w:pict>
      </w:r>
      <w:r>
        <w:rPr/>
        <w:pict>
          <v:line style="position:absolute;mso-position-horizontal-relative:page;mso-position-vertical-relative:paragraph;z-index:16239616" from="205.833pt,6.676562pt" to="201.5pt,6.676562pt" stroked="true" strokeweight=".5pt" strokecolor="#000000">
            <v:stroke dashstyle="solid"/>
            <w10:wrap type="none"/>
          </v:line>
        </w:pict>
      </w:r>
      <w:r>
        <w:rPr>
          <w:sz w:val="12"/>
        </w:rPr>
        <w:t>0.0</w:t>
      </w:r>
    </w:p>
    <w:p>
      <w:pPr>
        <w:spacing w:line="118" w:lineRule="exact" w:before="0"/>
        <w:ind w:left="180" w:right="0" w:firstLine="0"/>
        <w:jc w:val="left"/>
        <w:rPr>
          <w:sz w:val="12"/>
        </w:rPr>
      </w:pPr>
      <w:r>
        <w:rPr>
          <w:sz w:val="12"/>
        </w:rPr>
        <w:t>99</w:t>
      </w:r>
    </w:p>
    <w:p>
      <w:pPr>
        <w:pStyle w:val="BodyText"/>
        <w:spacing w:before="7"/>
        <w:rPr>
          <w:sz w:val="26"/>
        </w:rPr>
      </w:pPr>
      <w:r>
        <w:rPr/>
        <w:br w:type="column"/>
      </w:r>
      <w:r>
        <w:rPr>
          <w:sz w:val="26"/>
        </w:rPr>
      </w:r>
    </w:p>
    <w:p>
      <w:pPr>
        <w:pStyle w:val="Heading6"/>
        <w:spacing w:line="242" w:lineRule="auto" w:before="1"/>
        <w:ind w:left="180" w:right="48"/>
      </w:pPr>
      <w:r>
        <w:rPr/>
        <w:t>The economy is not only subject to external shocks: individual products and services are continually affected by changes in technology and consumer preferences.</w:t>
      </w:r>
    </w:p>
    <w:p>
      <w:pPr>
        <w:spacing w:before="3"/>
        <w:ind w:left="180" w:right="0" w:firstLine="0"/>
        <w:jc w:val="left"/>
        <w:rPr>
          <w:sz w:val="24"/>
        </w:rPr>
      </w:pPr>
      <w:r>
        <w:rPr>
          <w:sz w:val="24"/>
        </w:rPr>
        <w:t>These will cause relative prices to change. Sharp</w:t>
      </w:r>
    </w:p>
    <w:p>
      <w:pPr>
        <w:spacing w:after="0"/>
        <w:jc w:val="left"/>
        <w:rPr>
          <w:sz w:val="24"/>
        </w:rPr>
        <w:sectPr>
          <w:type w:val="continuous"/>
          <w:pgSz w:w="11900" w:h="16840"/>
          <w:pgMar w:top="1220" w:bottom="280" w:left="620" w:right="640"/>
          <w:cols w:num="3" w:equalWidth="0">
            <w:col w:w="2503" w:space="327"/>
            <w:col w:w="918" w:space="1052"/>
            <w:col w:w="5840"/>
          </w:cols>
        </w:sectPr>
      </w:pPr>
    </w:p>
    <w:p>
      <w:pPr>
        <w:pStyle w:val="BodyText"/>
        <w:rPr>
          <w:sz w:val="20"/>
        </w:rPr>
      </w:pPr>
    </w:p>
    <w:p>
      <w:pPr>
        <w:spacing w:after="0"/>
        <w:rPr>
          <w:sz w:val="20"/>
        </w:rPr>
        <w:sectPr>
          <w:headerReference w:type="default" r:id="rId144"/>
          <w:footerReference w:type="default" r:id="rId145"/>
          <w:footerReference w:type="even" r:id="rId146"/>
          <w:pgSz w:w="11900" w:h="16840"/>
          <w:pgMar w:header="584" w:footer="617" w:top="780" w:bottom="800" w:left="620" w:right="640"/>
          <w:pgNumType w:start="39"/>
        </w:sectPr>
      </w:pPr>
    </w:p>
    <w:p>
      <w:pPr>
        <w:pStyle w:val="BodyText"/>
        <w:spacing w:before="2"/>
        <w:rPr>
          <w:sz w:val="19"/>
        </w:rPr>
      </w:pPr>
    </w:p>
    <w:p>
      <w:pPr>
        <w:pStyle w:val="Heading9"/>
        <w:spacing w:before="0"/>
        <w:ind w:left="182"/>
      </w:pPr>
      <w:bookmarkStart w:name="Summary" w:id="66"/>
      <w:bookmarkEnd w:id="66"/>
      <w:r>
        <w:rPr>
          <w:b w:val="0"/>
        </w:rPr>
      </w:r>
      <w:bookmarkStart w:name="_bookmark26" w:id="67"/>
      <w:bookmarkEnd w:id="67"/>
      <w:r>
        <w:rPr>
          <w:b w:val="0"/>
        </w:rPr>
      </w:r>
      <w:r>
        <w:rPr>
          <w:color w:val="0093C1"/>
        </w:rPr>
        <w:t>Chart 4.14</w:t>
      </w:r>
    </w:p>
    <w:p>
      <w:pPr>
        <w:spacing w:before="10"/>
        <w:ind w:left="182" w:right="0" w:firstLine="0"/>
        <w:jc w:val="left"/>
        <w:rPr>
          <w:b/>
          <w:sz w:val="20"/>
        </w:rPr>
      </w:pPr>
      <w:r>
        <w:rPr>
          <w:b/>
          <w:color w:val="0093C1"/>
          <w:sz w:val="20"/>
        </w:rPr>
        <w:t>Measures of domestically generated inflation</w:t>
      </w:r>
    </w:p>
    <w:p>
      <w:pPr>
        <w:pStyle w:val="BodyText"/>
        <w:spacing w:before="9"/>
        <w:rPr>
          <w:b/>
          <w:sz w:val="19"/>
        </w:rPr>
      </w:pPr>
    </w:p>
    <w:p>
      <w:pPr>
        <w:spacing w:line="118" w:lineRule="exact" w:before="1"/>
        <w:ind w:left="1716" w:right="0" w:firstLine="0"/>
        <w:jc w:val="left"/>
        <w:rPr>
          <w:sz w:val="12"/>
        </w:rPr>
      </w:pPr>
      <w:r>
        <w:rPr>
          <w:color w:val="231F20"/>
          <w:sz w:val="12"/>
        </w:rPr>
        <w:t>Percentage changes on a year earlier</w:t>
      </w:r>
    </w:p>
    <w:p>
      <w:pPr>
        <w:spacing w:line="109" w:lineRule="exact" w:before="0"/>
        <w:ind w:left="3522" w:right="0" w:firstLine="0"/>
        <w:jc w:val="left"/>
        <w:rPr>
          <w:sz w:val="12"/>
        </w:rPr>
      </w:pPr>
      <w:r>
        <w:rPr/>
        <w:pict>
          <v:line style="position:absolute;mso-position-horizontal-relative:page;mso-position-vertical-relative:paragraph;z-index:16249344" from="47.338001pt,2.853737pt" to="43.005001pt,2.853737pt" stroked="true" strokeweight=".5pt" strokecolor="#000000">
            <v:stroke dashstyle="solid"/>
            <w10:wrap type="none"/>
          </v:line>
        </w:pict>
      </w:r>
      <w:r>
        <w:rPr/>
        <w:pict>
          <v:line style="position:absolute;mso-position-horizontal-relative:page;mso-position-vertical-relative:paragraph;z-index:16252416" from="204.296997pt,2.874737pt" to="199.962997pt,2.874737pt" stroked="true" strokeweight=".5pt" strokecolor="#000000">
            <v:stroke dashstyle="solid"/>
            <w10:wrap type="none"/>
          </v:line>
        </w:pict>
      </w:r>
      <w:r>
        <w:rPr>
          <w:color w:val="231F20"/>
          <w:sz w:val="12"/>
        </w:rPr>
        <w:t>6</w:t>
      </w:r>
    </w:p>
    <w:p>
      <w:pPr>
        <w:spacing w:line="208" w:lineRule="auto" w:before="5"/>
        <w:ind w:left="1499" w:right="1766" w:firstLine="0"/>
        <w:jc w:val="center"/>
        <w:rPr>
          <w:sz w:val="12"/>
        </w:rPr>
      </w:pPr>
      <w:r>
        <w:rPr/>
        <w:pict>
          <v:group style="position:absolute;margin-left:51.255001pt;margin-top:5.964668pt;width:153.050pt;height:111.25pt;mso-position-horizontal-relative:page;mso-position-vertical-relative:paragraph;z-index:-21896192" coordorigin="1025,119" coordsize="3061,2225">
            <v:shape style="position:absolute;left:1035;top:129;width:2888;height:1605" coordorigin="1035,129" coordsize="2888,1605" path="m1035,1344l1143,1734m1143,1734l1263,1599m1263,1599l1370,1314m1370,1314l1480,999m1480,999l1588,1194m1588,1194l1705,1539m1705,1539l1815,1464m1815,1464l1923,1434m1923,1434l2030,1479m2030,1479l2150,1314m2150,1314l2258,1299m2258,1299l2365,1164m2365,1164l2485,1059m2485,1059l2593,639m2593,639l2700,339m2700,339l2810,249m2810,249l2928,129m2928,129l3035,159m3035,159l3145,189m3145,189l3253,249m3253,249l3373,189m3373,189l3480,294m3480,294l3588,324m3588,324l3695,594m3695,594l3815,774m3815,774l3923,924e" filled="false" stroked="true" strokeweight="1pt" strokecolor="#ed1b2d">
              <v:path arrowok="t"/>
              <v:stroke dashstyle="solid"/>
            </v:shape>
            <v:shape style="position:absolute;left:1035;top:1179;width:445;height:675" coordorigin="1035,1179" coordsize="445,675" path="m1035,1179l1143,1269m1143,1269l1263,1854m1263,1854l1370,1779m1370,1779l1480,1659e" filled="false" stroked="true" strokeweight="1pt" strokecolor="#ffc40c">
              <v:path arrowok="t"/>
              <v:stroke dashstyle="solid"/>
            </v:shape>
            <v:line style="position:absolute" from="1470,1661" to="1598,1661" stroked="true" strokeweight="1.125pt" strokecolor="#ffc40c">
              <v:stroke dashstyle="solid"/>
            </v:line>
            <v:shape style="position:absolute;left:1587;top:804;width:2335;height:870" coordorigin="1588,804" coordsize="2335,870" path="m1588,1659l1705,1614m1705,1614l1815,1674m1815,1674l1923,1629m1923,1629l2030,1659m2030,1659l2150,1329m2150,1329l2258,1389m2258,1389l2365,1119m2365,1119l2485,999m2485,999l2593,1464m2593,1464l2700,1359m2700,1359l2810,1329m2810,1329l2928,1374m2928,1374l3035,1104m3035,1104l3145,1134m3145,1134l3253,1269m3253,1269l3373,1014m3373,1014l3480,1089m3480,1089l3588,1044m3588,1044l3695,804m3695,804l3815,984m3815,984l3923,999e" filled="false" stroked="true" strokeweight="1pt" strokecolor="#ffc40c">
              <v:path arrowok="t"/>
              <v:stroke dashstyle="solid"/>
            </v:shape>
            <v:shape style="position:absolute;left:1035;top:429;width:2888;height:1905" coordorigin="1035,429" coordsize="2888,1905" path="m1035,1884l1143,1929m1143,1929l1263,2229m1263,2229l1370,1899m1370,1899l1480,1974m1480,1974l1588,2334m1588,2334l1705,2274m1705,2274l1815,2334m1815,2334l1923,2019m1923,2019l2030,1599m2030,1599l2150,1119m2150,1119l2258,1059m2258,1059l2365,969m2365,969l2485,864m2485,864l2593,1209m2593,1209l2700,1179m2700,1179l2810,1074m2810,1074l2928,1149m2928,1149l3035,1059m3035,1059l3145,984m3145,984l3253,864m3253,864l3373,744m3373,744l3480,714m3480,714l3588,549m3588,549l3695,429m3695,429l3815,519m3815,519l3923,729e" filled="false" stroked="true" strokeweight="1pt" strokecolor="#75442b">
              <v:path arrowok="t"/>
              <v:stroke dashstyle="solid"/>
            </v:shape>
            <v:shape style="position:absolute;left:1025;top:1094;width:690;height:785" type="#_x0000_t75" stroked="false">
              <v:imagedata r:id="rId147" o:title=""/>
            </v:shape>
            <v:line style="position:absolute" from="1705,1869" to="1815,1479" stroked="true" strokeweight="1pt" strokecolor="#008256">
              <v:stroke dashstyle="solid"/>
            </v:line>
            <v:line style="position:absolute" from="1805,1481" to="1933,1481" stroked="true" strokeweight="1.125pt" strokecolor="#008256">
              <v:stroke dashstyle="solid"/>
            </v:line>
            <v:shape style="position:absolute;left:1922;top:579;width:2000;height:900" coordorigin="1923,579" coordsize="2000,900" path="m1923,1479l2030,1179m2030,1179l2150,954m2150,954l2258,1164m2258,1164l2365,939m2365,939l2485,909m2485,909l2593,759m2593,759l2700,879m2700,879l2810,834m2810,834l2928,954m2928,954l3035,984m3035,984l3145,624m3145,624l3253,924m3253,924l3373,669m3373,669l3480,579m3480,579l3588,819m3588,819l3695,849m3695,849l3815,789m3815,789l3923,1119e" filled="false" stroked="true" strokeweight="1pt" strokecolor="#008256">
              <v:path arrowok="t"/>
              <v:stroke dashstyle="solid"/>
            </v:shape>
            <v:line style="position:absolute" from="1809,684" to="2036,977" stroked="true" strokeweight=".5pt" strokecolor="#231f20">
              <v:stroke dashstyle="solid"/>
            </v:line>
            <v:shape style="position:absolute;left:2005;top:948;width:72;height:83" coordorigin="2006,948" coordsize="72,83" path="m2046,948l2006,979,2020,988,2031,995,2077,1031,2073,1023,2068,1013,2063,1002,2059,990,2054,978,2046,948xe" filled="true" fillcolor="#231f20" stroked="false">
              <v:path arrowok="t"/>
              <v:fill type="solid"/>
            </v:shape>
            <v:shape style="position:absolute;left:3999;top:308;width:87;height:1442" coordorigin="3999,308" coordsize="87,1442" path="m4086,308l3999,308m4086,669l3999,669m4086,1390l3999,1390m4086,1029l3999,1029m4086,1750l3999,1750e" filled="false" stroked="true" strokeweight=".5pt" strokecolor="#000000">
              <v:path arrowok="t"/>
              <v:stroke dashstyle="solid"/>
            </v:shape>
            <w10:wrap type="none"/>
          </v:group>
        </w:pict>
      </w:r>
      <w:r>
        <w:rPr>
          <w:color w:val="231F20"/>
          <w:sz w:val="12"/>
        </w:rPr>
        <w:t>RPIX excluding import prices</w:t>
      </w:r>
    </w:p>
    <w:p>
      <w:pPr>
        <w:pStyle w:val="Heading6"/>
        <w:spacing w:line="242" w:lineRule="auto" w:before="226"/>
        <w:ind w:left="182" w:right="282"/>
      </w:pPr>
      <w:r>
        <w:rPr/>
        <w:br w:type="column"/>
      </w:r>
      <w:r>
        <w:rPr/>
        <w:t>movements in relative prices may obscure underlying developments in inflation. It is therefore useful to look at measures of inflation that remove such large price changes from the sample. The Bank calculates a</w:t>
      </w:r>
    </w:p>
    <w:p>
      <w:pPr>
        <w:spacing w:after="0" w:line="242" w:lineRule="auto"/>
        <w:sectPr>
          <w:type w:val="continuous"/>
          <w:pgSz w:w="11900" w:h="16840"/>
          <w:pgMar w:top="1220" w:bottom="280" w:left="620" w:right="640"/>
          <w:cols w:num="2" w:equalWidth="0">
            <w:col w:w="4044" w:space="733"/>
            <w:col w:w="5863"/>
          </w:cols>
        </w:sectPr>
      </w:pPr>
    </w:p>
    <w:p>
      <w:pPr>
        <w:pStyle w:val="BodyText"/>
        <w:rPr>
          <w:sz w:val="5"/>
        </w:rPr>
      </w:pPr>
    </w:p>
    <w:p>
      <w:pPr>
        <w:pStyle w:val="BodyText"/>
        <w:spacing w:line="20" w:lineRule="exact"/>
        <w:ind w:left="235"/>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line="208" w:lineRule="auto" w:before="36"/>
        <w:ind w:left="696" w:right="-19" w:hanging="90"/>
        <w:jc w:val="left"/>
        <w:rPr>
          <w:sz w:val="12"/>
        </w:rPr>
      </w:pPr>
      <w:r>
        <w:rPr/>
        <w:pict>
          <v:line style="position:absolute;mso-position-horizontal-relative:page;mso-position-vertical-relative:paragraph;z-index:16249856" from="47.338001pt,17.265881pt" to="43.005001pt,17.265881pt" stroked="true" strokeweight=".5pt" strokecolor="#000000">
            <v:stroke dashstyle="solid"/>
            <w10:wrap type="none"/>
          </v:line>
        </w:pict>
      </w:r>
      <w:r>
        <w:rPr>
          <w:color w:val="231F20"/>
          <w:sz w:val="12"/>
        </w:rPr>
        <w:t>GDP deflator excluding export prices (a)</w:t>
      </w:r>
    </w:p>
    <w:p>
      <w:pPr>
        <w:pStyle w:val="BodyText"/>
        <w:spacing w:before="1" w:after="40"/>
        <w:rPr>
          <w:sz w:val="23"/>
        </w:rPr>
      </w:pPr>
    </w:p>
    <w:p>
      <w:pPr>
        <w:pStyle w:val="BodyText"/>
        <w:spacing w:line="20" w:lineRule="exact"/>
        <w:ind w:left="235"/>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2"/>
        <w:rPr>
          <w:sz w:val="26"/>
        </w:rPr>
      </w:pPr>
      <w:r>
        <w:rPr/>
        <w:pict>
          <v:shape style="position:absolute;margin-left:43.005001pt;margin-top:17.271pt;width:4.350pt;height:.1pt;mso-position-horizontal-relative:page;mso-position-vertical-relative:paragraph;z-index:-15214592;mso-wrap-distance-left:0;mso-wrap-distance-right:0" coordorigin="860,345" coordsize="87,0" path="m947,345l860,345e" filled="false" stroked="true" strokeweight=".5pt" strokecolor="#000000">
            <v:path arrowok="t"/>
            <v:stroke dashstyle="solid"/>
            <w10:wrap type="topAndBottom"/>
          </v:shape>
        </w:pict>
      </w:r>
      <w:r>
        <w:rPr/>
        <w:pict>
          <v:shape style="position:absolute;margin-left:43.005001pt;margin-top:35.292pt;width:4.350pt;height:.1pt;mso-position-horizontal-relative:page;mso-position-vertical-relative:paragraph;z-index:-15214080;mso-wrap-distance-left:0;mso-wrap-distance-right:0" coordorigin="860,706" coordsize="87,0" path="m947,706l860,706e" filled="false" stroked="true" strokeweight=".5pt" strokecolor="#000000">
            <v:path arrowok="t"/>
            <v:stroke dashstyle="solid"/>
            <w10:wrap type="topAndBottom"/>
          </v:shape>
        </w:pict>
      </w:r>
    </w:p>
    <w:p>
      <w:pPr>
        <w:pStyle w:val="BodyText"/>
        <w:spacing w:before="6"/>
        <w:rPr>
          <w:sz w:val="24"/>
        </w:rPr>
      </w:pPr>
    </w:p>
    <w:p>
      <w:pPr>
        <w:spacing w:line="124" w:lineRule="exact" w:before="0"/>
        <w:ind w:left="1976" w:right="0" w:firstLine="0"/>
        <w:jc w:val="left"/>
        <w:rPr>
          <w:sz w:val="12"/>
        </w:rPr>
      </w:pPr>
      <w:r>
        <w:rPr/>
        <w:br w:type="column"/>
      </w:r>
      <w:r>
        <w:rPr>
          <w:color w:val="231F20"/>
          <w:sz w:val="12"/>
        </w:rPr>
        <w:t>5</w:t>
      </w:r>
    </w:p>
    <w:p>
      <w:pPr>
        <w:pStyle w:val="BodyText"/>
        <w:rPr>
          <w:sz w:val="12"/>
        </w:rPr>
      </w:pPr>
    </w:p>
    <w:p>
      <w:pPr>
        <w:spacing w:before="84"/>
        <w:ind w:left="1976" w:right="0" w:firstLine="0"/>
        <w:jc w:val="left"/>
        <w:rPr>
          <w:sz w:val="12"/>
        </w:rPr>
      </w:pPr>
      <w:r>
        <w:rPr>
          <w:color w:val="231F20"/>
          <w:sz w:val="12"/>
        </w:rPr>
        <w:t>4</w:t>
      </w:r>
    </w:p>
    <w:p>
      <w:pPr>
        <w:pStyle w:val="BodyText"/>
        <w:rPr>
          <w:sz w:val="12"/>
        </w:rPr>
      </w:pPr>
    </w:p>
    <w:p>
      <w:pPr>
        <w:spacing w:before="84"/>
        <w:ind w:left="1976" w:right="0" w:firstLine="0"/>
        <w:jc w:val="left"/>
        <w:rPr>
          <w:sz w:val="12"/>
        </w:rPr>
      </w:pPr>
      <w:r>
        <w:rPr>
          <w:color w:val="231F20"/>
          <w:sz w:val="12"/>
        </w:rPr>
        <w:t>3</w:t>
      </w:r>
    </w:p>
    <w:p>
      <w:pPr>
        <w:pStyle w:val="BodyText"/>
        <w:rPr>
          <w:sz w:val="12"/>
        </w:rPr>
      </w:pPr>
    </w:p>
    <w:p>
      <w:pPr>
        <w:spacing w:line="121" w:lineRule="exact" w:before="84"/>
        <w:ind w:left="1976" w:right="0" w:firstLine="0"/>
        <w:jc w:val="left"/>
        <w:rPr>
          <w:sz w:val="12"/>
        </w:rPr>
      </w:pPr>
      <w:r>
        <w:rPr>
          <w:color w:val="231F20"/>
          <w:sz w:val="12"/>
        </w:rPr>
        <w:t>2</w:t>
      </w:r>
    </w:p>
    <w:p>
      <w:pPr>
        <w:spacing w:line="208" w:lineRule="auto" w:before="0"/>
        <w:ind w:left="565" w:right="645" w:hanging="60"/>
        <w:jc w:val="left"/>
        <w:rPr>
          <w:sz w:val="12"/>
        </w:rPr>
      </w:pPr>
      <w:r>
        <w:rPr>
          <w:color w:val="231F20"/>
          <w:sz w:val="12"/>
        </w:rPr>
        <w:t>Unit labour costs adjusted for trend</w:t>
      </w:r>
    </w:p>
    <w:p>
      <w:pPr>
        <w:tabs>
          <w:tab w:pos="2035" w:val="right" w:leader="none"/>
        </w:tabs>
        <w:spacing w:line="140" w:lineRule="exact" w:before="0"/>
        <w:ind w:left="565" w:right="0" w:firstLine="0"/>
        <w:jc w:val="left"/>
        <w:rPr>
          <w:sz w:val="12"/>
        </w:rPr>
      </w:pPr>
      <w:r>
        <w:rPr>
          <w:color w:val="231F20"/>
          <w:position w:val="2"/>
          <w:sz w:val="12"/>
        </w:rPr>
        <w:t>productivity (b) (c)</w:t>
        <w:tab/>
      </w:r>
      <w:r>
        <w:rPr>
          <w:color w:val="231F20"/>
          <w:sz w:val="12"/>
        </w:rPr>
        <w:t>1</w:t>
      </w:r>
    </w:p>
    <w:p>
      <w:pPr>
        <w:pStyle w:val="Heading6"/>
        <w:spacing w:line="231" w:lineRule="exact"/>
        <w:ind w:left="606"/>
      </w:pPr>
      <w:r>
        <w:rPr/>
        <w:br w:type="column"/>
      </w:r>
      <w:r>
        <w:rPr/>
        <w:t>measure of inflation that excludes the largest and</w:t>
      </w:r>
    </w:p>
    <w:p>
      <w:pPr>
        <w:spacing w:line="242" w:lineRule="auto" w:before="4"/>
        <w:ind w:left="606" w:right="0" w:firstLine="0"/>
        <w:jc w:val="left"/>
        <w:rPr>
          <w:sz w:val="24"/>
        </w:rPr>
      </w:pPr>
      <w:r>
        <w:rPr>
          <w:sz w:val="24"/>
        </w:rPr>
        <w:t>smallest 15% of weighted price changes in the individual components of the retail price index. This trimmed mean measure of RPIX inflation has remained at 1.6% for the past five months.</w:t>
      </w:r>
    </w:p>
    <w:p>
      <w:pPr>
        <w:spacing w:after="0" w:line="242" w:lineRule="auto"/>
        <w:jc w:val="left"/>
        <w:rPr>
          <w:sz w:val="24"/>
        </w:rPr>
        <w:sectPr>
          <w:type w:val="continuous"/>
          <w:pgSz w:w="11900" w:h="16840"/>
          <w:pgMar w:top="1220" w:bottom="280" w:left="620" w:right="640"/>
          <w:cols w:num="3" w:equalWidth="0">
            <w:col w:w="1507" w:space="40"/>
            <w:col w:w="2077" w:space="730"/>
            <w:col w:w="6286"/>
          </w:cols>
        </w:sectPr>
      </w:pPr>
    </w:p>
    <w:p>
      <w:pPr>
        <w:tabs>
          <w:tab w:pos="3302" w:val="left" w:leader="none"/>
        </w:tabs>
        <w:spacing w:before="10"/>
        <w:ind w:left="409" w:right="0" w:firstLine="0"/>
        <w:jc w:val="left"/>
        <w:rPr>
          <w:sz w:val="16"/>
        </w:rPr>
      </w:pPr>
      <w:r>
        <w:rPr>
          <w:color w:val="231F20"/>
          <w:sz w:val="16"/>
          <w:u w:val="single" w:color="231F20"/>
        </w:rPr>
        <w:t> </w:t>
        <w:tab/>
      </w:r>
      <w:r>
        <w:rPr>
          <w:color w:val="231F20"/>
          <w:sz w:val="16"/>
        </w:rPr>
        <w:t> </w:t>
      </w:r>
      <w:r>
        <w:rPr>
          <w:color w:val="231F20"/>
          <w:spacing w:val="-4"/>
          <w:sz w:val="16"/>
        </w:rPr>
        <w:t> </w:t>
      </w:r>
      <w:r>
        <w:rPr>
          <w:color w:val="231F20"/>
          <w:spacing w:val="13"/>
          <w:sz w:val="16"/>
          <w:u w:val="single" w:color="000000"/>
        </w:rPr>
        <w:t> </w:t>
      </w:r>
      <w:r>
        <w:rPr>
          <w:color w:val="231F20"/>
          <w:sz w:val="16"/>
        </w:rPr>
        <w:t>+</w:t>
      </w:r>
    </w:p>
    <w:p>
      <w:pPr>
        <w:spacing w:line="123" w:lineRule="exact" w:before="25"/>
        <w:ind w:left="3522" w:right="0" w:firstLine="0"/>
        <w:jc w:val="left"/>
        <w:rPr>
          <w:sz w:val="12"/>
        </w:rPr>
      </w:pPr>
      <w:r>
        <w:rPr/>
        <w:pict>
          <v:line style="position:absolute;mso-position-horizontal-relative:page;mso-position-vertical-relative:paragraph;z-index:16250368" from="47.338001pt,5.205574pt" to="43.005001pt,5.205574pt" stroked="true" strokeweight=".5pt" strokecolor="#000000">
            <v:stroke dashstyle="solid"/>
            <w10:wrap type="none"/>
          </v:line>
        </w:pict>
      </w:r>
      <w:r>
        <w:rPr>
          <w:color w:val="231F20"/>
          <w:sz w:val="12"/>
        </w:rPr>
        <w:t>0</w:t>
      </w:r>
    </w:p>
    <w:p>
      <w:pPr>
        <w:spacing w:line="169" w:lineRule="exact" w:before="0"/>
        <w:ind w:left="3450" w:right="0" w:firstLine="0"/>
        <w:jc w:val="left"/>
        <w:rPr>
          <w:sz w:val="16"/>
        </w:rPr>
      </w:pPr>
      <w:r>
        <w:rPr>
          <w:color w:val="231F20"/>
          <w:sz w:val="16"/>
        </w:rPr>
        <w:t>–</w:t>
      </w:r>
    </w:p>
    <w:p>
      <w:pPr>
        <w:tabs>
          <w:tab w:pos="3522" w:val="left" w:leader="none"/>
        </w:tabs>
        <w:spacing w:before="32"/>
        <w:ind w:left="750" w:right="0" w:firstLine="0"/>
        <w:jc w:val="left"/>
        <w:rPr>
          <w:sz w:val="12"/>
        </w:rPr>
      </w:pPr>
      <w:r>
        <w:rPr/>
        <w:pict>
          <v:line style="position:absolute;mso-position-horizontal-relative:page;mso-position-vertical-relative:paragraph;z-index:16251392" from="47.338001pt,7.398474pt" to="43.005001pt,7.398474pt" stroked="true" strokeweight=".5pt" strokecolor="#000000">
            <v:stroke dashstyle="solid"/>
            <w10:wrap type="none"/>
          </v:line>
        </w:pict>
      </w:r>
      <w:r>
        <w:rPr/>
        <w:pict>
          <v:line style="position:absolute;mso-position-horizontal-relative:page;mso-position-vertical-relative:paragraph;z-index:-21892096" from="204.296997pt,7.418474pt" to="199.962997pt,7.418474pt" stroked="true" strokeweight=".5pt" strokecolor="#000000">
            <v:stroke dashstyle="solid"/>
            <w10:wrap type="none"/>
          </v:line>
        </w:pict>
      </w:r>
      <w:r>
        <w:rPr>
          <w:color w:val="231F20"/>
          <w:sz w:val="12"/>
        </w:rPr>
        <w:t>Unit labour</w:t>
      </w:r>
      <w:r>
        <w:rPr>
          <w:color w:val="231F20"/>
          <w:spacing w:val="-3"/>
          <w:sz w:val="12"/>
        </w:rPr>
        <w:t> </w:t>
      </w:r>
      <w:r>
        <w:rPr>
          <w:color w:val="231F20"/>
          <w:sz w:val="12"/>
        </w:rPr>
        <w:t>costs (b)</w:t>
        <w:tab/>
      </w:r>
      <w:r>
        <w:rPr>
          <w:color w:val="231F20"/>
          <w:position w:val="-3"/>
          <w:sz w:val="12"/>
        </w:rPr>
        <w:t>1</w:t>
      </w:r>
    </w:p>
    <w:p>
      <w:pPr>
        <w:pStyle w:val="BodyText"/>
        <w:spacing w:before="11"/>
      </w:pPr>
    </w:p>
    <w:p>
      <w:pPr>
        <w:spacing w:line="128" w:lineRule="exact" w:before="0"/>
        <w:ind w:left="3522" w:right="0" w:firstLine="0"/>
        <w:jc w:val="left"/>
        <w:rPr>
          <w:sz w:val="12"/>
        </w:rPr>
      </w:pPr>
      <w:r>
        <w:rPr/>
        <w:pict>
          <v:line style="position:absolute;mso-position-horizontal-relative:page;mso-position-vertical-relative:paragraph;z-index:16250880" from="47.338001pt,3.996574pt" to="43.005001pt,3.996574pt" stroked="true" strokeweight=".5pt" strokecolor="#000000">
            <v:stroke dashstyle="solid"/>
            <w10:wrap type="none"/>
          </v:line>
        </w:pict>
      </w:r>
      <w:r>
        <w:rPr/>
        <w:pict>
          <v:shape style="position:absolute;margin-left:51.616001pt;margin-top:1.371574pt;width:152.7pt;height:2.7pt;mso-position-horizontal-relative:page;mso-position-vertical-relative:paragraph;z-index:16251904" coordorigin="1032,27" coordsize="3054,54" path="m1035,81l3936,81m1032,27l1032,81m1918,27l1918,81m3246,27l3246,81m1475,27l1475,81m2361,27l2361,81m2804,27l2804,81m3689,27l3689,81m4086,80l3999,80e" filled="false" stroked="true" strokeweight=".5pt" strokecolor="#000000">
            <v:path arrowok="t"/>
            <v:stroke dashstyle="solid"/>
            <w10:wrap type="none"/>
          </v:shape>
        </w:pict>
      </w:r>
      <w:r>
        <w:rPr>
          <w:color w:val="231F20"/>
          <w:sz w:val="12"/>
        </w:rPr>
        <w:t>2</w:t>
      </w:r>
    </w:p>
    <w:p>
      <w:pPr>
        <w:tabs>
          <w:tab w:pos="1030" w:val="left" w:leader="none"/>
          <w:tab w:pos="1472" w:val="left" w:leader="none"/>
          <w:tab w:pos="1914" w:val="left" w:leader="none"/>
          <w:tab w:pos="2359" w:val="left" w:leader="none"/>
          <w:tab w:pos="2802" w:val="left" w:leader="none"/>
          <w:tab w:pos="3159" w:val="left" w:leader="none"/>
        </w:tabs>
        <w:spacing w:line="128" w:lineRule="exact" w:before="0"/>
        <w:ind w:left="515" w:right="0" w:firstLine="0"/>
        <w:jc w:val="left"/>
        <w:rPr>
          <w:sz w:val="12"/>
        </w:rPr>
      </w:pPr>
      <w:r>
        <w:rPr>
          <w:color w:val="231F20"/>
          <w:sz w:val="12"/>
        </w:rPr>
        <w:t>1993</w:t>
        <w:tab/>
        <w:t>94</w:t>
        <w:tab/>
        <w:t>95</w:t>
        <w:tab/>
        <w:t>96</w:t>
        <w:tab/>
        <w:t>97</w:t>
        <w:tab/>
        <w:t>98</w:t>
        <w:tab/>
        <w:t>99</w:t>
      </w:r>
    </w:p>
    <w:p>
      <w:pPr>
        <w:pStyle w:val="BodyText"/>
        <w:spacing w:before="1"/>
        <w:rPr>
          <w:sz w:val="17"/>
        </w:rPr>
      </w:pPr>
    </w:p>
    <w:p>
      <w:pPr>
        <w:pStyle w:val="ListParagraph"/>
        <w:numPr>
          <w:ilvl w:val="0"/>
          <w:numId w:val="36"/>
        </w:numPr>
        <w:tabs>
          <w:tab w:pos="418" w:val="left" w:leader="none"/>
        </w:tabs>
        <w:spacing w:line="129" w:lineRule="exact" w:before="0" w:after="0"/>
        <w:ind w:left="417" w:right="0" w:hanging="241"/>
        <w:jc w:val="left"/>
        <w:rPr>
          <w:sz w:val="12"/>
        </w:rPr>
      </w:pPr>
      <w:r>
        <w:rPr>
          <w:sz w:val="12"/>
        </w:rPr>
        <w:t>Using GDP measured at market prices.</w:t>
      </w:r>
    </w:p>
    <w:p>
      <w:pPr>
        <w:pStyle w:val="ListParagraph"/>
        <w:numPr>
          <w:ilvl w:val="0"/>
          <w:numId w:val="36"/>
        </w:numPr>
        <w:tabs>
          <w:tab w:pos="418" w:val="left" w:leader="none"/>
        </w:tabs>
        <w:spacing w:line="208" w:lineRule="auto" w:before="6" w:after="0"/>
        <w:ind w:left="417" w:right="190" w:hanging="240"/>
        <w:jc w:val="left"/>
        <w:rPr>
          <w:sz w:val="12"/>
        </w:rPr>
      </w:pPr>
      <w:r>
        <w:rPr>
          <w:sz w:val="12"/>
        </w:rPr>
        <w:t>Using National Accounts measures of employee </w:t>
      </w:r>
      <w:r>
        <w:rPr>
          <w:spacing w:val="-2"/>
          <w:sz w:val="12"/>
        </w:rPr>
        <w:t>compensation </w:t>
      </w:r>
      <w:r>
        <w:rPr>
          <w:sz w:val="12"/>
        </w:rPr>
        <w:t>and productivity growth.</w:t>
      </w:r>
    </w:p>
    <w:p>
      <w:pPr>
        <w:pStyle w:val="ListParagraph"/>
        <w:numPr>
          <w:ilvl w:val="0"/>
          <w:numId w:val="36"/>
        </w:numPr>
        <w:tabs>
          <w:tab w:pos="418" w:val="left" w:leader="none"/>
        </w:tabs>
        <w:spacing w:line="123" w:lineRule="exact" w:before="0" w:after="0"/>
        <w:ind w:left="417" w:right="0" w:hanging="241"/>
        <w:jc w:val="left"/>
        <w:rPr>
          <w:sz w:val="12"/>
        </w:rPr>
      </w:pPr>
      <w:r>
        <w:rPr>
          <w:sz w:val="12"/>
        </w:rPr>
        <w:t>Adjusted using long-run trend productivity growth of 2%.</w:t>
      </w:r>
    </w:p>
    <w:p>
      <w:pPr>
        <w:pStyle w:val="BodyText"/>
        <w:rPr>
          <w:sz w:val="12"/>
        </w:rPr>
      </w:pPr>
    </w:p>
    <w:p>
      <w:pPr>
        <w:pStyle w:val="BodyText"/>
        <w:spacing w:before="3"/>
        <w:rPr>
          <w:sz w:val="14"/>
        </w:rPr>
      </w:pPr>
    </w:p>
    <w:p>
      <w:pPr>
        <w:pStyle w:val="Heading9"/>
        <w:spacing w:line="249" w:lineRule="auto" w:before="0"/>
        <w:ind w:left="210" w:right="2120"/>
      </w:pPr>
      <w:r>
        <w:rPr>
          <w:color w:val="0093C1"/>
        </w:rPr>
        <w:t>Chart 4.15 HICP inflation</w:t>
      </w:r>
    </w:p>
    <w:p>
      <w:pPr>
        <w:spacing w:line="242" w:lineRule="auto" w:before="68"/>
        <w:ind w:left="177" w:right="153" w:firstLine="0"/>
        <w:jc w:val="left"/>
        <w:rPr>
          <w:sz w:val="24"/>
        </w:rPr>
      </w:pPr>
      <w:r>
        <w:rPr/>
        <w:br w:type="column"/>
      </w:r>
      <w:r>
        <w:rPr>
          <w:sz w:val="24"/>
        </w:rPr>
        <w:t>Annual inflation in the UK Harmonised Index of Consumer Prices (HICP) is now below that in the euro area, standing at 1.2% in December (see Chart 4.15). HICP inflation in the United Kingdom was above that in the euro area over the past three years, but consumer price inflation in the euro area has risen in recent months. The increase partly reflects the depreciation of the euro effective exchange rate in 1999, as well as higher oil and non-oil commodity prices.</w:t>
      </w:r>
    </w:p>
    <w:p>
      <w:pPr>
        <w:spacing w:after="0" w:line="242" w:lineRule="auto"/>
        <w:jc w:val="left"/>
        <w:rPr>
          <w:sz w:val="24"/>
        </w:rPr>
        <w:sectPr>
          <w:type w:val="continuous"/>
          <w:pgSz w:w="11900" w:h="16840"/>
          <w:pgMar w:top="1220" w:bottom="280" w:left="620" w:right="640"/>
          <w:cols w:num="2" w:equalWidth="0">
            <w:col w:w="3623" w:space="1159"/>
            <w:col w:w="5858"/>
          </w:cols>
        </w:sectPr>
      </w:pPr>
    </w:p>
    <w:p>
      <w:pPr>
        <w:pStyle w:val="BodyText"/>
        <w:spacing w:before="7"/>
        <w:rPr>
          <w:sz w:val="9"/>
        </w:rPr>
      </w:pPr>
    </w:p>
    <w:p>
      <w:pPr>
        <w:spacing w:after="0"/>
        <w:rPr>
          <w:sz w:val="9"/>
        </w:rPr>
        <w:sectPr>
          <w:type w:val="continuous"/>
          <w:pgSz w:w="11900" w:h="16840"/>
          <w:pgMar w:top="1220" w:bottom="280" w:left="620" w:right="640"/>
        </w:sectPr>
      </w:pPr>
    </w:p>
    <w:p>
      <w:pPr>
        <w:spacing w:before="96"/>
        <w:ind w:left="1711" w:right="0" w:firstLine="0"/>
        <w:jc w:val="left"/>
        <w:rPr>
          <w:sz w:val="12"/>
        </w:rPr>
      </w:pPr>
      <w:r>
        <w:rPr/>
        <w:pict>
          <v:line style="position:absolute;mso-position-horizontal-relative:page;mso-position-vertical-relative:paragraph;z-index:16246784" from="48.596pt,12.4054pt" to="44.263pt,12.4054pt" stroked="true" strokeweight=".5pt" strokecolor="#000000">
            <v:stroke dashstyle="solid"/>
            <w10:wrap type="none"/>
          </v:line>
        </w:pict>
      </w:r>
      <w:r>
        <w:rPr>
          <w:sz w:val="12"/>
        </w:rPr>
        <w:t>Percentage changes on a year earli</w:t>
      </w:r>
      <w:r>
        <w:rPr>
          <w:sz w:val="12"/>
          <w:u w:val="single"/>
        </w:rPr>
        <w:t>er</w:t>
      </w:r>
      <w:r>
        <w:rPr>
          <w:sz w:val="12"/>
        </w:rPr>
        <w:t> </w:t>
      </w:r>
      <w:r>
        <w:rPr>
          <w:position w:val="-7"/>
          <w:sz w:val="12"/>
        </w:rPr>
        <w:t>3.5</w:t>
      </w:r>
    </w:p>
    <w:p>
      <w:pPr>
        <w:pStyle w:val="Heading3"/>
        <w:numPr>
          <w:ilvl w:val="1"/>
          <w:numId w:val="28"/>
        </w:numPr>
        <w:tabs>
          <w:tab w:pos="5361" w:val="left" w:leader="none"/>
          <w:tab w:pos="5362" w:val="left" w:leader="none"/>
          <w:tab w:pos="6788" w:val="left" w:leader="none"/>
        </w:tabs>
        <w:spacing w:line="240" w:lineRule="auto" w:before="129" w:after="0"/>
        <w:ind w:left="5361" w:right="0" w:hanging="4099"/>
        <w:jc w:val="left"/>
        <w:rPr>
          <w:color w:val="009483"/>
        </w:rPr>
      </w:pPr>
      <w:r>
        <w:rPr>
          <w:color w:val="009483"/>
          <w:u w:val="thick" w:color="0093C1"/>
        </w:rPr>
        <w:br w:type="column"/>
        <w:t>Summary</w:t>
        <w:tab/>
      </w:r>
    </w:p>
    <w:p>
      <w:pPr>
        <w:spacing w:after="0" w:line="240" w:lineRule="auto"/>
        <w:jc w:val="left"/>
        <w:sectPr>
          <w:type w:val="continuous"/>
          <w:pgSz w:w="11900" w:h="16840"/>
          <w:pgMar w:top="1220" w:bottom="280" w:left="620" w:right="640"/>
          <w:cols w:num="2" w:equalWidth="0">
            <w:col w:w="3657" w:space="40"/>
            <w:col w:w="6943"/>
          </w:cols>
        </w:sectPr>
      </w:pPr>
    </w:p>
    <w:p>
      <w:pPr>
        <w:pStyle w:val="BodyText"/>
        <w:spacing w:before="8"/>
        <w:rPr>
          <w:b/>
          <w:sz w:val="17"/>
        </w:rPr>
      </w:pPr>
    </w:p>
    <w:p>
      <w:pPr>
        <w:pStyle w:val="BodyText"/>
        <w:spacing w:line="20" w:lineRule="exact"/>
        <w:ind w:left="26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3"/>
        </w:rPr>
      </w:pPr>
      <w:r>
        <w:rPr/>
        <w:pict>
          <v:shape style="position:absolute;margin-left:44.263pt;margin-top:10.144813pt;width:4.350pt;height:.1pt;mso-position-horizontal-relative:page;mso-position-vertical-relative:paragraph;z-index:-15213056;mso-wrap-distance-left:0;mso-wrap-distance-right:0" coordorigin="885,203" coordsize="87,0" path="m972,203l885,203e" filled="false" stroked="true" strokeweight=".5pt" strokecolor="#000000">
            <v:path arrowok="t"/>
            <v:stroke dashstyle="solid"/>
            <w10:wrap type="topAndBottom"/>
          </v:shape>
        </w:pict>
      </w:r>
    </w:p>
    <w:p>
      <w:pPr>
        <w:pStyle w:val="BodyText"/>
        <w:rPr>
          <w:b/>
          <w:sz w:val="12"/>
        </w:rPr>
      </w:pPr>
    </w:p>
    <w:p>
      <w:pPr>
        <w:pStyle w:val="BodyText"/>
        <w:rPr>
          <w:b/>
          <w:sz w:val="12"/>
        </w:rPr>
      </w:pPr>
    </w:p>
    <w:p>
      <w:pPr>
        <w:pStyle w:val="BodyText"/>
        <w:rPr>
          <w:b/>
          <w:sz w:val="11"/>
        </w:rPr>
      </w:pPr>
    </w:p>
    <w:p>
      <w:pPr>
        <w:tabs>
          <w:tab w:pos="1475" w:val="left" w:leader="none"/>
          <w:tab w:pos="2205" w:val="left" w:leader="none"/>
          <w:tab w:pos="2950" w:val="left" w:leader="none"/>
        </w:tabs>
        <w:spacing w:before="0"/>
        <w:ind w:left="688" w:right="0" w:firstLine="0"/>
        <w:jc w:val="left"/>
        <w:rPr>
          <w:sz w:val="12"/>
        </w:rPr>
      </w:pPr>
      <w:r>
        <w:rPr>
          <w:sz w:val="12"/>
        </w:rPr>
        <w:t>1996</w:t>
        <w:tab/>
        <w:t>97</w:t>
        <w:tab/>
        <w:t>98</w:t>
        <w:tab/>
      </w:r>
      <w:r>
        <w:rPr>
          <w:spacing w:val="-10"/>
          <w:sz w:val="12"/>
        </w:rPr>
        <w:t>99</w:t>
      </w:r>
    </w:p>
    <w:p>
      <w:pPr>
        <w:pStyle w:val="BodyText"/>
        <w:rPr>
          <w:sz w:val="12"/>
        </w:rPr>
      </w:pPr>
      <w:r>
        <w:rPr/>
        <w:br w:type="column"/>
      </w:r>
      <w:r>
        <w:rPr>
          <w:sz w:val="12"/>
        </w:rPr>
      </w:r>
    </w:p>
    <w:p>
      <w:pPr>
        <w:spacing w:before="0"/>
        <w:ind w:left="0" w:right="38" w:firstLine="0"/>
        <w:jc w:val="right"/>
        <w:rPr>
          <w:sz w:val="12"/>
        </w:rPr>
      </w:pPr>
      <w:r>
        <w:rPr>
          <w:sz w:val="12"/>
        </w:rPr>
        <w:t>3.0</w:t>
      </w:r>
    </w:p>
    <w:p>
      <w:pPr>
        <w:pStyle w:val="BodyText"/>
        <w:rPr>
          <w:sz w:val="12"/>
        </w:rPr>
      </w:pPr>
    </w:p>
    <w:p>
      <w:pPr>
        <w:pStyle w:val="BodyText"/>
        <w:spacing w:before="9"/>
        <w:rPr>
          <w:sz w:val="11"/>
        </w:rPr>
      </w:pPr>
    </w:p>
    <w:p>
      <w:pPr>
        <w:spacing w:before="0"/>
        <w:ind w:left="0" w:right="38" w:firstLine="0"/>
        <w:jc w:val="right"/>
        <w:rPr>
          <w:sz w:val="12"/>
        </w:rPr>
      </w:pPr>
      <w:r>
        <w:rPr/>
        <w:pict>
          <v:group style="position:absolute;margin-left:44.263pt;margin-top:-5.457428pt;width:159.8pt;height:80.650pt;mso-position-horizontal-relative:page;mso-position-vertical-relative:paragraph;z-index:16246272" coordorigin="885,-109" coordsize="3196,1613">
            <v:shape style="position:absolute;left:1223;top:68;width:130;height:335" coordorigin="1224,68" coordsize="130,335" path="m1224,143l1294,68m1294,68l1354,403e" filled="false" stroked="true" strokeweight="1pt" strokecolor="#df6f1d">
              <v:path arrowok="t"/>
              <v:stroke dashstyle="solid"/>
            </v:shape>
            <v:line style="position:absolute" from="1344,405" to="1424,405" stroked="true" strokeweight="1.125pt" strokecolor="#df6f1d">
              <v:stroke dashstyle="solid"/>
            </v:line>
            <v:line style="position:absolute" from="1414,403" to="1474,478" stroked="true" strokeweight="1pt" strokecolor="#df6f1d">
              <v:stroke dashstyle="solid"/>
            </v:line>
            <v:shape style="position:absolute;left:1463;top:479;width:140;height:2" coordorigin="1464,480" coordsize="140,0" path="m1464,480l1544,480m1524,480l1604,480e" filled="false" stroked="true" strokeweight="1.125pt" strokecolor="#df6f1d">
              <v:path arrowok="t"/>
              <v:stroke dashstyle="solid"/>
            </v:shape>
            <v:line style="position:absolute" from="1593,478" to="1651,556" stroked="true" strokeweight="1pt" strokecolor="#df6f1d">
              <v:stroke dashstyle="solid"/>
            </v:line>
            <v:line style="position:absolute" from="1641,557" to="1733,557" stroked="true" strokeweight="1.125pt" strokecolor="#df6f1d">
              <v:stroke dashstyle="solid"/>
            </v:line>
            <v:shape style="position:absolute;left:1723;top:478;width:298;height:580" coordorigin="1723,478" coordsize="298,580" path="m1723,556l1783,478m1783,478l1843,646m1843,646l1901,813m1901,813l1961,1058m1961,1058l2021,966e" filled="false" stroked="true" strokeweight="1pt" strokecolor="#df6f1d">
              <v:path arrowok="t"/>
              <v:stroke dashstyle="solid"/>
            </v:shape>
            <v:line style="position:absolute" from="2011,967" to="2103,967" stroked="true" strokeweight="1.125pt" strokecolor="#df6f1d">
              <v:stroke dashstyle="solid"/>
            </v:line>
            <v:shape style="position:absolute;left:2093;top:723;width:428;height:503" coordorigin="2093,723" coordsize="428,503" path="m2093,966l2153,891m2153,891l2211,723m2211,723l2271,813m2271,813l2331,891m2331,891l2391,813m2391,813l2451,891m2451,891l2521,1226e" filled="false" stroked="true" strokeweight="1pt" strokecolor="#df6f1d">
              <v:path arrowok="t"/>
              <v:stroke dashstyle="solid"/>
            </v:shape>
            <v:shape style="position:absolute;left:2511;top:1227;width:140;height:2" coordorigin="2511,1227" coordsize="140,0" path="m2511,1227l2591,1227m2571,1227l2651,1227e" filled="false" stroked="true" strokeweight="1.125pt" strokecolor="#df6f1d">
              <v:path arrowok="t"/>
              <v:stroke dashstyle="solid"/>
            </v:shape>
            <v:shape style="position:absolute;left:2641;top:965;width:490;height:503" coordorigin="2641,966" coordsize="490,503" path="m2641,1226l2701,966m2701,966l2761,1058m2761,1058l2821,966m2821,966l2881,1058m2881,1058l2951,1226m2951,1226l3011,1301m3011,1301l3071,1378m3071,1378l3131,1468e" filled="false" stroked="true" strokeweight="1pt" strokecolor="#df6f1d">
              <v:path arrowok="t"/>
              <v:stroke dashstyle="solid"/>
            </v:shape>
            <v:shape style="position:absolute;left:1033;top:-98;width:140;height:2" coordorigin="1034,-98" coordsize="140,0" path="m1034,-98l1114,-98m1094,-98l1174,-98e" filled="false" stroked="true" strokeweight="1.125pt" strokecolor="#008256">
              <v:path arrowok="t"/>
              <v:stroke dashstyle="solid"/>
            </v:shape>
            <v:shape style="position:absolute;left:1163;top:-100;width:250;height:335" coordorigin="1164,-99" coordsize="250,335" path="m1164,-99l1224,-9m1224,-9l1294,236m1294,236l1354,68m1354,68l1414,236e" filled="false" stroked="true" strokeweight="1pt" strokecolor="#008256">
              <v:path arrowok="t"/>
              <v:stroke dashstyle="solid"/>
            </v:shape>
            <v:shape style="position:absolute;left:1403;top:237;width:140;height:2" coordorigin="1404,237" coordsize="140,0" path="m1404,237l1484,237m1464,237l1544,237e" filled="false" stroked="true" strokeweight="1.125pt" strokecolor="#008256">
              <v:path arrowok="t"/>
              <v:stroke dashstyle="solid"/>
            </v:shape>
            <v:shape style="position:absolute;left:1533;top:68;width:620;height:823" coordorigin="1533,68" coordsize="620,823" path="m1533,236l1593,143m1593,143l1651,68m1651,68l1723,311m1723,311l1783,403m1783,403l1843,478m1843,478l1901,723m1901,723l1961,891m1961,891l2021,813m2021,813l2093,723m2093,723l2153,478e" filled="false" stroked="true" strokeweight="1pt" strokecolor="#008256">
              <v:path arrowok="t"/>
              <v:stroke dashstyle="solid"/>
            </v:shape>
            <v:line style="position:absolute" from="2143,480" to="2221,480" stroked="true" strokeweight="1.125pt" strokecolor="#008256">
              <v:stroke dashstyle="solid"/>
            </v:line>
            <v:shape style="position:absolute;left:2211;top:478;width:310;height:413" coordorigin="2211,478" coordsize="310,413" path="m2211,478l2271,646m2271,646l2331,478m2331,478l2391,556m2391,556l2451,646m2451,646l2521,891e" filled="false" stroked="true" strokeweight="1pt" strokecolor="#008256">
              <v:path arrowok="t"/>
              <v:stroke dashstyle="solid"/>
            </v:shape>
            <v:line style="position:absolute" from="2511,892" to="2591,892" stroked="true" strokeweight="1.125pt" strokecolor="#008256">
              <v:stroke dashstyle="solid"/>
            </v:line>
            <v:shape style="position:absolute;left:2581;top:478;width:610;height:580" coordorigin="2581,478" coordsize="610,580" path="m2581,891l2641,813m2641,813l2701,556m2701,556l2761,478m2761,478l2821,723m2821,723l2881,891m2881,891l2951,1058m2951,1058l3011,891m3011,891l3071,1058m3071,1058l3131,966m3131,966l3191,891e" filled="false" stroked="true" strokeweight="1pt" strokecolor="#008256">
              <v:path arrowok="t"/>
              <v:stroke dashstyle="solid"/>
            </v:shape>
            <v:shape style="position:absolute;left:3321;top:1133;width:358;height:335" coordorigin="3321,1133" coordsize="358,335" path="m3321,1468l3381,1301m3381,1301l3441,1226m3441,1226l3499,1301m3499,1301l3559,1378m3559,1378l3619,1226m3619,1226l3679,1133e" filled="false" stroked="true" strokeweight="1pt" strokecolor="#df6f1d">
              <v:path arrowok="t"/>
              <v:stroke dashstyle="solid"/>
            </v:shape>
            <v:line style="position:absolute" from="3669,1135" to="3761,1135" stroked="true" strokeweight="1.125pt" strokecolor="#df6f1d">
              <v:stroke dashstyle="solid"/>
            </v:line>
            <v:shape style="position:absolute;left:3751;top:723;width:178;height:410" coordorigin="3751,723" coordsize="178,410" path="m3751,1133l3809,966m3809,966l3869,891m3869,891l3929,723e" filled="false" stroked="true" strokeweight="1pt" strokecolor="#df6f1d">
              <v:path arrowok="t"/>
              <v:stroke dashstyle="solid"/>
            </v:shape>
            <v:shape style="position:absolute;left:3191;top:723;width:428;height:335" coordorigin="3191,723" coordsize="428,335" path="m3191,891l3249,813m3249,813l3321,891m3321,891l3381,723m3381,723l3441,891m3441,891l3499,1058m3499,1058l3559,966m3559,966l3619,1058e" filled="false" stroked="true" strokeweight="1pt" strokecolor="#008256">
              <v:path arrowok="t"/>
              <v:stroke dashstyle="solid"/>
            </v:shape>
            <v:line style="position:absolute" from="3609,1060" to="3689,1060" stroked="true" strokeweight="1.125pt" strokecolor="#008256">
              <v:stroke dashstyle="solid"/>
            </v:line>
            <v:line style="position:absolute" from="3679,1058" to="3751,1133" stroked="true" strokeweight="1pt" strokecolor="#008256">
              <v:stroke dashstyle="solid"/>
            </v:line>
            <v:line style="position:absolute" from="3741,1135" to="3819,1135" stroked="true" strokeweight="1.125pt" strokecolor="#008256">
              <v:stroke dashstyle="solid"/>
            </v:line>
            <v:shape style="position:absolute;left:3808;top:1058;width:120;height:75" coordorigin="3809,1058" coordsize="120,75" path="m3809,1133l3869,1058m3869,1058l3929,1133e" filled="false" stroked="true" strokeweight="1pt" strokecolor="#008256">
              <v:path arrowok="t"/>
              <v:stroke dashstyle="solid"/>
            </v:shape>
            <v:shape style="position:absolute;left:885;top:70;width:3196;height:1235" coordorigin="885,71" coordsize="3196,1235" path="m972,482l885,482m972,1305l885,1305m972,71l885,71m972,894l885,894m4081,482l3994,482m4081,1305l3994,1305m4081,71l3994,71m4081,894l3994,894e" filled="false" stroked="true" strokeweight=".5pt" strokecolor="#000000">
              <v:path arrowok="t"/>
              <v:stroke dashstyle="solid"/>
            </v:shape>
            <v:shape style="position:absolute;left:1033;top:49;width:220;height:133" type="#_x0000_t202" filled="false" stroked="false">
              <v:textbox inset="0,0,0,0">
                <w:txbxContent>
                  <w:p>
                    <w:pPr>
                      <w:spacing w:line="133" w:lineRule="exact" w:before="0"/>
                      <w:ind w:left="0" w:right="0" w:firstLine="0"/>
                      <w:jc w:val="left"/>
                      <w:rPr>
                        <w:sz w:val="12"/>
                      </w:rPr>
                    </w:pPr>
                    <w:r>
                      <w:rPr>
                        <w:sz w:val="12"/>
                        <w:u w:val="thick" w:color="DF6F1D"/>
                      </w:rPr>
                      <w:t> </w:t>
                    </w:r>
                    <w:r>
                      <w:rPr>
                        <w:spacing w:val="-10"/>
                        <w:sz w:val="12"/>
                        <w:u w:val="thick" w:color="DF6F1D"/>
                      </w:rPr>
                      <w:t> </w:t>
                    </w:r>
                  </w:p>
                </w:txbxContent>
              </v:textbox>
              <w10:wrap type="none"/>
            </v:shape>
            <v:shape style="position:absolute;left:1697;top:49;width:830;height:134" type="#_x0000_t202" filled="false" stroked="false">
              <v:textbox inset="0,0,0,0">
                <w:txbxContent>
                  <w:p>
                    <w:pPr>
                      <w:spacing w:line="133" w:lineRule="exact" w:before="0"/>
                      <w:ind w:left="0" w:right="0" w:firstLine="0"/>
                      <w:jc w:val="left"/>
                      <w:rPr>
                        <w:sz w:val="12"/>
                      </w:rPr>
                    </w:pPr>
                    <w:r>
                      <w:rPr>
                        <w:sz w:val="12"/>
                      </w:rPr>
                      <w:t>United Kingdom</w:t>
                    </w:r>
                  </w:p>
                </w:txbxContent>
              </v:textbox>
              <w10:wrap type="none"/>
            </v:shape>
            <v:shape style="position:absolute;left:2600;top:1370;width:751;height:133" type="#_x0000_t202" filled="false" stroked="false">
              <v:textbox inset="0,0,0,0">
                <w:txbxContent>
                  <w:p>
                    <w:pPr>
                      <w:spacing w:line="133" w:lineRule="exact" w:before="0"/>
                      <w:ind w:left="0" w:right="0" w:firstLine="0"/>
                      <w:jc w:val="left"/>
                      <w:rPr>
                        <w:sz w:val="12"/>
                      </w:rPr>
                    </w:pPr>
                    <w:r>
                      <w:rPr>
                        <w:sz w:val="12"/>
                      </w:rPr>
                      <w:t>Euro area  </w:t>
                    </w:r>
                    <w:r>
                      <w:rPr>
                        <w:sz w:val="12"/>
                        <w:u w:val="thick" w:color="DF6F1D"/>
                      </w:rPr>
                      <w:t> </w:t>
                    </w:r>
                  </w:p>
                </w:txbxContent>
              </v:textbox>
              <w10:wrap type="none"/>
            </v:shape>
            <w10:wrap type="none"/>
          </v:group>
        </w:pict>
      </w:r>
      <w:r>
        <w:rPr/>
        <w:pict>
          <v:line style="position:absolute;mso-position-horizontal-relative:page;mso-position-vertical-relative:paragraph;z-index:16247808" from="204.049995pt,-17.046429pt" to="199.716995pt,-17.046429pt" stroked="true" strokeweight=".5pt" strokecolor="#000000">
            <v:stroke dashstyle="solid"/>
            <w10:wrap type="none"/>
          </v:line>
        </w:pict>
      </w:r>
      <w:r>
        <w:rPr>
          <w:sz w:val="12"/>
        </w:rPr>
        <w:t>2.5</w:t>
      </w:r>
    </w:p>
    <w:p>
      <w:pPr>
        <w:pStyle w:val="BodyText"/>
        <w:rPr>
          <w:sz w:val="12"/>
        </w:rPr>
      </w:pPr>
    </w:p>
    <w:p>
      <w:pPr>
        <w:pStyle w:val="BodyText"/>
        <w:spacing w:before="9"/>
        <w:rPr>
          <w:sz w:val="11"/>
        </w:rPr>
      </w:pPr>
    </w:p>
    <w:p>
      <w:pPr>
        <w:spacing w:before="0"/>
        <w:ind w:left="0" w:right="38" w:firstLine="0"/>
        <w:jc w:val="right"/>
        <w:rPr>
          <w:sz w:val="12"/>
        </w:rPr>
      </w:pPr>
      <w:r>
        <w:rPr>
          <w:sz w:val="12"/>
        </w:rPr>
        <w:t>2.0</w:t>
      </w:r>
    </w:p>
    <w:p>
      <w:pPr>
        <w:pStyle w:val="BodyText"/>
        <w:rPr>
          <w:sz w:val="12"/>
        </w:rPr>
      </w:pPr>
    </w:p>
    <w:p>
      <w:pPr>
        <w:pStyle w:val="BodyText"/>
        <w:spacing w:before="9"/>
        <w:rPr>
          <w:sz w:val="11"/>
        </w:rPr>
      </w:pPr>
    </w:p>
    <w:p>
      <w:pPr>
        <w:spacing w:before="0"/>
        <w:ind w:left="0" w:right="38" w:firstLine="0"/>
        <w:jc w:val="right"/>
        <w:rPr>
          <w:sz w:val="12"/>
        </w:rPr>
      </w:pPr>
      <w:r>
        <w:rPr>
          <w:sz w:val="12"/>
        </w:rPr>
        <w:t>1.5</w:t>
      </w:r>
    </w:p>
    <w:p>
      <w:pPr>
        <w:pStyle w:val="BodyText"/>
        <w:rPr>
          <w:sz w:val="12"/>
        </w:rPr>
      </w:pPr>
    </w:p>
    <w:p>
      <w:pPr>
        <w:pStyle w:val="BodyText"/>
        <w:spacing w:before="8"/>
        <w:rPr>
          <w:sz w:val="11"/>
        </w:rPr>
      </w:pPr>
    </w:p>
    <w:p>
      <w:pPr>
        <w:spacing w:before="1"/>
        <w:ind w:left="0" w:right="38" w:firstLine="0"/>
        <w:jc w:val="right"/>
        <w:rPr>
          <w:sz w:val="12"/>
        </w:rPr>
      </w:pPr>
      <w:r>
        <w:rPr>
          <w:sz w:val="12"/>
        </w:rPr>
        <w:t>1.0</w:t>
      </w:r>
    </w:p>
    <w:p>
      <w:pPr>
        <w:pStyle w:val="BodyText"/>
        <w:rPr>
          <w:sz w:val="12"/>
        </w:rPr>
      </w:pPr>
    </w:p>
    <w:p>
      <w:pPr>
        <w:pStyle w:val="BodyText"/>
        <w:spacing w:before="8"/>
        <w:rPr>
          <w:sz w:val="11"/>
        </w:rPr>
      </w:pPr>
    </w:p>
    <w:p>
      <w:pPr>
        <w:spacing w:before="1"/>
        <w:ind w:left="0" w:right="38" w:firstLine="0"/>
        <w:jc w:val="right"/>
        <w:rPr>
          <w:sz w:val="12"/>
        </w:rPr>
      </w:pPr>
      <w:r>
        <w:rPr/>
        <w:pict>
          <v:line style="position:absolute;mso-position-horizontal-relative:page;mso-position-vertical-relative:paragraph;z-index:16248320" from="204.049995pt,3.604165pt" to="199.716995pt,3.604165pt" stroked="true" strokeweight=".5pt" strokecolor="#000000">
            <v:stroke dashstyle="solid"/>
            <w10:wrap type="none"/>
          </v:line>
        </w:pict>
      </w:r>
      <w:r>
        <w:rPr>
          <w:sz w:val="12"/>
        </w:rPr>
        <w:t>0.5</w:t>
      </w:r>
    </w:p>
    <w:p>
      <w:pPr>
        <w:pStyle w:val="BodyText"/>
        <w:rPr>
          <w:sz w:val="12"/>
        </w:rPr>
      </w:pPr>
    </w:p>
    <w:p>
      <w:pPr>
        <w:pStyle w:val="BodyText"/>
        <w:spacing w:before="8"/>
        <w:rPr>
          <w:sz w:val="11"/>
        </w:rPr>
      </w:pPr>
    </w:p>
    <w:p>
      <w:pPr>
        <w:spacing w:before="1"/>
        <w:ind w:left="0" w:right="38" w:firstLine="0"/>
        <w:jc w:val="right"/>
        <w:rPr>
          <w:sz w:val="12"/>
        </w:rPr>
      </w:pPr>
      <w:r>
        <w:rPr/>
        <w:pict>
          <v:shape style="position:absolute;margin-left:44.263pt;margin-top:-1.09843pt;width:159.8pt;height:4.75pt;mso-position-horizontal-relative:page;mso-position-vertical-relative:paragraph;z-index:16247296" coordorigin="885,-22" coordsize="3196,95" path="m972,72l885,72m1039,72l3931,72m1037,-22l1037,71m1283,18l1283,71m1652,18l1652,71m2390,18l2390,71m3129,18l3129,71m3621,18l3621,71m3867,18l3867,71m1898,18l1898,71m2637,18l2637,71m3252,-22l3252,71m1160,18l1160,71m1406,18l1406,71m2021,18l2021,71m2760,18l2760,71m3375,18l3375,71m3744,18l3744,71m2144,18l2144,71m2883,18l2883,71m3498,18l3498,71m1529,18l1529,71m2267,18l2267,71m3006,18l3006,71m1775,-22l1775,71m2514,-22l2514,71m1098,18l1098,71m1344,18l1344,71m1714,18l1714,71m2452,18l2452,71m3190,18l3190,71m3683,18l3683,71m3929,18l3929,71m1960,18l1960,71m2698,18l2698,71m3313,18l3313,71m1221,18l1221,71m1467,18l1467,71m2083,18l2083,71m2821,18l2821,71m3437,18l3437,71m3806,18l3806,71m2206,18l2206,71m2944,18l2944,71m3560,18l3560,71m1590,18l1590,71m2329,18l2329,71m3067,18l3067,71m1837,18l1837,71m2575,18l2575,71m4081,72l3994,72e" filled="false" stroked="true" strokeweight=".5pt" strokecolor="#000000">
            <v:path arrowok="t"/>
            <v:stroke dashstyle="solid"/>
            <w10:wrap type="none"/>
          </v:shape>
        </w:pict>
      </w:r>
      <w:r>
        <w:rPr>
          <w:sz w:val="12"/>
        </w:rPr>
        <w:t>0.0</w:t>
      </w:r>
    </w:p>
    <w:p>
      <w:pPr>
        <w:pStyle w:val="BodyText"/>
        <w:spacing w:before="7"/>
        <w:rPr>
          <w:sz w:val="22"/>
        </w:rPr>
      </w:pPr>
      <w:r>
        <w:rPr/>
        <w:br w:type="column"/>
      </w:r>
      <w:r>
        <w:rPr>
          <w:sz w:val="22"/>
        </w:rPr>
      </w:r>
    </w:p>
    <w:p>
      <w:pPr>
        <w:pStyle w:val="Heading6"/>
        <w:spacing w:line="242" w:lineRule="auto"/>
        <w:ind w:left="688" w:right="186"/>
      </w:pPr>
      <w:r>
        <w:rPr/>
        <w:t>Oil and non-oil commodity prices have risen further, putting upward pressure on producers’ input costs, but the appreciation of the sterling effective exchange rate has continued to moderate the impact on UK producer and retail goods price inflation. An increase in the degree of competition between firms may have added to downward pressure on goods price inflation. Retail goods and services price inflation have diverged further in recent months: a decline in retail goods price inflation has been offset by a rise in retail services price inflation. RPIX inflation remained at 2.2% in the last three months of 1999, below the government’s 2</w:t>
      </w:r>
      <w:r>
        <w:rPr>
          <w:position w:val="8"/>
          <w:sz w:val="12"/>
        </w:rPr>
        <w:t>1</w:t>
      </w:r>
      <w:r>
        <w:rPr/>
        <w:t>/</w:t>
      </w:r>
      <w:r>
        <w:rPr>
          <w:sz w:val="12"/>
        </w:rPr>
        <w:t>2</w:t>
      </w:r>
      <w:r>
        <w:rPr/>
        <w:t>%</w:t>
      </w:r>
      <w:r>
        <w:rPr>
          <w:spacing w:val="-6"/>
        </w:rPr>
        <w:t> </w:t>
      </w:r>
      <w:r>
        <w:rPr/>
        <w:t>target.</w:t>
      </w:r>
    </w:p>
    <w:p>
      <w:pPr>
        <w:spacing w:after="0" w:line="242" w:lineRule="auto"/>
        <w:sectPr>
          <w:type w:val="continuous"/>
          <w:pgSz w:w="11900" w:h="16840"/>
          <w:pgMar w:top="1220" w:bottom="280" w:left="620" w:right="640"/>
          <w:cols w:num="3" w:equalWidth="0">
            <w:col w:w="3072" w:space="40"/>
            <w:col w:w="586" w:space="573"/>
            <w:col w:w="6369"/>
          </w:cols>
        </w:sectPr>
      </w:pPr>
    </w:p>
    <w:p>
      <w:pPr>
        <w:pStyle w:val="BodyText"/>
        <w:spacing w:line="20" w:lineRule="exact"/>
        <w:ind w:left="15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10"/>
        <w:rPr>
          <w:sz w:val="17"/>
        </w:rPr>
      </w:pPr>
      <w:r>
        <w:rPr/>
        <w:pict>
          <v:shape style="position:absolute;margin-left:40.090pt;margin-top:11.500977pt;width:516pt;height:48pt;mso-position-horizontal-relative:page;mso-position-vertical-relative:paragraph;z-index:-15203328;mso-wrap-distance-left:0;mso-wrap-distance-right:0" type="#_x0000_t202" filled="true" fillcolor="#b5dad6" stroked="false">
            <v:textbox inset="0,0,0,0">
              <w:txbxContent>
                <w:p>
                  <w:pPr>
                    <w:tabs>
                      <w:tab w:pos="1138" w:val="left" w:leader="none"/>
                    </w:tabs>
                    <w:spacing w:before="51"/>
                    <w:ind w:left="260" w:right="0" w:firstLine="0"/>
                    <w:jc w:val="left"/>
                    <w:rPr>
                      <w:b/>
                      <w:i/>
                      <w:sz w:val="48"/>
                    </w:rPr>
                  </w:pPr>
                  <w:bookmarkStart w:name="Monetary policy since the November Repor" w:id="68"/>
                  <w:bookmarkEnd w:id="68"/>
                  <w:r>
                    <w:rPr/>
                  </w:r>
                  <w:bookmarkStart w:name="_bookmark27" w:id="69"/>
                  <w:bookmarkEnd w:id="69"/>
                  <w:r>
                    <w:rPr/>
                  </w:r>
                  <w:r>
                    <w:rPr>
                      <w:b/>
                      <w:color w:val="009483"/>
                      <w:sz w:val="72"/>
                    </w:rPr>
                    <w:t>5</w:t>
                    <w:tab/>
                  </w:r>
                  <w:r>
                    <w:rPr>
                      <w:b/>
                      <w:color w:val="009483"/>
                      <w:sz w:val="48"/>
                    </w:rPr>
                    <w:t>Monetary policy since the November</w:t>
                  </w:r>
                  <w:r>
                    <w:rPr>
                      <w:b/>
                      <w:color w:val="009483"/>
                      <w:spacing w:val="-10"/>
                      <w:sz w:val="48"/>
                    </w:rPr>
                    <w:t> </w:t>
                  </w:r>
                  <w:r>
                    <w:rPr>
                      <w:b/>
                      <w:i/>
                      <w:color w:val="009483"/>
                      <w:sz w:val="48"/>
                    </w:rPr>
                    <w:t>Report</w:t>
                  </w:r>
                </w:p>
              </w:txbxContent>
            </v:textbox>
            <v:fill type="solid"/>
            <w10:wrap type="topAndBottom"/>
          </v:shape>
        </w:pict>
      </w:r>
    </w:p>
    <w:p>
      <w:pPr>
        <w:pStyle w:val="BodyText"/>
        <w:rPr>
          <w:sz w:val="20"/>
        </w:rPr>
      </w:pPr>
    </w:p>
    <w:p>
      <w:pPr>
        <w:pStyle w:val="BodyText"/>
        <w:rPr>
          <w:sz w:val="20"/>
        </w:rPr>
      </w:pPr>
    </w:p>
    <w:p>
      <w:pPr>
        <w:spacing w:line="242" w:lineRule="auto" w:before="208"/>
        <w:ind w:left="4979" w:right="136" w:firstLine="0"/>
        <w:jc w:val="left"/>
        <w:rPr>
          <w:sz w:val="24"/>
        </w:rPr>
      </w:pPr>
      <w:r>
        <w:rPr>
          <w:sz w:val="24"/>
        </w:rPr>
        <w:t>This section summarises the economic developments and monetary policy decisions taken by the MPC since the November </w:t>
      </w:r>
      <w:r>
        <w:rPr>
          <w:i/>
          <w:color w:val="231F20"/>
          <w:sz w:val="24"/>
        </w:rPr>
        <w:t>Report</w:t>
      </w:r>
      <w:hyperlink w:history="true" w:anchor="_bookmark35">
        <w:r>
          <w:rPr>
            <w:color w:val="231F20"/>
            <w:sz w:val="24"/>
          </w:rPr>
          <w:t>. The minutes of the November,</w:t>
        </w:r>
      </w:hyperlink>
      <w:r>
        <w:rPr>
          <w:color w:val="231F20"/>
          <w:sz w:val="24"/>
        </w:rPr>
        <w:t> </w:t>
      </w:r>
      <w:hyperlink w:history="true" w:anchor="_bookmark36">
        <w:r>
          <w:rPr>
            <w:color w:val="231F20"/>
            <w:sz w:val="24"/>
          </w:rPr>
          <w:t>December</w:t>
        </w:r>
      </w:hyperlink>
      <w:r>
        <w:rPr>
          <w:color w:val="231F20"/>
          <w:sz w:val="24"/>
        </w:rPr>
        <w:t> and </w:t>
      </w:r>
      <w:hyperlink w:history="true" w:anchor="_bookmark38">
        <w:r>
          <w:rPr>
            <w:color w:val="231F20"/>
            <w:sz w:val="24"/>
          </w:rPr>
          <w:t>January</w:t>
        </w:r>
      </w:hyperlink>
      <w:r>
        <w:rPr>
          <w:color w:val="231F20"/>
          <w:sz w:val="24"/>
        </w:rPr>
        <w:t> meetings are attached as an Annex to this </w:t>
      </w:r>
      <w:r>
        <w:rPr>
          <w:i/>
          <w:color w:val="231F20"/>
          <w:sz w:val="24"/>
        </w:rPr>
        <w:t>Report</w:t>
      </w:r>
      <w:r>
        <w:rPr>
          <w:color w:val="231F20"/>
          <w:sz w:val="24"/>
        </w:rPr>
        <w:t>. The Bank of England’s repo rate was maintained at 5.5% in December, and was raised to 5.75% in January. In February it was raised to 6%.</w:t>
      </w:r>
    </w:p>
    <w:p>
      <w:pPr>
        <w:pStyle w:val="BodyText"/>
        <w:spacing w:before="10"/>
        <w:rPr>
          <w:sz w:val="26"/>
        </w:rPr>
      </w:pPr>
    </w:p>
    <w:p>
      <w:pPr>
        <w:spacing w:line="242" w:lineRule="auto" w:before="0"/>
        <w:ind w:left="4979" w:right="162" w:firstLine="0"/>
        <w:jc w:val="left"/>
        <w:rPr>
          <w:sz w:val="24"/>
        </w:rPr>
      </w:pPr>
      <w:r>
        <w:rPr>
          <w:color w:val="231F20"/>
          <w:sz w:val="24"/>
        </w:rPr>
        <w:t>In the November </w:t>
      </w:r>
      <w:r>
        <w:rPr>
          <w:i/>
          <w:color w:val="231F20"/>
          <w:sz w:val="24"/>
        </w:rPr>
        <w:t>Report</w:t>
      </w:r>
      <w:r>
        <w:rPr>
          <w:color w:val="231F20"/>
          <w:sz w:val="24"/>
        </w:rPr>
        <w:t>, the MPC’s central projection was for annual real GDP growth in the 2.5%–3% range during 2000 and 2001, higher than in 1999. The Committee’s best collective judgment of the prospects for RPIX inflation was that it was most likely to decline to just below 2% by the end of 2000, before rising to the 2</w:t>
      </w:r>
      <w:r>
        <w:rPr>
          <w:color w:val="231F20"/>
          <w:position w:val="8"/>
          <w:sz w:val="12"/>
        </w:rPr>
        <w:t>1</w:t>
      </w:r>
      <w:r>
        <w:rPr>
          <w:color w:val="231F20"/>
          <w:sz w:val="24"/>
        </w:rPr>
        <w:t>/</w:t>
      </w:r>
      <w:r>
        <w:rPr>
          <w:color w:val="231F20"/>
          <w:sz w:val="12"/>
        </w:rPr>
        <w:t>2</w:t>
      </w:r>
      <w:r>
        <w:rPr>
          <w:color w:val="231F20"/>
          <w:sz w:val="24"/>
        </w:rPr>
        <w:t>% target level in late 2001. Changes relative to the August projection reflected upward pressure on inflation from stronger domestic demand and higher earnings, and downward pressure from the higher exchange rate and declining price-cost margins. There were considerable uncertainties surrounding inflation prospects, for example about the future course of the exchange rate, earnings and margins. Alternative judgments on these issues led some Committee members to prefer profiles for inflation that would be up to </w:t>
      </w:r>
      <w:r>
        <w:rPr>
          <w:color w:val="231F20"/>
          <w:position w:val="8"/>
          <w:sz w:val="12"/>
        </w:rPr>
        <w:t>1</w:t>
      </w:r>
      <w:r>
        <w:rPr>
          <w:color w:val="231F20"/>
          <w:sz w:val="24"/>
        </w:rPr>
        <w:t>/</w:t>
      </w:r>
      <w:r>
        <w:rPr>
          <w:color w:val="231F20"/>
          <w:sz w:val="12"/>
        </w:rPr>
        <w:t>2</w:t>
      </w:r>
      <w:r>
        <w:rPr>
          <w:color w:val="231F20"/>
          <w:sz w:val="24"/>
        </w:rPr>
        <w:t>% higher or lower at the two-year forecast horizon than the central projection representing the best collective judgment.</w:t>
      </w:r>
    </w:p>
    <w:p>
      <w:pPr>
        <w:pStyle w:val="BodyText"/>
        <w:spacing w:before="1"/>
        <w:rPr>
          <w:sz w:val="28"/>
        </w:rPr>
      </w:pPr>
    </w:p>
    <w:p>
      <w:pPr>
        <w:spacing w:line="242" w:lineRule="auto" w:before="0"/>
        <w:ind w:left="4979" w:right="202" w:firstLine="0"/>
        <w:jc w:val="left"/>
        <w:rPr>
          <w:sz w:val="24"/>
        </w:rPr>
      </w:pPr>
      <w:hyperlink w:history="true" w:anchor="_bookmark36">
        <w:r>
          <w:rPr>
            <w:color w:val="231F20"/>
            <w:sz w:val="24"/>
          </w:rPr>
          <w:t>At its meeting on 8–9 December,</w:t>
        </w:r>
      </w:hyperlink>
      <w:r>
        <w:rPr>
          <w:color w:val="231F20"/>
          <w:sz w:val="24"/>
        </w:rPr>
        <w:t> the Committee discussed new information relating to the world economy. US output growth continued to appear robust, with a major contribution coming from strong consumption growth. This was supported partly by strong equity prices, though there was a continued downside risk of an equity market correction. Data revisions had made the recent GDP trend in Japan hard to discern, but the level of output in Q3 appeared to be broadly as expected at the time of the November </w:t>
      </w:r>
      <w:r>
        <w:rPr>
          <w:i/>
          <w:color w:val="231F20"/>
          <w:sz w:val="24"/>
        </w:rPr>
        <w:t>Report</w:t>
      </w:r>
      <w:r>
        <w:rPr>
          <w:color w:val="231F20"/>
          <w:sz w:val="24"/>
        </w:rPr>
        <w:t>. Activity in the rest of the industrial world, including the euro area, was either as expected or slightly firmer, as was news from emerging market economies.</w:t>
      </w:r>
    </w:p>
    <w:p>
      <w:pPr>
        <w:pStyle w:val="BodyText"/>
        <w:spacing w:before="6"/>
        <w:rPr>
          <w:sz w:val="27"/>
        </w:rPr>
      </w:pPr>
    </w:p>
    <w:p>
      <w:pPr>
        <w:spacing w:line="242" w:lineRule="auto" w:before="0"/>
        <w:ind w:left="4979" w:right="0" w:firstLine="0"/>
        <w:jc w:val="left"/>
        <w:rPr>
          <w:sz w:val="24"/>
        </w:rPr>
      </w:pPr>
      <w:r>
        <w:rPr>
          <w:color w:val="231F20"/>
          <w:sz w:val="24"/>
        </w:rPr>
        <w:t>UK final domestic demand in Q3 had turned out to be broadly as expected at the time of the November </w:t>
      </w:r>
      <w:r>
        <w:rPr>
          <w:i/>
          <w:color w:val="231F20"/>
          <w:sz w:val="24"/>
        </w:rPr>
        <w:t>Report</w:t>
      </w:r>
      <w:r>
        <w:rPr>
          <w:color w:val="231F20"/>
          <w:sz w:val="24"/>
        </w:rPr>
        <w:t>, though consumption had been stronger and investment weaker than expected. The interpretation of the</w:t>
      </w:r>
    </w:p>
    <w:p>
      <w:pPr>
        <w:spacing w:after="0" w:line="242" w:lineRule="auto"/>
        <w:jc w:val="left"/>
        <w:rPr>
          <w:sz w:val="24"/>
        </w:rPr>
        <w:sectPr>
          <w:headerReference w:type="default" r:id="rId148"/>
          <w:pgSz w:w="11900" w:h="16840"/>
          <w:pgMar w:header="0" w:footer="617" w:top="780" w:bottom="780" w:left="620" w:right="640"/>
        </w:sectPr>
      </w:pPr>
    </w:p>
    <w:p>
      <w:pPr>
        <w:pStyle w:val="BodyText"/>
        <w:rPr>
          <w:sz w:val="20"/>
        </w:rPr>
      </w:pPr>
    </w:p>
    <w:p>
      <w:pPr>
        <w:spacing w:line="242" w:lineRule="auto" w:before="207"/>
        <w:ind w:left="4965" w:right="194" w:firstLine="0"/>
        <w:jc w:val="left"/>
        <w:rPr>
          <w:sz w:val="24"/>
        </w:rPr>
      </w:pPr>
      <w:r>
        <w:rPr>
          <w:sz w:val="24"/>
        </w:rPr>
        <w:t>consumption data was made more difficult by the changing seasonal pattern of car purchases resulting from changes in the timing of the introduction of new registration letters. Data for money and household </w:t>
      </w:r>
      <w:r>
        <w:rPr>
          <w:spacing w:val="-3"/>
          <w:sz w:val="24"/>
        </w:rPr>
        <w:t>credit </w:t>
      </w:r>
      <w:r>
        <w:rPr>
          <w:sz w:val="24"/>
        </w:rPr>
        <w:t>suggested that consumer spending would remain robust. Notes and coin growth was particularly strong, but temporary special factors relating to the millennium date change were probably at work. Asset prices were also likely to underpin consumption growth: the</w:t>
      </w:r>
      <w:r>
        <w:rPr>
          <w:spacing w:val="-4"/>
          <w:sz w:val="24"/>
        </w:rPr>
        <w:t> </w:t>
      </w:r>
      <w:r>
        <w:rPr>
          <w:sz w:val="24"/>
        </w:rPr>
        <w:t>FTSE</w:t>
      </w:r>
    </w:p>
    <w:p>
      <w:pPr>
        <w:spacing w:line="242" w:lineRule="auto" w:before="11"/>
        <w:ind w:left="4965" w:right="235" w:firstLine="0"/>
        <w:jc w:val="left"/>
        <w:rPr>
          <w:sz w:val="24"/>
        </w:rPr>
      </w:pPr>
      <w:r>
        <w:rPr>
          <w:sz w:val="24"/>
        </w:rPr>
        <w:t>All-Share index was up by 9% since the November </w:t>
      </w:r>
      <w:r>
        <w:rPr>
          <w:i/>
          <w:sz w:val="24"/>
        </w:rPr>
        <w:t>Report </w:t>
      </w:r>
      <w:r>
        <w:rPr>
          <w:sz w:val="24"/>
        </w:rPr>
        <w:t>and annual house price inflation was above 10% on most measures. With regard to investment, it was considered likely that the data might be revised up, but there was also a possibility that the recent slowdown partly reflected a ‘millennium pause’ in IT-related investment spending.</w:t>
      </w:r>
    </w:p>
    <w:p>
      <w:pPr>
        <w:pStyle w:val="BodyText"/>
        <w:spacing w:before="10"/>
        <w:rPr>
          <w:sz w:val="26"/>
        </w:rPr>
      </w:pPr>
    </w:p>
    <w:p>
      <w:pPr>
        <w:spacing w:line="242" w:lineRule="auto" w:before="0"/>
        <w:ind w:left="4965" w:right="218" w:firstLine="0"/>
        <w:jc w:val="left"/>
        <w:rPr>
          <w:sz w:val="24"/>
        </w:rPr>
      </w:pPr>
      <w:r>
        <w:rPr>
          <w:sz w:val="24"/>
        </w:rPr>
        <w:t>There was little news in UK labour market data since </w:t>
      </w:r>
      <w:r>
        <w:rPr>
          <w:spacing w:val="-5"/>
          <w:sz w:val="24"/>
        </w:rPr>
        <w:t>the </w:t>
      </w:r>
      <w:r>
        <w:rPr>
          <w:sz w:val="24"/>
        </w:rPr>
        <w:t>November meeting. </w:t>
      </w:r>
      <w:r>
        <w:rPr>
          <w:spacing w:val="-4"/>
          <w:sz w:val="24"/>
        </w:rPr>
        <w:t>However, </w:t>
      </w:r>
      <w:r>
        <w:rPr>
          <w:sz w:val="24"/>
        </w:rPr>
        <w:t>the </w:t>
      </w:r>
      <w:r>
        <w:rPr>
          <w:spacing w:val="-3"/>
          <w:sz w:val="24"/>
        </w:rPr>
        <w:t>Bank’s </w:t>
      </w:r>
      <w:r>
        <w:rPr>
          <w:sz w:val="24"/>
        </w:rPr>
        <w:t>regional Agents reported that there was more widespread evidence of skill shortages. Some of the Agents’ contacts had also expressed concern about prospects for the coming pay round. But such reports were not yet supported by evidence from other sources. The Committee had insufficient new evidence to determine whether earnings growth was diverging markedly from the November central projection. There were, </w:t>
      </w:r>
      <w:r>
        <w:rPr>
          <w:spacing w:val="-4"/>
          <w:sz w:val="24"/>
        </w:rPr>
        <w:t>however, </w:t>
      </w:r>
      <w:r>
        <w:rPr>
          <w:sz w:val="24"/>
        </w:rPr>
        <w:t>signs that productivity in manufacturing had picked up, though this rise in productivity would need to be more widespread if potential higher earnings growth and demand pressures were not to lead eventually to higher inflation.</w:t>
      </w:r>
    </w:p>
    <w:p>
      <w:pPr>
        <w:pStyle w:val="BodyText"/>
        <w:spacing w:before="9"/>
        <w:rPr>
          <w:sz w:val="27"/>
        </w:rPr>
      </w:pPr>
    </w:p>
    <w:p>
      <w:pPr>
        <w:spacing w:line="242" w:lineRule="auto" w:before="0"/>
        <w:ind w:left="4965" w:right="191" w:firstLine="0"/>
        <w:jc w:val="left"/>
        <w:rPr>
          <w:sz w:val="24"/>
        </w:rPr>
      </w:pPr>
      <w:r>
        <w:rPr>
          <w:sz w:val="24"/>
        </w:rPr>
        <w:t>The main news on commodity prices was a sharp rise in the price of oil in </w:t>
      </w:r>
      <w:r>
        <w:rPr>
          <w:spacing w:val="-3"/>
          <w:sz w:val="24"/>
        </w:rPr>
        <w:t>November. </w:t>
      </w:r>
      <w:r>
        <w:rPr>
          <w:sz w:val="24"/>
        </w:rPr>
        <w:t>This came on top of rises earlier in the year, which were contributing to a substantial rise in producer input prices. </w:t>
      </w:r>
      <w:r>
        <w:rPr>
          <w:spacing w:val="-4"/>
          <w:sz w:val="24"/>
        </w:rPr>
        <w:t>However, </w:t>
      </w:r>
      <w:r>
        <w:rPr>
          <w:sz w:val="24"/>
        </w:rPr>
        <w:t>the short-term prospects for UK retail price inflation seemed little changed, owing to offsetting effects from the </w:t>
      </w:r>
      <w:r>
        <w:rPr>
          <w:spacing w:val="-3"/>
          <w:sz w:val="24"/>
        </w:rPr>
        <w:t>higher </w:t>
      </w:r>
      <w:r>
        <w:rPr>
          <w:sz w:val="24"/>
        </w:rPr>
        <w:t>exchange rate, lower margins (partly associated with greater competition) and lower utility prices. Downward pressures on goods price inflation were especially strong, and the gap between goods price and service price inflation had widened</w:t>
      </w:r>
      <w:r>
        <w:rPr>
          <w:spacing w:val="-2"/>
          <w:sz w:val="24"/>
        </w:rPr>
        <w:t> </w:t>
      </w:r>
      <w:r>
        <w:rPr>
          <w:sz w:val="24"/>
        </w:rPr>
        <w:t>further.</w:t>
      </w:r>
    </w:p>
    <w:p>
      <w:pPr>
        <w:pStyle w:val="BodyText"/>
        <w:spacing w:before="3"/>
        <w:rPr>
          <w:sz w:val="27"/>
        </w:rPr>
      </w:pPr>
    </w:p>
    <w:p>
      <w:pPr>
        <w:spacing w:line="242" w:lineRule="auto" w:before="1"/>
        <w:ind w:left="4965" w:right="250" w:firstLine="0"/>
        <w:jc w:val="left"/>
        <w:rPr>
          <w:sz w:val="24"/>
        </w:rPr>
      </w:pPr>
      <w:r>
        <w:rPr>
          <w:sz w:val="24"/>
        </w:rPr>
        <w:t>The Committee discussed whether there were any special tactical considerations affecting monetary policy arising from Y2K considerations. Uncertainties about the size of millennium-related effects might make it more difficult than usual to interpret economic data.</w:t>
      </w:r>
    </w:p>
    <w:p>
      <w:pPr>
        <w:spacing w:before="6"/>
        <w:ind w:left="4965" w:right="0" w:firstLine="0"/>
        <w:jc w:val="left"/>
        <w:rPr>
          <w:sz w:val="24"/>
        </w:rPr>
      </w:pPr>
      <w:r>
        <w:rPr>
          <w:sz w:val="24"/>
        </w:rPr>
        <w:t>However, it was considered that the year-end ‘fog’ might</w:t>
      </w:r>
    </w:p>
    <w:p>
      <w:pPr>
        <w:spacing w:after="0"/>
        <w:jc w:val="left"/>
        <w:rPr>
          <w:sz w:val="24"/>
        </w:rPr>
        <w:sectPr>
          <w:headerReference w:type="default" r:id="rId149"/>
          <w:headerReference w:type="even" r:id="rId150"/>
          <w:footerReference w:type="default" r:id="rId151"/>
          <w:footerReference w:type="even" r:id="rId152"/>
          <w:pgSz w:w="11900" w:h="16840"/>
          <w:pgMar w:header="586" w:footer="617" w:top="780" w:bottom="800" w:left="620" w:right="640"/>
          <w:pgNumType w:start="41"/>
        </w:sectPr>
      </w:pPr>
    </w:p>
    <w:p>
      <w:pPr>
        <w:pStyle w:val="BodyText"/>
        <w:rPr>
          <w:sz w:val="20"/>
        </w:rPr>
      </w:pPr>
    </w:p>
    <w:p>
      <w:pPr>
        <w:spacing w:line="242" w:lineRule="auto" w:before="209"/>
        <w:ind w:left="4974" w:right="220" w:firstLine="0"/>
        <w:jc w:val="left"/>
        <w:rPr>
          <w:sz w:val="24"/>
        </w:rPr>
      </w:pPr>
      <w:r>
        <w:rPr>
          <w:sz w:val="24"/>
        </w:rPr>
        <w:t>not be that much thicker than usual, and that millennium factors should not rule out an interest rate change in December or January if that were warranted.</w:t>
      </w:r>
    </w:p>
    <w:p>
      <w:pPr>
        <w:pStyle w:val="BodyText"/>
        <w:rPr>
          <w:sz w:val="23"/>
        </w:rPr>
      </w:pPr>
    </w:p>
    <w:p>
      <w:pPr>
        <w:spacing w:line="242" w:lineRule="auto" w:before="0"/>
        <w:ind w:left="4974" w:right="148" w:firstLine="0"/>
        <w:jc w:val="left"/>
        <w:rPr>
          <w:sz w:val="24"/>
        </w:rPr>
      </w:pPr>
      <w:r>
        <w:rPr>
          <w:sz w:val="24"/>
        </w:rPr>
        <w:t>With regard to the immediate policy decision, there were two broad views within the Committee. Proponents of one view favoured no change, while supporters of the other favoured an immediate rise of 25 basis points.</w:t>
      </w:r>
    </w:p>
    <w:p>
      <w:pPr>
        <w:spacing w:line="242" w:lineRule="auto" w:before="5"/>
        <w:ind w:left="4974" w:right="398" w:firstLine="0"/>
        <w:jc w:val="left"/>
        <w:rPr>
          <w:sz w:val="24"/>
        </w:rPr>
      </w:pPr>
      <w:r>
        <w:rPr>
          <w:sz w:val="24"/>
        </w:rPr>
        <w:t>Those who favoured no change in rates took the view that there was insufficient news to change the stance adopted in November, or thought that although medium-term risks might have increased slightly, the short-term prospects for inflation were at least as weak</w:t>
      </w:r>
    </w:p>
    <w:p>
      <w:pPr>
        <w:spacing w:line="242" w:lineRule="auto" w:before="6"/>
        <w:ind w:left="4974" w:right="0" w:firstLine="0"/>
        <w:jc w:val="left"/>
        <w:rPr>
          <w:sz w:val="24"/>
        </w:rPr>
      </w:pPr>
      <w:r>
        <w:rPr>
          <w:sz w:val="24"/>
        </w:rPr>
        <w:t>as in the November projection, so that further tightening could not be justified. It was thought sensible to wait for more information to emerge before taking any further action. The case for a rise was partly based on the assessment that the news over the month increased the likelihood of higher inflation beyond the short run.</w:t>
      </w:r>
    </w:p>
    <w:p>
      <w:pPr>
        <w:spacing w:line="242" w:lineRule="auto" w:before="8"/>
        <w:ind w:left="4974" w:right="185" w:firstLine="0"/>
        <w:jc w:val="left"/>
        <w:rPr>
          <w:sz w:val="24"/>
        </w:rPr>
      </w:pPr>
      <w:r>
        <w:rPr>
          <w:sz w:val="24"/>
        </w:rPr>
        <w:t>World demand prospects had improved and UK consumption was looking stronger than expected. The November projection had anyway been for a rising inflation profile at the two-year horizon. On this view, the risks of a monetary policy mistake were mainly on the upside. The Committee voted to maintain the Bank’s repo rate at 5.5%.</w:t>
      </w:r>
    </w:p>
    <w:p>
      <w:pPr>
        <w:pStyle w:val="BodyText"/>
        <w:spacing w:before="4"/>
        <w:rPr>
          <w:sz w:val="23"/>
        </w:rPr>
      </w:pPr>
    </w:p>
    <w:p>
      <w:pPr>
        <w:spacing w:line="242" w:lineRule="auto" w:before="0"/>
        <w:ind w:left="4974" w:right="148" w:firstLine="0"/>
        <w:jc w:val="left"/>
        <w:rPr>
          <w:sz w:val="24"/>
        </w:rPr>
      </w:pPr>
      <w:hyperlink w:history="true" w:anchor="_bookmark38">
        <w:r>
          <w:rPr>
            <w:sz w:val="24"/>
          </w:rPr>
          <w:t>At its meeting on 12–13 January,</w:t>
        </w:r>
      </w:hyperlink>
      <w:r>
        <w:rPr>
          <w:sz w:val="24"/>
        </w:rPr>
        <w:t> the Committee again discussed news about the progress of the world economy since the November </w:t>
      </w:r>
      <w:r>
        <w:rPr>
          <w:i/>
          <w:sz w:val="24"/>
        </w:rPr>
        <w:t>Report</w:t>
      </w:r>
      <w:r>
        <w:rPr>
          <w:sz w:val="24"/>
        </w:rPr>
        <w:t>. Activity in Asia (other than Japan) and the euro area had strengthened perceptibly, and the euro area was the single most important market for UK exports. US GDP growth had remained very strong in Q3 and consumer confidence had risen to a</w:t>
      </w:r>
    </w:p>
    <w:p>
      <w:pPr>
        <w:spacing w:line="242" w:lineRule="auto" w:before="9"/>
        <w:ind w:left="4974" w:right="179" w:firstLine="0"/>
        <w:jc w:val="left"/>
        <w:rPr>
          <w:sz w:val="24"/>
        </w:rPr>
      </w:pPr>
      <w:r>
        <w:rPr>
          <w:sz w:val="24"/>
        </w:rPr>
        <w:t>30-year high. The US labour market continued to be tight, but there were few signs that higher oil and other commodity prices had been passed through to US retail prices. Higher equity prices may </w:t>
      </w:r>
      <w:r>
        <w:rPr>
          <w:spacing w:val="-3"/>
          <w:sz w:val="24"/>
        </w:rPr>
        <w:t>have </w:t>
      </w:r>
      <w:r>
        <w:rPr>
          <w:sz w:val="24"/>
        </w:rPr>
        <w:t>been reflecting assessments of higher growth prospects, but it remained possible that the stock market was overvalued. The downside risks from a potential stock market correction and from a disorderly adjustment to the growing US trade deficit, for example via a potential fall in the </w:t>
      </w:r>
      <w:r>
        <w:rPr>
          <w:spacing w:val="-5"/>
          <w:sz w:val="24"/>
        </w:rPr>
        <w:t>dollar, </w:t>
      </w:r>
      <w:r>
        <w:rPr>
          <w:sz w:val="24"/>
        </w:rPr>
        <w:t>remained significant. But these risks had been present for some time, and there was not much new information on these issues. Overall, the outlook for world economic growth was now stronger than it had been at the time of the November</w:t>
      </w:r>
      <w:r>
        <w:rPr>
          <w:spacing w:val="-2"/>
          <w:sz w:val="24"/>
        </w:rPr>
        <w:t> </w:t>
      </w:r>
      <w:r>
        <w:rPr>
          <w:i/>
          <w:sz w:val="24"/>
        </w:rPr>
        <w:t>Report</w:t>
      </w:r>
      <w:r>
        <w:rPr>
          <w:sz w:val="24"/>
        </w:rPr>
        <w:t>.</w:t>
      </w:r>
    </w:p>
    <w:p>
      <w:pPr>
        <w:pStyle w:val="BodyText"/>
        <w:spacing w:before="2"/>
        <w:rPr>
          <w:sz w:val="24"/>
        </w:rPr>
      </w:pPr>
    </w:p>
    <w:p>
      <w:pPr>
        <w:spacing w:line="242" w:lineRule="auto" w:before="0"/>
        <w:ind w:left="4974" w:right="0" w:firstLine="0"/>
        <w:jc w:val="left"/>
        <w:rPr>
          <w:sz w:val="24"/>
        </w:rPr>
      </w:pPr>
      <w:r>
        <w:rPr>
          <w:sz w:val="24"/>
        </w:rPr>
        <w:t>In the December National Accounts release, the level of UK GDP in 1999 Q3 was much as expected in the November </w:t>
      </w:r>
      <w:r>
        <w:rPr>
          <w:i/>
          <w:sz w:val="24"/>
        </w:rPr>
        <w:t>Report</w:t>
      </w:r>
      <w:r>
        <w:rPr>
          <w:sz w:val="24"/>
        </w:rPr>
        <w:t>, but the pattern and composition of</w:t>
      </w:r>
    </w:p>
    <w:p>
      <w:pPr>
        <w:spacing w:after="0" w:line="242" w:lineRule="auto"/>
        <w:jc w:val="left"/>
        <w:rPr>
          <w:sz w:val="24"/>
        </w:rPr>
        <w:sectPr>
          <w:pgSz w:w="11900" w:h="16840"/>
          <w:pgMar w:header="586" w:footer="597" w:top="780" w:bottom="780" w:left="620" w:right="640"/>
        </w:sectPr>
      </w:pPr>
    </w:p>
    <w:p>
      <w:pPr>
        <w:pStyle w:val="BodyText"/>
        <w:rPr>
          <w:sz w:val="20"/>
        </w:rPr>
      </w:pPr>
    </w:p>
    <w:p>
      <w:pPr>
        <w:spacing w:line="242" w:lineRule="auto" w:before="224"/>
        <w:ind w:left="4965" w:right="176" w:firstLine="0"/>
        <w:jc w:val="left"/>
        <w:rPr>
          <w:sz w:val="24"/>
        </w:rPr>
      </w:pPr>
      <w:r>
        <w:rPr>
          <w:sz w:val="24"/>
        </w:rPr>
        <w:t>growth in the previous quarters had altered a little. Growth in 1998 Q4 had been revised down, but figures for the first two quarters of 1999 had been revised up. Manufacturing and industrial production grew faster in Q3 than service sector output, but it was possible that the relative slowdown in service sector growth—observed particularly in financial and business services—was partly millennium-related. Final domestic demand growth had slowed somewhat in Q3, but net external demand had picked up considerably in Q2 and Q3.</w:t>
      </w:r>
    </w:p>
    <w:p>
      <w:pPr>
        <w:spacing w:line="242" w:lineRule="auto" w:before="13"/>
        <w:ind w:left="4965" w:right="167" w:firstLine="0"/>
        <w:jc w:val="left"/>
        <w:rPr>
          <w:sz w:val="24"/>
        </w:rPr>
      </w:pPr>
      <w:r>
        <w:rPr>
          <w:sz w:val="24"/>
        </w:rPr>
        <w:t>Consumer spending prospects—as indicated by disposable income growth, wealth increases and consumer confidence—seemed to be for robust growth. This assessment was also supported by data on lending for consumption (unsecured lending to individuals plus mortgage equity withdrawal), which had shown a sharp rise. Narrow money had also grown strongly, very probably on account of abnormal millennium-related effects at the year-end, which the Committee expected to unwind during January with no implications for activity or inflation.</w:t>
      </w:r>
    </w:p>
    <w:p>
      <w:pPr>
        <w:pStyle w:val="BodyText"/>
        <w:spacing w:before="3"/>
        <w:rPr>
          <w:sz w:val="27"/>
        </w:rPr>
      </w:pPr>
    </w:p>
    <w:p>
      <w:pPr>
        <w:spacing w:line="242" w:lineRule="auto" w:before="1"/>
        <w:ind w:left="4965" w:right="195" w:firstLine="0"/>
        <w:jc w:val="left"/>
        <w:rPr>
          <w:sz w:val="24"/>
        </w:rPr>
      </w:pPr>
      <w:r>
        <w:rPr>
          <w:sz w:val="24"/>
        </w:rPr>
        <w:t>UK employment had continued to increase and unemployment had fallen further, but most of the accounting counterpart of the increase in employment seemed to </w:t>
      </w:r>
      <w:r>
        <w:rPr>
          <w:spacing w:val="-3"/>
          <w:sz w:val="24"/>
        </w:rPr>
        <w:t>have </w:t>
      </w:r>
      <w:r>
        <w:rPr>
          <w:sz w:val="24"/>
        </w:rPr>
        <w:t>come from a fall in inactivity. The </w:t>
      </w:r>
      <w:r>
        <w:rPr>
          <w:spacing w:val="-3"/>
          <w:sz w:val="24"/>
        </w:rPr>
        <w:t>Bank’s </w:t>
      </w:r>
      <w:r>
        <w:rPr>
          <w:sz w:val="24"/>
        </w:rPr>
        <w:t>regional Agents continued to report increases in skill shortages in some areas, but the Committee recalled that the October CBI survey indicated that skilled labour shortages in manufacturing remained below historical averages. Forward-looking survey evidence suggested further moderate growth in employment in the near </w:t>
      </w:r>
      <w:r>
        <w:rPr>
          <w:spacing w:val="-4"/>
          <w:sz w:val="24"/>
        </w:rPr>
        <w:t>term. </w:t>
      </w:r>
      <w:r>
        <w:rPr>
          <w:sz w:val="24"/>
        </w:rPr>
        <w:t>Overall, the evidence seemed to be of continued tightness and perhaps further tightening of the labour market. The headline measure of whole-economy earnings growth had risen to 4.9% in the year to October, above the level expected, hence the Committee considered that the earnings profile projected in November might need to be raised. It was possible that there were some erratic influences on the latest data, but continued high levels of earnings growth would tend to put upward pressure on inflation if not matched by a significant pick-up in productivity</w:t>
      </w:r>
      <w:r>
        <w:rPr>
          <w:spacing w:val="-3"/>
          <w:sz w:val="24"/>
        </w:rPr>
        <w:t> </w:t>
      </w:r>
      <w:r>
        <w:rPr>
          <w:sz w:val="24"/>
        </w:rPr>
        <w:t>growth.</w:t>
      </w:r>
    </w:p>
    <w:p>
      <w:pPr>
        <w:pStyle w:val="BodyText"/>
        <w:spacing w:before="4"/>
        <w:rPr>
          <w:sz w:val="28"/>
        </w:rPr>
      </w:pPr>
    </w:p>
    <w:p>
      <w:pPr>
        <w:spacing w:line="242" w:lineRule="auto" w:before="0"/>
        <w:ind w:left="4965" w:right="237" w:firstLine="0"/>
        <w:jc w:val="left"/>
        <w:rPr>
          <w:sz w:val="24"/>
        </w:rPr>
      </w:pPr>
      <w:r>
        <w:rPr>
          <w:sz w:val="24"/>
        </w:rPr>
        <w:t>RPIX growth had remained below target in November, despite the growth in earnings and higher commodity prices (especially oil). Part of the explanation was the strength of sterling, but downward pressure on prices due to greater competitive forces might also have been a factor. There was a range of views about how large and how long-lasting such effects might be.</w:t>
      </w:r>
    </w:p>
    <w:p>
      <w:pPr>
        <w:spacing w:after="0" w:line="242" w:lineRule="auto"/>
        <w:jc w:val="left"/>
        <w:rPr>
          <w:sz w:val="24"/>
        </w:rPr>
        <w:sectPr>
          <w:pgSz w:w="11900" w:h="16840"/>
          <w:pgMar w:header="586" w:footer="617" w:top="780" w:bottom="800" w:left="620" w:right="640"/>
        </w:sectPr>
      </w:pPr>
    </w:p>
    <w:p>
      <w:pPr>
        <w:pStyle w:val="BodyText"/>
        <w:rPr>
          <w:sz w:val="20"/>
        </w:rPr>
      </w:pPr>
    </w:p>
    <w:p>
      <w:pPr>
        <w:spacing w:line="242" w:lineRule="auto" w:before="207"/>
        <w:ind w:left="4974" w:right="235" w:firstLine="0"/>
        <w:jc w:val="left"/>
        <w:rPr>
          <w:sz w:val="24"/>
        </w:rPr>
      </w:pPr>
      <w:r>
        <w:rPr>
          <w:sz w:val="24"/>
        </w:rPr>
        <w:t>The Committee returned to the issue of whether millennium considerations should influence the monetary policy decision. It was noted that it might be some time before all the distortions to the data were unwound. But such distortions as there were did not seem to be that large relative to normal data uncertainty around the year-end, and there was no strong argument for avoiding a change in monetary policy stance if new information pointed to the need for such a change.</w:t>
      </w:r>
    </w:p>
    <w:p>
      <w:pPr>
        <w:pStyle w:val="BodyText"/>
        <w:spacing w:before="4"/>
        <w:rPr>
          <w:sz w:val="25"/>
        </w:rPr>
      </w:pPr>
    </w:p>
    <w:p>
      <w:pPr>
        <w:spacing w:line="242" w:lineRule="auto" w:before="0"/>
        <w:ind w:left="4974" w:right="154" w:firstLine="0"/>
        <w:jc w:val="left"/>
        <w:rPr>
          <w:sz w:val="24"/>
        </w:rPr>
      </w:pPr>
      <w:r>
        <w:rPr>
          <w:sz w:val="24"/>
        </w:rPr>
        <w:t>On the immediate policy decision, it seemed clear that the balance of news for prospective medium-term inflation over the past month was on the upside, even though final domestic demand growth had recently slowed and RPIX inflation was below target and seemed likely to remain so for some time. Growth prospects had improved for the United Kingdom’s main trading partners, and the determinants of domestic demand, such as wealth, labour income and consumer borrowing, were also looking buoyant. The deterioration in medium-term inflation prospects reflected developing pressures in the labour market and on productive capacity. All members of the Committee were of the view that higher interest rates were now needed. The Committee voted to increase the Bank’s repo rate from 5.5% to 5.75%.</w:t>
      </w:r>
    </w:p>
    <w:p>
      <w:pPr>
        <w:pStyle w:val="BodyText"/>
        <w:rPr>
          <w:sz w:val="26"/>
        </w:rPr>
      </w:pPr>
    </w:p>
    <w:p>
      <w:pPr>
        <w:spacing w:line="242" w:lineRule="auto" w:before="0"/>
        <w:ind w:left="4974" w:right="0" w:firstLine="0"/>
        <w:jc w:val="left"/>
        <w:rPr>
          <w:sz w:val="24"/>
        </w:rPr>
      </w:pPr>
      <w:hyperlink w:history="true" w:anchor="_bookmark40">
        <w:r>
          <w:rPr>
            <w:sz w:val="24"/>
          </w:rPr>
          <w:t>At its meeting on 9–10 February,</w:t>
        </w:r>
      </w:hyperlink>
      <w:r>
        <w:rPr>
          <w:sz w:val="24"/>
        </w:rPr>
        <w:t> the Committee voted to raise the Bank’s repo rate from 5.75% to 6%.</w:t>
      </w:r>
    </w:p>
    <w:p>
      <w:pPr>
        <w:spacing w:after="0" w:line="242" w:lineRule="auto"/>
        <w:jc w:val="left"/>
        <w:rPr>
          <w:sz w:val="24"/>
        </w:rPr>
        <w:sectPr>
          <w:pgSz w:w="11900" w:h="16840"/>
          <w:pgMar w:header="586" w:footer="597" w:top="780" w:bottom="780" w:left="620" w:right="640"/>
        </w:sectPr>
      </w:pPr>
    </w:p>
    <w:p>
      <w:pPr>
        <w:pStyle w:val="BodyText"/>
        <w:spacing w:line="20" w:lineRule="exact"/>
        <w:ind w:left="148"/>
        <w:rPr>
          <w:sz w:val="2"/>
        </w:rPr>
      </w:pPr>
      <w:r>
        <w:rPr>
          <w:sz w:val="2"/>
        </w:rPr>
        <w:pict>
          <v:group style="width:517pt;height:.15pt;mso-position-horizontal-relative:char;mso-position-vertical-relative:line" coordorigin="0,0" coordsize="10340,3">
            <v:line style="position:absolute" from="0,1" to="10340,1" stroked="true" strokeweight=".125pt" strokecolor="#231f20">
              <v:stroke dashstyle="solid"/>
            </v:line>
          </v:group>
        </w:pict>
      </w:r>
      <w:r>
        <w:rPr>
          <w:sz w:val="2"/>
        </w:rPr>
      </w:r>
    </w:p>
    <w:p>
      <w:pPr>
        <w:pStyle w:val="BodyText"/>
        <w:rPr>
          <w:sz w:val="20"/>
        </w:rPr>
      </w:pPr>
    </w:p>
    <w:p>
      <w:pPr>
        <w:pStyle w:val="BodyText"/>
        <w:spacing w:before="10"/>
        <w:rPr>
          <w:sz w:val="17"/>
        </w:rPr>
      </w:pPr>
      <w:r>
        <w:rPr/>
        <w:pict>
          <v:shape style="position:absolute;margin-left:39.540001pt;margin-top:11.500977pt;width:516pt;height:48pt;mso-position-horizontal-relative:page;mso-position-vertical-relative:paragraph;z-index:-15202304;mso-wrap-distance-left:0;mso-wrap-distance-right:0" type="#_x0000_t202" filled="true" fillcolor="#b5dad6" stroked="false">
            <v:textbox inset="0,0,0,0">
              <w:txbxContent>
                <w:p>
                  <w:pPr>
                    <w:tabs>
                      <w:tab w:pos="10099" w:val="right" w:leader="none"/>
                    </w:tabs>
                    <w:spacing w:before="40"/>
                    <w:ind w:left="260" w:right="0" w:firstLine="0"/>
                    <w:jc w:val="left"/>
                    <w:rPr>
                      <w:b/>
                      <w:sz w:val="72"/>
                    </w:rPr>
                  </w:pPr>
                  <w:bookmarkStart w:name="Prospects for inflation" w:id="70"/>
                  <w:bookmarkEnd w:id="70"/>
                  <w:r>
                    <w:rPr/>
                  </w:r>
                  <w:bookmarkStart w:name="The inflation projection assumptions" w:id="71"/>
                  <w:bookmarkEnd w:id="71"/>
                  <w:r>
                    <w:rPr/>
                  </w:r>
                  <w:bookmarkStart w:name="_bookmark28" w:id="72"/>
                  <w:bookmarkEnd w:id="72"/>
                  <w:r>
                    <w:rPr/>
                  </w:r>
                  <w:r>
                    <w:rPr>
                      <w:b/>
                      <w:color w:val="009483"/>
                      <w:sz w:val="48"/>
                    </w:rPr>
                    <w:t>Prospects</w:t>
                  </w:r>
                  <w:r>
                    <w:rPr>
                      <w:b/>
                      <w:color w:val="009483"/>
                      <w:spacing w:val="-1"/>
                      <w:sz w:val="48"/>
                    </w:rPr>
                    <w:t> </w:t>
                  </w:r>
                  <w:r>
                    <w:rPr>
                      <w:b/>
                      <w:color w:val="009483"/>
                      <w:sz w:val="48"/>
                    </w:rPr>
                    <w:t>for inflation</w:t>
                    <w:tab/>
                  </w:r>
                  <w:r>
                    <w:rPr>
                      <w:b/>
                      <w:color w:val="009483"/>
                      <w:sz w:val="72"/>
                    </w:rPr>
                    <w:t>6</w:t>
                  </w:r>
                </w:p>
              </w:txbxContent>
            </v:textbox>
            <v:fill type="solid"/>
            <w10:wrap type="topAndBottom"/>
          </v:shape>
        </w:pict>
      </w:r>
    </w:p>
    <w:p>
      <w:pPr>
        <w:pStyle w:val="BodyText"/>
        <w:rPr>
          <w:sz w:val="20"/>
        </w:rPr>
      </w:pPr>
    </w:p>
    <w:p>
      <w:pPr>
        <w:pStyle w:val="BodyText"/>
        <w:rPr>
          <w:sz w:val="20"/>
        </w:rPr>
      </w:pPr>
    </w:p>
    <w:p>
      <w:pPr>
        <w:pStyle w:val="Heading3"/>
        <w:tabs>
          <w:tab w:pos="5860" w:val="left" w:leader="none"/>
          <w:tab w:pos="10469" w:val="left" w:leader="none"/>
        </w:tabs>
        <w:spacing w:before="205"/>
        <w:ind w:left="4969"/>
      </w:pPr>
      <w:r>
        <w:rPr>
          <w:color w:val="009483"/>
          <w:u w:val="thick" w:color="0093C1"/>
        </w:rPr>
        <w:t>6.1</w:t>
        <w:tab/>
        <w:t>The inflation projection</w:t>
      </w:r>
      <w:r>
        <w:rPr>
          <w:color w:val="009483"/>
          <w:spacing w:val="-6"/>
          <w:u w:val="thick" w:color="0093C1"/>
        </w:rPr>
        <w:t> </w:t>
      </w:r>
      <w:r>
        <w:rPr>
          <w:color w:val="009483"/>
          <w:u w:val="thick" w:color="0093C1"/>
        </w:rPr>
        <w:t>assumptions</w:t>
        <w:tab/>
      </w:r>
    </w:p>
    <w:p>
      <w:pPr>
        <w:spacing w:before="260"/>
        <w:ind w:left="4969" w:right="0" w:firstLine="0"/>
        <w:jc w:val="left"/>
        <w:rPr>
          <w:sz w:val="24"/>
        </w:rPr>
      </w:pPr>
      <w:r>
        <w:rPr>
          <w:color w:val="231F20"/>
          <w:sz w:val="24"/>
        </w:rPr>
        <w:t>The Committee approved this </w:t>
      </w:r>
      <w:r>
        <w:rPr>
          <w:i/>
          <w:color w:val="231F20"/>
          <w:sz w:val="24"/>
        </w:rPr>
        <w:t>Report </w:t>
      </w:r>
      <w:r>
        <w:rPr>
          <w:color w:val="231F20"/>
          <w:sz w:val="24"/>
        </w:rPr>
        <w:t>on 11 February.</w:t>
      </w:r>
    </w:p>
    <w:p>
      <w:pPr>
        <w:spacing w:line="242" w:lineRule="auto" w:before="4"/>
        <w:ind w:left="4968" w:right="197" w:firstLine="0"/>
        <w:jc w:val="left"/>
        <w:rPr>
          <w:sz w:val="24"/>
        </w:rPr>
      </w:pPr>
      <w:r>
        <w:rPr>
          <w:color w:val="231F20"/>
          <w:sz w:val="24"/>
        </w:rPr>
        <w:t>It contains the Committee’s assessment of developments in the economy since November and prospects for the </w:t>
      </w:r>
      <w:hyperlink w:history="true" w:anchor="_bookmark30">
        <w:r>
          <w:rPr>
            <w:color w:val="231F20"/>
            <w:sz w:val="24"/>
          </w:rPr>
          <w:t>medium term. Charts 6.1</w:t>
        </w:r>
      </w:hyperlink>
      <w:r>
        <w:rPr>
          <w:color w:val="231F20"/>
          <w:sz w:val="24"/>
        </w:rPr>
        <w:t> and </w:t>
      </w:r>
      <w:hyperlink w:history="true" w:anchor="_bookmark31">
        <w:r>
          <w:rPr>
            <w:color w:val="231F20"/>
            <w:sz w:val="24"/>
          </w:rPr>
          <w:t>6.2</w:t>
        </w:r>
      </w:hyperlink>
      <w:r>
        <w:rPr>
          <w:color w:val="231F20"/>
          <w:sz w:val="24"/>
        </w:rPr>
        <w:t> below show projections for GDP growth and RPIX inflation up to two years ahead, and the uncertainties surrounding</w:t>
      </w:r>
      <w:r>
        <w:rPr>
          <w:color w:val="231F20"/>
          <w:spacing w:val="3"/>
          <w:sz w:val="24"/>
        </w:rPr>
        <w:t> </w:t>
      </w:r>
      <w:r>
        <w:rPr>
          <w:color w:val="231F20"/>
          <w:spacing w:val="-4"/>
          <w:sz w:val="24"/>
        </w:rPr>
        <w:t>them.</w:t>
      </w:r>
    </w:p>
    <w:p>
      <w:pPr>
        <w:spacing w:line="242" w:lineRule="auto" w:before="6"/>
        <w:ind w:left="4968" w:right="270" w:firstLine="0"/>
        <w:jc w:val="left"/>
        <w:rPr>
          <w:sz w:val="24"/>
        </w:rPr>
      </w:pPr>
      <w:r>
        <w:rPr>
          <w:color w:val="231F20"/>
          <w:sz w:val="24"/>
        </w:rPr>
        <w:t>The projections assume that the </w:t>
      </w:r>
      <w:r>
        <w:rPr>
          <w:color w:val="231F20"/>
          <w:spacing w:val="-3"/>
          <w:sz w:val="24"/>
        </w:rPr>
        <w:t>Bank’s </w:t>
      </w:r>
      <w:r>
        <w:rPr>
          <w:color w:val="231F20"/>
          <w:sz w:val="24"/>
        </w:rPr>
        <w:t>repo interest rate will remain unchanged at 6% during the next two years, and are conditioned on the assumptions described </w:t>
      </w:r>
      <w:r>
        <w:rPr>
          <w:color w:val="231F20"/>
          <w:spacing w:val="-3"/>
          <w:sz w:val="24"/>
        </w:rPr>
        <w:t>below.</w:t>
      </w:r>
    </w:p>
    <w:p>
      <w:pPr>
        <w:pStyle w:val="BodyText"/>
        <w:rPr>
          <w:sz w:val="30"/>
        </w:rPr>
      </w:pPr>
    </w:p>
    <w:p>
      <w:pPr>
        <w:spacing w:line="242" w:lineRule="auto" w:before="0"/>
        <w:ind w:left="4968" w:right="204" w:firstLine="0"/>
        <w:jc w:val="left"/>
        <w:rPr>
          <w:sz w:val="24"/>
        </w:rPr>
      </w:pPr>
      <w:r>
        <w:rPr>
          <w:color w:val="231F20"/>
          <w:sz w:val="24"/>
        </w:rPr>
        <w:t>There has been a further improvement in the prospects for world activity since the November </w:t>
      </w:r>
      <w:r>
        <w:rPr>
          <w:i/>
          <w:color w:val="231F20"/>
          <w:sz w:val="24"/>
        </w:rPr>
        <w:t>Report</w:t>
      </w:r>
      <w:r>
        <w:rPr>
          <w:color w:val="231F20"/>
          <w:sz w:val="24"/>
        </w:rPr>
        <w:t>. Output growth in the United States in the second half of 1999 exceeded expectations, and the near-term outlook remains strong. The Committee continues to expect a slowdown in US output growth over the next two years, although there remains considerable uncertainty on its timing and magnitude. Output growth in the euro area has picked up more quickly than expected in November. Forward-looking indicators, such as business confidence and orders, have risen further, supporting the recovery built into the projection. Recent indicators on the Japanese economy have been mixed, but have not significantly altered the broad outlook. There has been </w:t>
      </w:r>
      <w:r>
        <w:rPr>
          <w:color w:val="231F20"/>
          <w:spacing w:val="-17"/>
          <w:sz w:val="24"/>
        </w:rPr>
        <w:t>a </w:t>
      </w:r>
      <w:r>
        <w:rPr>
          <w:color w:val="231F20"/>
          <w:sz w:val="24"/>
        </w:rPr>
        <w:t>further pick-up in activity in a number of emerging market economies, and prospects have improved over the past three months. Trade flows, within Asia in particular, have risen sharply in recent months. </w:t>
      </w:r>
      <w:r>
        <w:rPr>
          <w:color w:val="231F20"/>
          <w:spacing w:val="-3"/>
          <w:sz w:val="24"/>
        </w:rPr>
        <w:t>Taking </w:t>
      </w:r>
      <w:r>
        <w:rPr>
          <w:color w:val="231F20"/>
          <w:sz w:val="24"/>
        </w:rPr>
        <w:t>these developments together, the MPC has made a further upward revision to its central projection for world output and trade. The most likely outcome is that growth in UK-weighted export markets will rise from around 5</w:t>
      </w:r>
      <w:r>
        <w:rPr>
          <w:color w:val="231F20"/>
          <w:position w:val="8"/>
          <w:sz w:val="12"/>
        </w:rPr>
        <w:t>1</w:t>
      </w:r>
      <w:r>
        <w:rPr>
          <w:color w:val="231F20"/>
          <w:sz w:val="24"/>
        </w:rPr>
        <w:t>/</w:t>
      </w:r>
      <w:r>
        <w:rPr>
          <w:color w:val="231F20"/>
          <w:sz w:val="12"/>
        </w:rPr>
        <w:t>2</w:t>
      </w:r>
      <w:r>
        <w:rPr>
          <w:color w:val="231F20"/>
          <w:sz w:val="24"/>
        </w:rPr>
        <w:t>% in 1999 to around 7</w:t>
      </w:r>
      <w:r>
        <w:rPr>
          <w:color w:val="231F20"/>
          <w:position w:val="8"/>
          <w:sz w:val="12"/>
        </w:rPr>
        <w:t>1</w:t>
      </w:r>
      <w:r>
        <w:rPr>
          <w:color w:val="231F20"/>
          <w:sz w:val="24"/>
        </w:rPr>
        <w:t>/</w:t>
      </w:r>
      <w:r>
        <w:rPr>
          <w:color w:val="231F20"/>
          <w:sz w:val="12"/>
        </w:rPr>
        <w:t>2</w:t>
      </w:r>
      <w:r>
        <w:rPr>
          <w:color w:val="231F20"/>
          <w:sz w:val="24"/>
        </w:rPr>
        <w:t>% this year, before falling back a little in 2001.</w:t>
      </w:r>
    </w:p>
    <w:p>
      <w:pPr>
        <w:pStyle w:val="BodyText"/>
        <w:spacing w:before="2"/>
        <w:rPr>
          <w:sz w:val="32"/>
        </w:rPr>
      </w:pPr>
    </w:p>
    <w:p>
      <w:pPr>
        <w:spacing w:line="242" w:lineRule="auto" w:before="1"/>
        <w:ind w:left="4969" w:right="398" w:firstLine="0"/>
        <w:jc w:val="left"/>
        <w:rPr>
          <w:sz w:val="24"/>
        </w:rPr>
      </w:pPr>
      <w:r>
        <w:rPr>
          <w:color w:val="231F20"/>
          <w:sz w:val="24"/>
        </w:rPr>
        <w:t>There remain a number of risks to the world outlook and, while the central projection for world activity has been raised since November, the Committee continues to judge that the risks around this projection are weighted to the downside. A sharper-than-expected slowdown in the United States poses the largest</w:t>
      </w:r>
    </w:p>
    <w:p>
      <w:pPr>
        <w:spacing w:before="7"/>
        <w:ind w:left="4969" w:right="0" w:firstLine="0"/>
        <w:jc w:val="left"/>
        <w:rPr>
          <w:sz w:val="24"/>
        </w:rPr>
      </w:pPr>
      <w:r>
        <w:rPr>
          <w:color w:val="231F20"/>
          <w:sz w:val="24"/>
        </w:rPr>
        <w:t>risk.</w:t>
      </w:r>
    </w:p>
    <w:p>
      <w:pPr>
        <w:spacing w:after="0"/>
        <w:jc w:val="left"/>
        <w:rPr>
          <w:sz w:val="24"/>
        </w:rPr>
        <w:sectPr>
          <w:headerReference w:type="default" r:id="rId153"/>
          <w:footerReference w:type="default" r:id="rId154"/>
          <w:footerReference w:type="even" r:id="rId155"/>
          <w:pgSz w:w="11900" w:h="16840"/>
          <w:pgMar w:header="0" w:footer="617" w:top="780" w:bottom="800" w:left="620" w:right="640"/>
          <w:pgNumType w:start="45"/>
        </w:sectPr>
      </w:pPr>
    </w:p>
    <w:p>
      <w:pPr>
        <w:pStyle w:val="BodyText"/>
        <w:rPr>
          <w:sz w:val="20"/>
        </w:rPr>
      </w:pPr>
    </w:p>
    <w:p>
      <w:pPr>
        <w:spacing w:line="242" w:lineRule="auto" w:before="226"/>
        <w:ind w:left="4983" w:right="0" w:firstLine="0"/>
        <w:jc w:val="left"/>
        <w:rPr>
          <w:sz w:val="24"/>
        </w:rPr>
      </w:pPr>
      <w:r>
        <w:rPr>
          <w:color w:val="231F20"/>
          <w:sz w:val="24"/>
        </w:rPr>
        <w:t>Commodity prices have, on balance, been higher than projected at the time of the November </w:t>
      </w:r>
      <w:r>
        <w:rPr>
          <w:i/>
          <w:color w:val="231F20"/>
          <w:sz w:val="24"/>
        </w:rPr>
        <w:t>Report</w:t>
      </w:r>
      <w:r>
        <w:rPr>
          <w:color w:val="231F20"/>
          <w:sz w:val="24"/>
        </w:rPr>
        <w:t>. Oil prices have been higher than assumed earlier, as market conditions have tightened further. The pick-up in</w:t>
      </w:r>
    </w:p>
    <w:p>
      <w:pPr>
        <w:spacing w:line="242" w:lineRule="auto" w:before="5"/>
        <w:ind w:left="4983" w:right="285" w:firstLine="0"/>
        <w:jc w:val="left"/>
        <w:rPr>
          <w:sz w:val="24"/>
        </w:rPr>
      </w:pPr>
      <w:r>
        <w:rPr>
          <w:color w:val="231F20"/>
          <w:sz w:val="24"/>
        </w:rPr>
        <w:t>non-oil commodity prices in the final quarter of last year was also somewhat stronger than projected in November, as food prices rose for the first time in more than two years. However, stronger-than-expected commodity prices have not been translated into a</w:t>
      </w:r>
    </w:p>
    <w:p>
      <w:pPr>
        <w:spacing w:line="242" w:lineRule="auto" w:before="6"/>
        <w:ind w:left="4983" w:right="152" w:firstLine="0"/>
        <w:jc w:val="left"/>
        <w:rPr>
          <w:sz w:val="24"/>
        </w:rPr>
      </w:pPr>
      <w:r>
        <w:rPr>
          <w:color w:val="231F20"/>
          <w:sz w:val="24"/>
        </w:rPr>
        <w:t>larger-than-expected increase in output prices. Indeed, reflecting a continuation of strong competition in global markets, prices of manufactured goods and traded services in the third quarter of 1999 were slightly weaker in local currency terms than projected in November.</w:t>
      </w:r>
    </w:p>
    <w:p>
      <w:pPr>
        <w:pStyle w:val="BodyText"/>
        <w:spacing w:before="10"/>
        <w:rPr>
          <w:sz w:val="31"/>
        </w:rPr>
      </w:pPr>
    </w:p>
    <w:p>
      <w:pPr>
        <w:spacing w:line="242" w:lineRule="auto" w:before="0"/>
        <w:ind w:left="4983" w:right="185" w:firstLine="0"/>
        <w:jc w:val="left"/>
        <w:rPr>
          <w:sz w:val="24"/>
        </w:rPr>
      </w:pPr>
      <w:r>
        <w:rPr>
          <w:color w:val="231F20"/>
          <w:sz w:val="24"/>
        </w:rPr>
        <w:t>The Committee expects these competitive pressures to persist, and the outlook for world inflation is little changed from November, despite the improved outlook for world activity and higher oil prices.  The projected oil price profile for the next two years has been raised, reflecting recent higher outturns, although the central assumption is that the oil price gradually falls back from current levels to around $18 per barrel for Brent crude oil—the same level as at the end of the November projection—by the first quarter of 2002. Reflecting the stronger outlook for world growth, the Committee now assumes a faster rise in non-oil commodity prices this </w:t>
      </w:r>
      <w:r>
        <w:rPr>
          <w:color w:val="231F20"/>
          <w:spacing w:val="-3"/>
          <w:sz w:val="24"/>
        </w:rPr>
        <w:t>year. </w:t>
      </w:r>
      <w:r>
        <w:rPr>
          <w:color w:val="231F20"/>
          <w:sz w:val="24"/>
        </w:rPr>
        <w:t>Rising commodity prices are likely to feed </w:t>
      </w:r>
      <w:r>
        <w:rPr>
          <w:color w:val="231F20"/>
          <w:spacing w:val="-3"/>
          <w:sz w:val="24"/>
        </w:rPr>
        <w:t>through </w:t>
      </w:r>
      <w:r>
        <w:rPr>
          <w:color w:val="231F20"/>
          <w:sz w:val="24"/>
        </w:rPr>
        <w:t>to higher world prices of manufactured goods and traded services, which are expected to rise in line with the rates of increase projected at the time of the November </w:t>
      </w:r>
      <w:r>
        <w:rPr>
          <w:i/>
          <w:color w:val="231F20"/>
          <w:sz w:val="24"/>
        </w:rPr>
        <w:t>Report</w:t>
      </w:r>
      <w:r>
        <w:rPr>
          <w:color w:val="231F20"/>
          <w:sz w:val="24"/>
        </w:rPr>
        <w:t>. But, reflecting the lower starting-point, the projected level of world export prices is lower than assumed in November. The risks around the projection for world prices are broadly neutral.  There is a downside risk given the risk of weaker world</w:t>
      </w:r>
      <w:r>
        <w:rPr>
          <w:color w:val="231F20"/>
          <w:spacing w:val="-10"/>
          <w:sz w:val="24"/>
        </w:rPr>
        <w:t> </w:t>
      </w:r>
      <w:r>
        <w:rPr>
          <w:color w:val="231F20"/>
          <w:sz w:val="24"/>
        </w:rPr>
        <w:t>activity.</w:t>
      </w:r>
    </w:p>
    <w:p>
      <w:pPr>
        <w:spacing w:line="242" w:lineRule="auto" w:before="27"/>
        <w:ind w:left="4983" w:right="139" w:firstLine="0"/>
        <w:jc w:val="left"/>
        <w:rPr>
          <w:sz w:val="24"/>
        </w:rPr>
      </w:pPr>
      <w:r>
        <w:rPr>
          <w:color w:val="231F20"/>
          <w:sz w:val="24"/>
        </w:rPr>
        <w:t>But this is counterbalanced by an upside risk should the recent unexpected weakness in world export prices prove to be temporary.</w:t>
      </w:r>
    </w:p>
    <w:p>
      <w:pPr>
        <w:pStyle w:val="BodyText"/>
        <w:spacing w:before="10"/>
        <w:rPr>
          <w:sz w:val="29"/>
        </w:rPr>
      </w:pPr>
    </w:p>
    <w:p>
      <w:pPr>
        <w:spacing w:line="242" w:lineRule="auto" w:before="0"/>
        <w:ind w:left="4983" w:right="199" w:firstLine="0"/>
        <w:jc w:val="left"/>
        <w:rPr>
          <w:sz w:val="24"/>
        </w:rPr>
      </w:pPr>
      <w:r>
        <w:rPr>
          <w:color w:val="231F20"/>
          <w:sz w:val="24"/>
        </w:rPr>
        <w:t>The outlook for UK import prices will be affected by the sterling exchange rate, as well as by the prospects for world prices. The sterling exchange rate has strengthened appreciably over the past three months.</w:t>
      </w:r>
    </w:p>
    <w:p>
      <w:pPr>
        <w:spacing w:line="242" w:lineRule="auto" w:before="5"/>
        <w:ind w:left="4983" w:right="262" w:firstLine="0"/>
        <w:jc w:val="left"/>
        <w:rPr>
          <w:sz w:val="24"/>
        </w:rPr>
      </w:pPr>
      <w:r>
        <w:rPr>
          <w:color w:val="231F20"/>
          <w:sz w:val="24"/>
        </w:rPr>
        <w:t>The effective exchange rate index (ERI) averaged 109.4 in the 15 working days up to and including 9 February. This forms the starting-point for the exchange rate profile assumed in the projection. It compares with a starting-point of 105.6 at the time of the November </w:t>
      </w:r>
      <w:r>
        <w:rPr>
          <w:i/>
          <w:color w:val="231F20"/>
          <w:sz w:val="24"/>
        </w:rPr>
        <w:t>Report </w:t>
      </w:r>
      <w:r>
        <w:rPr>
          <w:color w:val="231F20"/>
          <w:sz w:val="24"/>
        </w:rPr>
        <w:t>and an implied level of 105.1 for February in the November central projection.</w:t>
      </w:r>
    </w:p>
    <w:p>
      <w:pPr>
        <w:spacing w:after="0" w:line="242" w:lineRule="auto"/>
        <w:jc w:val="left"/>
        <w:rPr>
          <w:sz w:val="24"/>
        </w:rPr>
        <w:sectPr>
          <w:headerReference w:type="default" r:id="rId156"/>
          <w:headerReference w:type="even" r:id="rId157"/>
          <w:pgSz w:w="11900" w:h="16840"/>
          <w:pgMar w:header="584" w:footer="617" w:top="780" w:bottom="780" w:left="620" w:right="640"/>
        </w:sectPr>
      </w:pPr>
    </w:p>
    <w:p>
      <w:pPr>
        <w:pStyle w:val="BodyText"/>
        <w:rPr>
          <w:sz w:val="20"/>
        </w:rPr>
      </w:pPr>
    </w:p>
    <w:p>
      <w:pPr>
        <w:spacing w:line="242" w:lineRule="auto" w:before="216"/>
        <w:ind w:left="4988" w:right="247" w:firstLine="0"/>
        <w:jc w:val="left"/>
        <w:rPr>
          <w:sz w:val="24"/>
        </w:rPr>
      </w:pPr>
      <w:r>
        <w:rPr>
          <w:color w:val="231F20"/>
          <w:sz w:val="24"/>
        </w:rPr>
        <w:t>All Committee members agree that there is </w:t>
      </w:r>
      <w:r>
        <w:rPr>
          <w:color w:val="231F20"/>
          <w:spacing w:val="-2"/>
          <w:sz w:val="24"/>
        </w:rPr>
        <w:t>considerable </w:t>
      </w:r>
      <w:r>
        <w:rPr>
          <w:color w:val="231F20"/>
          <w:sz w:val="24"/>
        </w:rPr>
        <w:t>uncertainty about the outlook for the exchange rate.</w:t>
      </w:r>
      <w:r>
        <w:rPr>
          <w:color w:val="231F20"/>
          <w:position w:val="5"/>
          <w:sz w:val="16"/>
        </w:rPr>
        <w:t>(1) </w:t>
      </w:r>
      <w:r>
        <w:rPr>
          <w:color w:val="231F20"/>
          <w:sz w:val="24"/>
        </w:rPr>
        <w:t>As in the November </w:t>
      </w:r>
      <w:r>
        <w:rPr>
          <w:i/>
          <w:color w:val="231F20"/>
          <w:sz w:val="24"/>
        </w:rPr>
        <w:t>Report</w:t>
      </w:r>
      <w:r>
        <w:rPr>
          <w:color w:val="231F20"/>
          <w:sz w:val="24"/>
        </w:rPr>
        <w:t>, the Committee agreed to take the average of a constant nominal rate and a path related to the pattern of market interest rate differentials as the basis for the central projection. On this assumption, and adjusting for the conditioning assumption of constant interest rates, the sterling ERI declines to 107.1 by the end of the two-year forecast period, consistent with bilateral sterling exchange rates of $1.63 and 0.63 against the euro (equivalent to DM3.05). That is a more gradual decline than in November. Some members took comfort that a forecast implied by a recently estimated econometric model of the exchange rate gave a broadly similar profile to the central projection. If, alternatively, the central projection were based on the assumption that the exchange rate moves in line with interest rate differentials, inflation at the two-year horizon would be some 0.3 percentage points higher than in the central projection. GDP growth would also be rather stronger. On the other hand, basing the projection on a constant nominal exchange rate would lower inflation by some</w:t>
      </w:r>
    </w:p>
    <w:p>
      <w:pPr>
        <w:spacing w:line="242" w:lineRule="auto" w:before="29"/>
        <w:ind w:left="4988" w:right="827" w:firstLine="0"/>
        <w:jc w:val="left"/>
        <w:rPr>
          <w:sz w:val="24"/>
        </w:rPr>
      </w:pPr>
      <w:r>
        <w:rPr>
          <w:color w:val="231F20"/>
          <w:sz w:val="24"/>
        </w:rPr>
        <w:t>0.3 percentage points at the two-year horizon, and growth would be weaker.</w:t>
      </w:r>
    </w:p>
    <w:p>
      <w:pPr>
        <w:pStyle w:val="BodyText"/>
        <w:spacing w:before="6"/>
        <w:rPr>
          <w:sz w:val="24"/>
        </w:rPr>
      </w:pPr>
    </w:p>
    <w:p>
      <w:pPr>
        <w:spacing w:line="242" w:lineRule="auto" w:before="1"/>
        <w:ind w:left="4988" w:right="235" w:firstLine="0"/>
        <w:jc w:val="left"/>
        <w:rPr>
          <w:sz w:val="24"/>
        </w:rPr>
      </w:pPr>
      <w:r>
        <w:rPr>
          <w:color w:val="231F20"/>
          <w:sz w:val="24"/>
        </w:rPr>
        <w:t>Changes in equity prices affect households’ wealth and companies’ cost of capital. Equity prices have risen further in the past three months. In the 15 working days up to 9 February, the FTSE All-Share index was some 6% higher than in the equivalent period three months ago. The Committee has maintained the central assumption that equity prices will rise in line with nominal GDP over the forecast period.</w:t>
      </w:r>
    </w:p>
    <w:p>
      <w:pPr>
        <w:pStyle w:val="BodyText"/>
        <w:spacing w:before="5"/>
        <w:rPr>
          <w:sz w:val="23"/>
        </w:rPr>
      </w:pPr>
    </w:p>
    <w:p>
      <w:pPr>
        <w:spacing w:line="242" w:lineRule="auto" w:before="0"/>
        <w:ind w:left="4988" w:right="202" w:firstLine="0"/>
        <w:jc w:val="left"/>
        <w:rPr>
          <w:sz w:val="24"/>
        </w:rPr>
      </w:pPr>
      <w:r>
        <w:rPr>
          <w:color w:val="231F20"/>
          <w:sz w:val="24"/>
        </w:rPr>
        <w:t>Household wealth is also affected by changes in house prices. Over the past three months, house prices nationally have risen more rapidly than previously expected, although there are some tentative signs in the activity data that the market may be stabilising. House price inflation is likely to slow, as recent increases in interest rates feed through. The Committee has revised up slightly the assumption for house price inflation. The central assumption is that house price inflation moderates to below 10% this year, and eases further in 2001.</w:t>
      </w:r>
    </w:p>
    <w:p>
      <w:pPr>
        <w:pStyle w:val="BodyText"/>
        <w:spacing w:before="10"/>
        <w:rPr>
          <w:sz w:val="23"/>
        </w:rPr>
      </w:pPr>
    </w:p>
    <w:p>
      <w:pPr>
        <w:spacing w:line="242" w:lineRule="auto" w:before="0"/>
        <w:ind w:left="4988" w:right="213" w:firstLine="0"/>
        <w:jc w:val="left"/>
        <w:rPr>
          <w:sz w:val="24"/>
        </w:rPr>
      </w:pPr>
      <w:r>
        <w:rPr>
          <w:color w:val="231F20"/>
          <w:sz w:val="24"/>
        </w:rPr>
        <w:t>The fiscal plans announced by the Chancellor in the autumn pre-Budget statement on 9 November have been</w:t>
      </w:r>
    </w:p>
    <w:p>
      <w:pPr>
        <w:pStyle w:val="BodyText"/>
        <w:rPr>
          <w:sz w:val="14"/>
        </w:rPr>
      </w:pPr>
      <w:r>
        <w:rPr/>
        <w:pict>
          <v:shape style="position:absolute;margin-left:278.5pt;margin-top:10.110371pt;width:277.5pt;height:.1pt;mso-position-horizontal-relative:page;mso-position-vertical-relative:paragraph;z-index:-15201792;mso-wrap-distance-left:0;mso-wrap-distance-right:0" coordorigin="5570,202" coordsize="5550,0" path="m5570,202l11120,202e" filled="false" stroked="true" strokeweight=".125pt" strokecolor="#231f20">
            <v:path arrowok="t"/>
            <v:stroke dashstyle="solid"/>
            <w10:wrap type="topAndBottom"/>
          </v:shape>
        </w:pict>
      </w:r>
    </w:p>
    <w:p>
      <w:pPr>
        <w:spacing w:line="208" w:lineRule="auto" w:before="8"/>
        <w:ind w:left="5220" w:right="1036" w:hanging="240"/>
        <w:jc w:val="left"/>
        <w:rPr>
          <w:sz w:val="16"/>
        </w:rPr>
      </w:pPr>
      <w:r>
        <w:rPr>
          <w:color w:val="231F20"/>
          <w:sz w:val="16"/>
        </w:rPr>
        <w:t>(1) See the box on page 48 of the November 1999 </w:t>
      </w:r>
      <w:r>
        <w:rPr>
          <w:i/>
          <w:color w:val="231F20"/>
          <w:sz w:val="16"/>
        </w:rPr>
        <w:t>Inflation Report </w:t>
      </w:r>
      <w:r>
        <w:rPr>
          <w:color w:val="231F20"/>
          <w:sz w:val="16"/>
        </w:rPr>
        <w:t>for a discussion of alternative benchmarks for assessing exchange rate prospects.</w:t>
      </w:r>
    </w:p>
    <w:p>
      <w:pPr>
        <w:spacing w:after="0" w:line="208" w:lineRule="auto"/>
        <w:jc w:val="left"/>
        <w:rPr>
          <w:sz w:val="16"/>
        </w:rPr>
        <w:sectPr>
          <w:footerReference w:type="default" r:id="rId158"/>
          <w:footerReference w:type="even" r:id="rId159"/>
          <w:pgSz w:w="11900" w:h="16840"/>
          <w:pgMar w:footer="617" w:header="584" w:top="780" w:bottom="800" w:left="620" w:right="640"/>
          <w:pgNumType w:start="47"/>
        </w:sectPr>
      </w:pPr>
    </w:p>
    <w:p>
      <w:pPr>
        <w:pStyle w:val="BodyText"/>
        <w:rPr>
          <w:sz w:val="20"/>
        </w:rPr>
      </w:pPr>
    </w:p>
    <w:p>
      <w:pPr>
        <w:pStyle w:val="Heading6"/>
        <w:spacing w:line="242" w:lineRule="auto" w:before="226"/>
        <w:ind w:left="4979" w:right="235"/>
      </w:pPr>
      <w:bookmarkStart w:name="The output and inflation projections" w:id="73"/>
      <w:bookmarkEnd w:id="73"/>
      <w:r>
        <w:rPr/>
      </w:r>
      <w:bookmarkStart w:name="_bookmark29" w:id="74"/>
      <w:bookmarkEnd w:id="74"/>
      <w:r>
        <w:rPr/>
      </w:r>
      <w:r>
        <w:rPr>
          <w:color w:val="231F20"/>
        </w:rPr>
        <w:t>incorporated into the latest projection. Given the Government’s announced plans for nominal spending and the Committee’s latest central projection for inflation, the likely growth rate for real government consumption is a little lower than assumed by the Committee in November.</w:t>
      </w:r>
    </w:p>
    <w:p>
      <w:pPr>
        <w:pStyle w:val="BodyText"/>
        <w:spacing w:before="3"/>
        <w:rPr>
          <w:sz w:val="23"/>
        </w:rPr>
      </w:pPr>
    </w:p>
    <w:p>
      <w:pPr>
        <w:spacing w:line="242" w:lineRule="auto" w:before="0"/>
        <w:ind w:left="4979" w:right="235" w:firstLine="0"/>
        <w:jc w:val="left"/>
        <w:rPr>
          <w:sz w:val="24"/>
        </w:rPr>
      </w:pPr>
      <w:r>
        <w:rPr>
          <w:color w:val="231F20"/>
          <w:sz w:val="24"/>
        </w:rPr>
        <w:t>Previous projections have already incorporated assumptions about the effects of the National Minimum Wage, the New Deal and the Working Time Directive. There is no change to the assumptions about the effects of these labour market reforms.</w:t>
      </w:r>
    </w:p>
    <w:p>
      <w:pPr>
        <w:pStyle w:val="BodyText"/>
        <w:spacing w:before="7"/>
        <w:rPr>
          <w:sz w:val="21"/>
        </w:rPr>
      </w:pPr>
    </w:p>
    <w:p>
      <w:pPr>
        <w:pStyle w:val="Heading3"/>
        <w:tabs>
          <w:tab w:pos="5924" w:val="left" w:leader="none"/>
          <w:tab w:pos="10479" w:val="left" w:leader="none"/>
        </w:tabs>
        <w:ind w:left="4979"/>
      </w:pPr>
      <w:r>
        <w:rPr>
          <w:color w:val="009483"/>
          <w:u w:val="thick" w:color="0093C1"/>
        </w:rPr>
        <w:t>6.2</w:t>
        <w:tab/>
        <w:t>The output and inflation</w:t>
      </w:r>
      <w:r>
        <w:rPr>
          <w:color w:val="009483"/>
          <w:spacing w:val="-5"/>
          <w:u w:val="thick" w:color="0093C1"/>
        </w:rPr>
        <w:t> </w:t>
      </w:r>
      <w:r>
        <w:rPr>
          <w:color w:val="009483"/>
          <w:u w:val="thick" w:color="0093C1"/>
        </w:rPr>
        <w:t>projections</w:t>
        <w:tab/>
      </w:r>
    </w:p>
    <w:p>
      <w:pPr>
        <w:spacing w:line="242" w:lineRule="auto" w:before="261"/>
        <w:ind w:left="4979" w:right="173" w:firstLine="0"/>
        <w:jc w:val="left"/>
        <w:rPr>
          <w:sz w:val="24"/>
        </w:rPr>
      </w:pPr>
      <w:r>
        <w:rPr>
          <w:color w:val="231F20"/>
          <w:sz w:val="24"/>
        </w:rPr>
        <w:t>Output growth strengthened in the second half of 1999. According to the preliminary ONS estimate, GDP rose by 0.8% in the fourth quarter—a similar pace to the third quarter.  The four-quarter growth rate quickened to 2.7%, a little above most estimates of the sustainable </w:t>
      </w:r>
      <w:r>
        <w:rPr>
          <w:color w:val="231F20"/>
          <w:spacing w:val="-5"/>
          <w:sz w:val="24"/>
        </w:rPr>
        <w:t>rise </w:t>
      </w:r>
      <w:r>
        <w:rPr>
          <w:color w:val="231F20"/>
          <w:sz w:val="24"/>
        </w:rPr>
        <w:t>in supply capacity. The pick-up in growth was broadly in line with expectations in the November </w:t>
      </w:r>
      <w:r>
        <w:rPr>
          <w:i/>
          <w:color w:val="231F20"/>
          <w:sz w:val="24"/>
        </w:rPr>
        <w:t>Report</w:t>
      </w:r>
      <w:r>
        <w:rPr>
          <w:color w:val="231F20"/>
          <w:sz w:val="24"/>
        </w:rPr>
        <w:t>, although there have been revisions to the pattern of output and to the composition of demand which may convey information on the near-term outlook. RPIX inflation has remained below target in recent</w:t>
      </w:r>
      <w:r>
        <w:rPr>
          <w:color w:val="231F20"/>
          <w:spacing w:val="-3"/>
          <w:sz w:val="24"/>
        </w:rPr>
        <w:t> </w:t>
      </w:r>
      <w:r>
        <w:rPr>
          <w:color w:val="231F20"/>
          <w:sz w:val="24"/>
        </w:rPr>
        <w:t>months.</w:t>
      </w:r>
    </w:p>
    <w:p>
      <w:pPr>
        <w:spacing w:line="242" w:lineRule="auto" w:before="14"/>
        <w:ind w:left="4979" w:right="215" w:firstLine="0"/>
        <w:jc w:val="left"/>
        <w:rPr>
          <w:sz w:val="24"/>
        </w:rPr>
      </w:pPr>
      <w:r>
        <w:rPr>
          <w:color w:val="231F20"/>
          <w:sz w:val="24"/>
        </w:rPr>
        <w:t>Inflation averaged 2.2% in the fourth quarter, in line with the central projection in the November </w:t>
      </w:r>
      <w:r>
        <w:rPr>
          <w:i/>
          <w:color w:val="231F20"/>
          <w:sz w:val="24"/>
        </w:rPr>
        <w:t>Report</w:t>
      </w:r>
      <w:r>
        <w:rPr>
          <w:color w:val="231F20"/>
          <w:sz w:val="24"/>
        </w:rPr>
        <w:t>. </w:t>
      </w:r>
      <w:r>
        <w:rPr>
          <w:color w:val="231F20"/>
          <w:spacing w:val="-6"/>
          <w:sz w:val="24"/>
        </w:rPr>
        <w:t>The </w:t>
      </w:r>
      <w:r>
        <w:rPr>
          <w:color w:val="231F20"/>
          <w:sz w:val="24"/>
        </w:rPr>
        <w:t>Committee reviewed the medium-term prospects for output and inflation against this background.</w:t>
      </w:r>
    </w:p>
    <w:p>
      <w:pPr>
        <w:pStyle w:val="BodyText"/>
        <w:spacing w:before="3"/>
        <w:rPr>
          <w:sz w:val="21"/>
        </w:rPr>
      </w:pPr>
    </w:p>
    <w:p>
      <w:pPr>
        <w:spacing w:line="242" w:lineRule="auto" w:before="0"/>
        <w:ind w:left="4979" w:right="159" w:firstLine="0"/>
        <w:jc w:val="left"/>
        <w:rPr>
          <w:sz w:val="24"/>
        </w:rPr>
      </w:pPr>
      <w:r>
        <w:rPr>
          <w:color w:val="231F20"/>
          <w:sz w:val="24"/>
        </w:rPr>
        <w:t>The full National Accounts release published in December indicated that the level of GDP in the third quarter was in line with the preliminary estimate incorporated in the November projections.  The pattern of growth over the previous year was revised, however, with the new data indicating a more pronounced pause in activity at the end of 1998, followed by a rather stronger recovery in early 1999. The data release also incorporated revisions to the composition of demand. In particular, final domestic demand was revised down as new information suggested that consumer spending had grown somewhat less robustly than previously estimated, and this outweighed an upward revision to the level of business investment. The downward revision to final domestic demand was offset by a rather stronger net trade position than previously estimated and by an upward revision to inventories.</w:t>
      </w:r>
    </w:p>
    <w:p>
      <w:pPr>
        <w:pStyle w:val="BodyText"/>
        <w:spacing w:before="9"/>
        <w:rPr>
          <w:sz w:val="22"/>
        </w:rPr>
      </w:pPr>
    </w:p>
    <w:p>
      <w:pPr>
        <w:spacing w:line="242" w:lineRule="auto" w:before="0"/>
        <w:ind w:left="4979" w:right="456" w:firstLine="0"/>
        <w:jc w:val="left"/>
        <w:rPr>
          <w:sz w:val="24"/>
        </w:rPr>
      </w:pPr>
      <w:r>
        <w:rPr>
          <w:color w:val="231F20"/>
          <w:sz w:val="24"/>
        </w:rPr>
        <w:t>The National Accounts release also signalled some improvement in the balance of demand and activity in recent months. The annual growth of final domestic</w:t>
      </w:r>
    </w:p>
    <w:p>
      <w:pPr>
        <w:spacing w:after="0" w:line="242" w:lineRule="auto"/>
        <w:jc w:val="left"/>
        <w:rPr>
          <w:sz w:val="24"/>
        </w:rPr>
        <w:sectPr>
          <w:pgSz w:w="11900" w:h="16840"/>
          <w:pgMar w:header="584" w:footer="597" w:top="780" w:bottom="780" w:left="620" w:right="640"/>
        </w:sectPr>
      </w:pPr>
    </w:p>
    <w:p>
      <w:pPr>
        <w:pStyle w:val="BodyText"/>
        <w:rPr>
          <w:sz w:val="20"/>
        </w:rPr>
      </w:pPr>
    </w:p>
    <w:p>
      <w:pPr>
        <w:spacing w:line="242" w:lineRule="auto" w:before="226"/>
        <w:ind w:left="4979" w:right="316" w:firstLine="0"/>
        <w:jc w:val="left"/>
        <w:rPr>
          <w:sz w:val="24"/>
        </w:rPr>
      </w:pPr>
      <w:r>
        <w:rPr>
          <w:color w:val="231F20"/>
          <w:sz w:val="24"/>
        </w:rPr>
        <w:t>demand now appears to be in the 3%–3</w:t>
      </w:r>
      <w:r>
        <w:rPr>
          <w:color w:val="231F20"/>
          <w:position w:val="8"/>
          <w:sz w:val="12"/>
        </w:rPr>
        <w:t>1</w:t>
      </w:r>
      <w:r>
        <w:rPr>
          <w:color w:val="231F20"/>
          <w:sz w:val="24"/>
        </w:rPr>
        <w:t>/</w:t>
      </w:r>
      <w:r>
        <w:rPr>
          <w:color w:val="231F20"/>
          <w:sz w:val="12"/>
        </w:rPr>
        <w:t>2</w:t>
      </w:r>
      <w:r>
        <w:rPr>
          <w:color w:val="231F20"/>
          <w:sz w:val="24"/>
        </w:rPr>
        <w:t>% range, still above a sustainable pace, but slower than the 4%–4</w:t>
      </w:r>
      <w:r>
        <w:rPr>
          <w:color w:val="231F20"/>
          <w:position w:val="8"/>
          <w:sz w:val="12"/>
        </w:rPr>
        <w:t>1</w:t>
      </w:r>
      <w:r>
        <w:rPr>
          <w:color w:val="231F20"/>
          <w:sz w:val="24"/>
        </w:rPr>
        <w:t>/</w:t>
      </w:r>
      <w:r>
        <w:rPr>
          <w:color w:val="231F20"/>
          <w:sz w:val="12"/>
        </w:rPr>
        <w:t>2</w:t>
      </w:r>
      <w:r>
        <w:rPr>
          <w:color w:val="231F20"/>
          <w:sz w:val="24"/>
        </w:rPr>
        <w:t>% rate suggested in previous estimates for the first</w:t>
      </w:r>
    </w:p>
    <w:p>
      <w:pPr>
        <w:spacing w:line="242" w:lineRule="auto" w:before="4"/>
        <w:ind w:left="4979" w:right="160" w:firstLine="0"/>
        <w:jc w:val="left"/>
        <w:rPr>
          <w:sz w:val="24"/>
        </w:rPr>
      </w:pPr>
      <w:r>
        <w:rPr>
          <w:color w:val="231F20"/>
          <w:sz w:val="24"/>
        </w:rPr>
        <w:t>half-year. The deterioration in the net trade position has, perhaps temporarily, slowed—indeed, in the second and third quarters net trade made a positive contribution to growth. Moreover, the run-down of inventories, which had dampened growth in the first half of the year, has ended. The balance of output growth has also improved somewhat.  Aggregate manufacturing output picked up in the second half of 1999, and may now be rising close to rates in the service sector. Nonetheless, the overall picture masks significant differences across industrial sectors, and the further strengthening of sterling in </w:t>
      </w:r>
      <w:r>
        <w:rPr>
          <w:color w:val="231F20"/>
          <w:spacing w:val="-3"/>
          <w:sz w:val="24"/>
        </w:rPr>
        <w:t>recent </w:t>
      </w:r>
      <w:r>
        <w:rPr>
          <w:color w:val="231F20"/>
          <w:sz w:val="24"/>
        </w:rPr>
        <w:t>months will dampen prospective growth in those industries most heavily exposed to international competition.</w:t>
      </w:r>
    </w:p>
    <w:p>
      <w:pPr>
        <w:pStyle w:val="BodyText"/>
        <w:spacing w:before="7"/>
        <w:rPr>
          <w:sz w:val="20"/>
        </w:rPr>
      </w:pPr>
    </w:p>
    <w:p>
      <w:pPr>
        <w:spacing w:line="242" w:lineRule="auto" w:before="0"/>
        <w:ind w:left="4979" w:right="235" w:firstLine="0"/>
        <w:jc w:val="left"/>
        <w:rPr>
          <w:sz w:val="24"/>
        </w:rPr>
      </w:pPr>
      <w:r>
        <w:rPr>
          <w:color w:val="231F20"/>
          <w:sz w:val="24"/>
        </w:rPr>
        <w:t>Consumer spending remains robust. Although the level of spending was revised down in the latest release, expenditure was 3</w:t>
      </w:r>
      <w:r>
        <w:rPr>
          <w:color w:val="231F20"/>
          <w:position w:val="8"/>
          <w:sz w:val="12"/>
        </w:rPr>
        <w:t>1</w:t>
      </w:r>
      <w:r>
        <w:rPr>
          <w:color w:val="231F20"/>
          <w:sz w:val="24"/>
        </w:rPr>
        <w:t>/</w:t>
      </w:r>
      <w:r>
        <w:rPr>
          <w:color w:val="231F20"/>
          <w:sz w:val="12"/>
        </w:rPr>
        <w:t>2</w:t>
      </w:r>
      <w:r>
        <w:rPr>
          <w:color w:val="231F20"/>
          <w:sz w:val="24"/>
        </w:rPr>
        <w:t>% higher in the third quarter than a year earlier. The underlying strength may be greater if consumers are deferring spending on cars until the outcome of the Competition Commission report on the car market is known. New car registrations have been very weak in recent months, although the underlying trend is also obscured by the new pattern of registration letter changes. Spending on other consumer goods remains firm. Retail sales rose by well over 1% in the fourth quarter. Moreover, indicators of prospective spending are buoyant. Real income growth is strong, household wealth has risen sharply in recent months, consumer confidence has improved further, and the money and credit data support a robust spending outlook.</w:t>
      </w:r>
    </w:p>
    <w:p>
      <w:pPr>
        <w:pStyle w:val="BodyText"/>
        <w:rPr>
          <w:sz w:val="21"/>
        </w:rPr>
      </w:pPr>
    </w:p>
    <w:p>
      <w:pPr>
        <w:spacing w:line="242" w:lineRule="auto" w:before="0"/>
        <w:ind w:left="4979" w:right="235" w:firstLine="0"/>
        <w:jc w:val="left"/>
        <w:rPr>
          <w:sz w:val="24"/>
        </w:rPr>
      </w:pPr>
      <w:r>
        <w:rPr>
          <w:color w:val="231F20"/>
          <w:sz w:val="24"/>
        </w:rPr>
        <w:t>In reviewing the outlook for consumption, the Committee assigned weight to evidence suggesting that changes in wealth had a larger short-term impact on spending than previously thought. Drawing on this evidence, and given the higher-than-expected increases in wealth and labour income, the Committee has revised up the near-term profile for consumer spending relative to the November </w:t>
      </w:r>
      <w:r>
        <w:rPr>
          <w:i/>
          <w:color w:val="231F20"/>
          <w:sz w:val="24"/>
        </w:rPr>
        <w:t>Report</w:t>
      </w:r>
      <w:r>
        <w:rPr>
          <w:color w:val="231F20"/>
          <w:sz w:val="24"/>
        </w:rPr>
        <w:t>. Annual growth rates may remain in the 3%–3</w:t>
      </w:r>
      <w:r>
        <w:rPr>
          <w:color w:val="231F20"/>
          <w:position w:val="8"/>
          <w:sz w:val="12"/>
        </w:rPr>
        <w:t>1</w:t>
      </w:r>
      <w:r>
        <w:rPr>
          <w:color w:val="231F20"/>
          <w:sz w:val="24"/>
        </w:rPr>
        <w:t>/</w:t>
      </w:r>
      <w:r>
        <w:rPr>
          <w:color w:val="231F20"/>
          <w:sz w:val="12"/>
        </w:rPr>
        <w:t>2</w:t>
      </w:r>
      <w:r>
        <w:rPr>
          <w:color w:val="231F20"/>
          <w:sz w:val="24"/>
        </w:rPr>
        <w:t>% range for much of 2000. But spending growth is then expected to lose momentum, as wealth and labour income growth slow in response to the recent increases in interest rates and to the impact</w:t>
      </w:r>
    </w:p>
    <w:p>
      <w:pPr>
        <w:spacing w:line="242" w:lineRule="auto" w:before="16"/>
        <w:ind w:left="4979" w:right="856" w:firstLine="0"/>
        <w:jc w:val="left"/>
        <w:rPr>
          <w:sz w:val="24"/>
        </w:rPr>
      </w:pPr>
      <w:r>
        <w:rPr>
          <w:color w:val="231F20"/>
          <w:sz w:val="24"/>
        </w:rPr>
        <w:t>of the higher real exchange rate on activity and employment. Consumer expenditure growth may consequently be rather weaker in 2001 than in the November projection.</w:t>
      </w:r>
    </w:p>
    <w:p>
      <w:pPr>
        <w:spacing w:after="0" w:line="242" w:lineRule="auto"/>
        <w:jc w:val="left"/>
        <w:rPr>
          <w:sz w:val="24"/>
        </w:rPr>
        <w:sectPr>
          <w:pgSz w:w="11900" w:h="16840"/>
          <w:pgMar w:header="584" w:footer="617" w:top="780" w:bottom="800" w:left="620" w:right="640"/>
        </w:sectPr>
      </w:pPr>
    </w:p>
    <w:p>
      <w:pPr>
        <w:pStyle w:val="BodyText"/>
        <w:rPr>
          <w:sz w:val="20"/>
        </w:rPr>
      </w:pPr>
    </w:p>
    <w:p>
      <w:pPr>
        <w:spacing w:line="242" w:lineRule="auto" w:before="216"/>
        <w:ind w:left="4980" w:right="173" w:firstLine="0"/>
        <w:jc w:val="left"/>
        <w:rPr>
          <w:sz w:val="24"/>
        </w:rPr>
      </w:pPr>
      <w:r>
        <w:rPr>
          <w:color w:val="231F20"/>
          <w:sz w:val="24"/>
        </w:rPr>
        <w:t>There was a marked slowdown in the growth of business investment in 1999, although the level of spending has been revised up over the past two years.  Indeed, business investment spending fell in the third quarter,</w:t>
      </w:r>
      <w:r>
        <w:rPr>
          <w:color w:val="231F20"/>
          <w:spacing w:val="-10"/>
          <w:sz w:val="24"/>
        </w:rPr>
        <w:t> </w:t>
      </w:r>
      <w:r>
        <w:rPr>
          <w:color w:val="231F20"/>
          <w:sz w:val="24"/>
        </w:rPr>
        <w:t>for the first time since 1996. The slowdown follows several years of very rapid growth, partly linked to heavy investment in </w:t>
      </w:r>
      <w:r>
        <w:rPr>
          <w:color w:val="231F20"/>
          <w:spacing w:val="-3"/>
          <w:sz w:val="24"/>
        </w:rPr>
        <w:t>IT-related </w:t>
      </w:r>
      <w:r>
        <w:rPr>
          <w:color w:val="231F20"/>
          <w:sz w:val="24"/>
        </w:rPr>
        <w:t>equipment. The recent slower growth of investment may signal that the gap between firms’ actual capital stock and desired levels has narrowed. In that event, and in the absence of a major change in prospective growth or in the cost of capital, the ratio of business investment volumes to GDP might level off at around current levels. This assumption is consistent with the recent investment pattern and is incorporated in the central projection. Around this </w:t>
      </w:r>
      <w:r>
        <w:rPr>
          <w:color w:val="231F20"/>
          <w:spacing w:val="-4"/>
          <w:sz w:val="24"/>
        </w:rPr>
        <w:t>broad </w:t>
      </w:r>
      <w:r>
        <w:rPr>
          <w:color w:val="231F20"/>
          <w:sz w:val="24"/>
        </w:rPr>
        <w:t>trend, the Committee also attached weight to reports from the </w:t>
      </w:r>
      <w:r>
        <w:rPr>
          <w:color w:val="231F20"/>
          <w:spacing w:val="-3"/>
          <w:sz w:val="24"/>
        </w:rPr>
        <w:t>Bank’s </w:t>
      </w:r>
      <w:r>
        <w:rPr>
          <w:color w:val="231F20"/>
          <w:sz w:val="24"/>
        </w:rPr>
        <w:t>Agents that part of the recent slowdown might reflect a temporary pause in </w:t>
      </w:r>
      <w:r>
        <w:rPr>
          <w:color w:val="231F20"/>
          <w:spacing w:val="-3"/>
          <w:sz w:val="24"/>
        </w:rPr>
        <w:t>IT-related </w:t>
      </w:r>
      <w:r>
        <w:rPr>
          <w:color w:val="231F20"/>
          <w:sz w:val="24"/>
        </w:rPr>
        <w:t>spending in 1999, if companies were cautious about making new investment before the year-end once systems had been tested as year-2000 compliant. There could be something of a rebound in 2000 as deferred investment comes on-stream. But, overall, business investment growth is likely to be rather softer than in the November projection, reflecting the weaker recent momentum and slower overall activity growth. Risks to business investment are weighted to the upside. That reflects various factors. Surveys suggest rather stronger</w:t>
      </w:r>
    </w:p>
    <w:p>
      <w:pPr>
        <w:spacing w:line="242" w:lineRule="auto" w:before="35"/>
        <w:ind w:left="4980" w:right="270" w:firstLine="0"/>
        <w:jc w:val="left"/>
        <w:rPr>
          <w:sz w:val="24"/>
        </w:rPr>
      </w:pPr>
      <w:r>
        <w:rPr>
          <w:color w:val="231F20"/>
          <w:sz w:val="24"/>
        </w:rPr>
        <w:t>short-term growth. More rapid investment in systems </w:t>
      </w:r>
      <w:r>
        <w:rPr>
          <w:color w:val="231F20"/>
          <w:spacing w:val="-9"/>
          <w:sz w:val="24"/>
        </w:rPr>
        <w:t>to </w:t>
      </w:r>
      <w:r>
        <w:rPr>
          <w:color w:val="231F20"/>
          <w:sz w:val="24"/>
        </w:rPr>
        <w:t>support electronic commerce could stimulate faster growth in business investment than in the central case. Another risk is that growth in housing and industrial construction could be faster. No change has been made to the government investment projection: nominal public sector investment is assumed to rise in line with announced public spending plans.</w:t>
      </w:r>
    </w:p>
    <w:p>
      <w:pPr>
        <w:pStyle w:val="BodyText"/>
        <w:spacing w:before="8"/>
        <w:rPr>
          <w:sz w:val="35"/>
        </w:rPr>
      </w:pPr>
    </w:p>
    <w:p>
      <w:pPr>
        <w:spacing w:line="242" w:lineRule="auto" w:before="0"/>
        <w:ind w:left="4980" w:right="348" w:firstLine="0"/>
        <w:jc w:val="left"/>
        <w:rPr>
          <w:sz w:val="24"/>
        </w:rPr>
      </w:pPr>
      <w:r>
        <w:rPr>
          <w:color w:val="231F20"/>
          <w:sz w:val="24"/>
        </w:rPr>
        <w:t>Inventory levels were revised upwards in the latest National Accounts release, but there was no significant change to the previous quarterly pattern. Following a substantial run-down in inventories in the first half of 1999 as firms shed excess stocks, the data for the third quarter and recent surveys suggest that stock levels are now closer to firms’ desired levels, although some inventories may have been built up for precautionary reasons prior to the millennium date change. The Agents suggest that any such build-up was small, and that additional inventories should be quickly run off.</w:t>
      </w:r>
    </w:p>
    <w:p>
      <w:pPr>
        <w:spacing w:line="242" w:lineRule="auto" w:before="14"/>
        <w:ind w:left="4980" w:right="341" w:firstLine="0"/>
        <w:jc w:val="left"/>
        <w:rPr>
          <w:sz w:val="24"/>
        </w:rPr>
      </w:pPr>
      <w:r>
        <w:rPr>
          <w:color w:val="231F20"/>
          <w:sz w:val="24"/>
        </w:rPr>
        <w:t>The Committee continues to expect that firms will economise further on inventory holdings—for example by taking additional advantage of IT developments to</w:t>
      </w:r>
    </w:p>
    <w:p>
      <w:pPr>
        <w:spacing w:after="0" w:line="242" w:lineRule="auto"/>
        <w:jc w:val="left"/>
        <w:rPr>
          <w:sz w:val="24"/>
        </w:rPr>
        <w:sectPr>
          <w:pgSz w:w="11900" w:h="16840"/>
          <w:pgMar w:header="584" w:footer="597" w:top="780" w:bottom="780" w:left="620" w:right="640"/>
        </w:sectPr>
      </w:pPr>
    </w:p>
    <w:p>
      <w:pPr>
        <w:pStyle w:val="BodyText"/>
        <w:rPr>
          <w:sz w:val="20"/>
        </w:rPr>
      </w:pPr>
    </w:p>
    <w:p>
      <w:pPr>
        <w:spacing w:line="242" w:lineRule="auto" w:before="226"/>
        <w:ind w:left="4989" w:right="272" w:firstLine="0"/>
        <w:jc w:val="left"/>
        <w:rPr>
          <w:sz w:val="24"/>
        </w:rPr>
      </w:pPr>
      <w:r>
        <w:rPr>
          <w:color w:val="231F20"/>
          <w:sz w:val="24"/>
        </w:rPr>
        <w:t>control stock levels—and that the ratio of inventories to output will fall gradually over time.</w:t>
      </w:r>
    </w:p>
    <w:p>
      <w:pPr>
        <w:pStyle w:val="BodyText"/>
        <w:spacing w:before="3"/>
        <w:rPr>
          <w:sz w:val="26"/>
        </w:rPr>
      </w:pPr>
    </w:p>
    <w:p>
      <w:pPr>
        <w:spacing w:line="242" w:lineRule="auto" w:before="0"/>
        <w:ind w:left="4989" w:right="206" w:firstLine="0"/>
        <w:jc w:val="left"/>
        <w:rPr>
          <w:sz w:val="24"/>
        </w:rPr>
      </w:pPr>
      <w:r>
        <w:rPr>
          <w:color w:val="231F20"/>
          <w:sz w:val="24"/>
        </w:rPr>
        <w:t>Export growth strengthened in 1999 as world trade growth recovered. The trend in exports is hard to gauge as the data have been quite volatile. There was a remarkable rise of 6% in export volumes in the third quarter, but recent monthly data indicate some fall back in the fourth quarter. Surveys of export trends indicate that there has been some improvement in short-term prospects. Exports may continue to rise more rapidly in the near term than was assumed in the November </w:t>
      </w:r>
      <w:r>
        <w:rPr>
          <w:i/>
          <w:color w:val="231F20"/>
          <w:sz w:val="24"/>
        </w:rPr>
        <w:t>Report</w:t>
      </w:r>
      <w:r>
        <w:rPr>
          <w:color w:val="231F20"/>
          <w:sz w:val="24"/>
        </w:rPr>
        <w:t>, stimulated by the stronger growth in UK export markets. But faster growth in exports is likely to be temporary. Sterling has appreciated significantly in recent months. Moreover, overseas competitors’ export prices in local currency terms are lower than assumed in November, adding to competitive pressures on UK exporters. Export growth is likely to slow as sales </w:t>
      </w:r>
      <w:r>
        <w:rPr>
          <w:color w:val="231F20"/>
          <w:spacing w:val="-3"/>
          <w:sz w:val="24"/>
        </w:rPr>
        <w:t>adjust </w:t>
      </w:r>
      <w:r>
        <w:rPr>
          <w:color w:val="231F20"/>
          <w:sz w:val="24"/>
        </w:rPr>
        <w:t>to the higher real exchange rate. The medium-term outlook for exports is weaker than in November as a result.</w:t>
      </w:r>
    </w:p>
    <w:p>
      <w:pPr>
        <w:pStyle w:val="BodyText"/>
        <w:spacing w:before="2"/>
        <w:rPr>
          <w:sz w:val="28"/>
        </w:rPr>
      </w:pPr>
    </w:p>
    <w:p>
      <w:pPr>
        <w:spacing w:line="242" w:lineRule="auto" w:before="1"/>
        <w:ind w:left="4989" w:right="197" w:firstLine="0"/>
        <w:jc w:val="left"/>
        <w:rPr>
          <w:sz w:val="24"/>
        </w:rPr>
      </w:pPr>
      <w:r>
        <w:rPr>
          <w:color w:val="231F20"/>
          <w:sz w:val="24"/>
        </w:rPr>
        <w:t>Import volumes also strengthened markedly in the third quarter. It is possible that weaker import growth earlier in the year was associated with the inventory cycle: firms may have temporarily reduced demand for imports in order to meet a proportion of final demand by </w:t>
      </w:r>
      <w:r>
        <w:rPr>
          <w:color w:val="231F20"/>
          <w:spacing w:val="-3"/>
          <w:sz w:val="24"/>
        </w:rPr>
        <w:t>running </w:t>
      </w:r>
      <w:r>
        <w:rPr>
          <w:color w:val="231F20"/>
          <w:sz w:val="24"/>
        </w:rPr>
        <w:t>down stocks. Import growth has recovered as the inventory correction came to an end. Import volume growth is likely to remain strong over the next two years, supported by robust consumer spending growth in the near term and by the higher sterling exchange rate.</w:t>
      </w:r>
    </w:p>
    <w:p>
      <w:pPr>
        <w:pStyle w:val="BodyText"/>
        <w:spacing w:before="10"/>
        <w:rPr>
          <w:sz w:val="28"/>
        </w:rPr>
      </w:pPr>
    </w:p>
    <w:p>
      <w:pPr>
        <w:spacing w:line="242" w:lineRule="auto" w:before="0"/>
        <w:ind w:left="4989" w:right="195" w:firstLine="0"/>
        <w:jc w:val="left"/>
        <w:rPr>
          <w:sz w:val="24"/>
        </w:rPr>
      </w:pPr>
      <w:r>
        <w:rPr>
          <w:color w:val="231F20"/>
          <w:sz w:val="24"/>
        </w:rPr>
        <w:t>Taking exports and imports together, the outlook for net trade is weaker than in the November projection. The further rise in the sterling exchange rate, together with the lower profile for competitors’ export prices, outweighs the upward revision to UK export market growth. The current account deficit is likely to widen as import growth outstrips that of exports.</w:t>
      </w:r>
    </w:p>
    <w:p>
      <w:pPr>
        <w:pStyle w:val="BodyText"/>
        <w:spacing w:before="7"/>
        <w:rPr>
          <w:sz w:val="28"/>
        </w:rPr>
      </w:pPr>
    </w:p>
    <w:p>
      <w:pPr>
        <w:spacing w:line="242" w:lineRule="auto" w:before="0"/>
        <w:ind w:left="4989" w:right="235" w:firstLine="0"/>
        <w:jc w:val="left"/>
        <w:rPr>
          <w:sz w:val="24"/>
        </w:rPr>
      </w:pPr>
      <w:r>
        <w:rPr>
          <w:color w:val="231F20"/>
          <w:sz w:val="24"/>
        </w:rPr>
        <w:t>Business surveys and information from contacts of the Bank’s regional Agents are consistent with a continuing improvement in output in the near term. Demand for labour remains firm, although employment growth has slowed a little. Unemployment is at its lowest for</w:t>
      </w:r>
    </w:p>
    <w:p>
      <w:pPr>
        <w:spacing w:line="242" w:lineRule="auto" w:before="7"/>
        <w:ind w:left="4989" w:right="235" w:firstLine="0"/>
        <w:jc w:val="left"/>
        <w:rPr>
          <w:sz w:val="24"/>
        </w:rPr>
      </w:pPr>
      <w:r>
        <w:rPr>
          <w:color w:val="231F20"/>
          <w:sz w:val="24"/>
        </w:rPr>
        <w:t>20 years. Some of the recent growth in employment has been accounted for by a reduction in inactivity, as an improving labour market has encouraged greater numbers to seek work. There are signs in both surveys</w:t>
      </w:r>
    </w:p>
    <w:p>
      <w:pPr>
        <w:spacing w:after="0" w:line="242" w:lineRule="auto"/>
        <w:jc w:val="left"/>
        <w:rPr>
          <w:sz w:val="24"/>
        </w:rPr>
        <w:sectPr>
          <w:pgSz w:w="11900" w:h="16840"/>
          <w:pgMar w:header="584" w:footer="617" w:top="780" w:bottom="800" w:left="620" w:right="640"/>
        </w:sectPr>
      </w:pPr>
    </w:p>
    <w:p>
      <w:pPr>
        <w:pStyle w:val="BodyText"/>
        <w:rPr>
          <w:sz w:val="20"/>
        </w:rPr>
      </w:pPr>
    </w:p>
    <w:p>
      <w:pPr>
        <w:spacing w:after="0"/>
        <w:rPr>
          <w:sz w:val="20"/>
        </w:rPr>
        <w:sectPr>
          <w:pgSz w:w="11900" w:h="16840"/>
          <w:pgMar w:header="584" w:footer="597" w:top="780" w:bottom="780" w:left="620" w:right="640"/>
        </w:sectPr>
      </w:pPr>
    </w:p>
    <w:p>
      <w:pPr>
        <w:pStyle w:val="BodyText"/>
        <w:spacing w:before="6"/>
        <w:rPr>
          <w:sz w:val="20"/>
        </w:rPr>
      </w:pPr>
    </w:p>
    <w:p>
      <w:pPr>
        <w:pStyle w:val="Heading9"/>
        <w:spacing w:before="0"/>
        <w:ind w:left="194"/>
      </w:pPr>
      <w:bookmarkStart w:name="_bookmark30" w:id="75"/>
      <w:bookmarkEnd w:id="75"/>
      <w:r>
        <w:rPr>
          <w:b w:val="0"/>
        </w:rPr>
      </w:r>
      <w:r>
        <w:rPr>
          <w:color w:val="0093C1"/>
        </w:rPr>
        <w:t>Chart 6.1</w:t>
      </w:r>
    </w:p>
    <w:p>
      <w:pPr>
        <w:spacing w:line="249" w:lineRule="auto" w:before="10"/>
        <w:ind w:left="194" w:right="20" w:firstLine="0"/>
        <w:jc w:val="left"/>
        <w:rPr>
          <w:b/>
          <w:sz w:val="20"/>
        </w:rPr>
      </w:pPr>
      <w:r>
        <w:rPr>
          <w:b/>
          <w:color w:val="0093C1"/>
          <w:sz w:val="20"/>
        </w:rPr>
        <w:t>Current GDP projection based on constant nominal interest rates at 6%</w:t>
      </w:r>
    </w:p>
    <w:p>
      <w:pPr>
        <w:spacing w:before="163"/>
        <w:ind w:left="1168" w:right="0" w:firstLine="0"/>
        <w:jc w:val="left"/>
        <w:rPr>
          <w:sz w:val="12"/>
        </w:rPr>
      </w:pPr>
      <w:r>
        <w:rPr/>
        <w:pict>
          <v:line style="position:absolute;mso-position-horizontal-relative:page;mso-position-vertical-relative:paragraph;z-index:-21884416" from="200.282993pt,15.751758pt" to="196.582993pt,15.751758pt" stroked="true" strokeweight=".5pt" strokecolor="#000000">
            <v:stroke dashstyle="solid"/>
            <w10:wrap type="none"/>
          </v:line>
        </w:pict>
      </w:r>
      <w:r>
        <w:rPr/>
        <w:pict>
          <v:line style="position:absolute;mso-position-horizontal-relative:page;mso-position-vertical-relative:paragraph;z-index:16261120" from="47.444999pt,15.469757pt" to="43.744999pt,15.469757pt" stroked="true" strokeweight=".5pt" strokecolor="#000000">
            <v:stroke dashstyle="solid"/>
            <w10:wrap type="none"/>
          </v:line>
        </w:pict>
      </w:r>
      <w:r>
        <w:rPr>
          <w:color w:val="231F20"/>
          <w:sz w:val="12"/>
        </w:rPr>
        <w:t>Percentage increase in output on a year earlier </w:t>
      </w:r>
      <w:r>
        <w:rPr>
          <w:color w:val="231F20"/>
          <w:position w:val="-6"/>
          <w:sz w:val="12"/>
        </w:rPr>
        <w:t>6</w:t>
      </w:r>
    </w:p>
    <w:p>
      <w:pPr>
        <w:pStyle w:val="BodyText"/>
        <w:spacing w:before="11"/>
        <w:rPr>
          <w:sz w:val="24"/>
        </w:rPr>
      </w:pPr>
    </w:p>
    <w:p>
      <w:pPr>
        <w:spacing w:before="0"/>
        <w:ind w:left="0" w:right="412" w:firstLine="0"/>
        <w:jc w:val="right"/>
        <w:rPr>
          <w:sz w:val="12"/>
        </w:rPr>
      </w:pPr>
      <w:r>
        <w:rPr/>
        <w:pict>
          <v:line style="position:absolute;mso-position-horizontal-relative:page;mso-position-vertical-relative:paragraph;z-index:16259584" from="47.441001pt,3.995771pt" to="43.741001pt,3.995771pt" stroked="true" strokeweight=".5pt" strokecolor="#000000">
            <v:stroke dashstyle="solid"/>
            <w10:wrap type="none"/>
          </v:line>
        </w:pict>
      </w:r>
      <w:r>
        <w:rPr/>
        <w:pict>
          <v:line style="position:absolute;mso-position-horizontal-relative:page;mso-position-vertical-relative:paragraph;z-index:16260096" from="200.448993pt,3.995771pt" to="196.748993pt,3.995771pt" stroked="true" strokeweight=".5pt" strokecolor="#000000">
            <v:stroke dashstyle="solid"/>
            <w10:wrap type="none"/>
          </v:line>
        </w:pict>
      </w:r>
      <w:r>
        <w:rPr>
          <w:color w:val="231F20"/>
          <w:sz w:val="12"/>
        </w:rPr>
        <w:t>5</w:t>
      </w:r>
    </w:p>
    <w:p>
      <w:pPr>
        <w:pStyle w:val="BodyText"/>
        <w:rPr>
          <w:sz w:val="12"/>
        </w:rPr>
      </w:pPr>
    </w:p>
    <w:p>
      <w:pPr>
        <w:pStyle w:val="BodyText"/>
        <w:spacing w:before="9"/>
        <w:rPr>
          <w:sz w:val="12"/>
        </w:rPr>
      </w:pPr>
    </w:p>
    <w:p>
      <w:pPr>
        <w:spacing w:before="0"/>
        <w:ind w:left="0" w:right="412" w:firstLine="0"/>
        <w:jc w:val="right"/>
        <w:rPr>
          <w:sz w:val="12"/>
        </w:rPr>
      </w:pPr>
      <w:r>
        <w:rPr/>
        <w:pict>
          <v:group style="position:absolute;margin-left:43.741001pt;margin-top:3.04056pt;width:160.35pt;height:78.45pt;mso-position-horizontal-relative:page;mso-position-vertical-relative:paragraph;z-index:16257024" coordorigin="875,61" coordsize="3207,1569">
            <v:shape style="position:absolute;left:2956;top:71;width:919;height:1458" coordorigin="2956,71" coordsize="919,1458" path="m3671,71l3569,74,3467,100,3365,148,3263,158,3160,202,3058,323,2956,633,3058,722,3160,1002,3263,1223,3365,1414,3467,1432,3569,1443,3671,1489,3773,1529,3875,1529,3875,75,3773,75,3671,71xe" filled="true" fillcolor="#dbeae4" stroked="false">
              <v:path arrowok="t"/>
              <v:fill type="solid"/>
            </v:shape>
            <v:shape style="position:absolute;left:2956;top:225;width:919;height:1140" coordorigin="2956,226" coordsize="919,1140" path="m3671,226l3569,230,3467,258,3365,298,3263,284,3160,297,3058,370,2956,634,3058,683,3160,921,3263,1116,3365,1286,3467,1298,3569,1299,3671,1334,3773,1365,3875,1365,3875,228,3773,228,3671,226xe" filled="true" fillcolor="#bfdbcf" stroked="false">
              <v:path arrowok="t"/>
              <v:fill type="solid"/>
            </v:shape>
            <v:shape style="position:absolute;left:2956;top:328;width:919;height:919" coordorigin="2956,329" coordsize="919,919" path="m3671,329l3569,335,3467,363,3365,399,3263,368,3160,361,3058,402,2956,634,3058,655,3160,866,3263,1042,3365,1198,3467,1205,3569,1199,3671,1224,3773,1247,3875,1247,3875,330,3773,330,3671,329xe" filled="true" fillcolor="#a4cdbd" stroked="false">
              <v:path arrowok="t"/>
              <v:fill type="solid"/>
            </v:shape>
            <v:shape style="position:absolute;left:2956;top:412;width:919;height:747" coordorigin="2956,412" coordsize="919,747" path="m3160,412l3058,428,2956,635,3058,632,3160,821,3263,981,3365,1126,3467,1129,3569,1120,3671,1139,3773,1159,3875,1159,3871,414,3769,414,3667,415,3565,422,3463,452,3363,481,3263,437,3160,412xe" filled="true" fillcolor="#8abfab" stroked="false">
              <v:path arrowok="t"/>
              <v:fill type="solid"/>
            </v:shape>
            <v:shape style="position:absolute;left:2956;top:447;width:919;height:629" coordorigin="2956,447" coordsize="919,629" path="m3058,447l2956,632,3058,611,3160,780,3263,928,3365,1063,3467,1063,3569,1049,3671,1061,3773,1076,3875,1076,3875,476,3773,476,3671,477,3569,487,3467,518,3365,545,3263,492,3160,453,3058,447xe" filled="true" fillcolor="#6fb39a" stroked="false">
              <v:path arrowok="t"/>
              <v:fill type="solid"/>
            </v:shape>
            <v:shape style="position:absolute;left:2956;top:467;width:919;height:545" coordorigin="2956,467" coordsize="919,545" path="m3058,467l2956,633,3058,596,3160,748,3263,885,3365,1012,3467,1010,3569,990,3671,996,3773,1005,3875,1005,3875,540,3773,540,3671,542,3569,551,3467,582,3365,607,3263,544,3160,492,3058,467xe" filled="true" fillcolor="#53a78b" stroked="false">
              <v:path arrowok="t"/>
              <v:fill type="solid"/>
            </v:shape>
            <v:shape style="position:absolute;left:2956;top:487;width:919;height:478" coordorigin="2956,487" coordsize="919,478" path="m3058,487l2956,634,3058,581,3160,719,3263,845,3365,965,3467,960,3569,936,3671,937,3773,943,3875,943,3875,600,3773,600,3671,603,3569,614,3467,647,3365,668,3263,595,3160,531,3058,487xe" filled="true" fillcolor="#309d7d" stroked="false">
              <v:path arrowok="t"/>
              <v:fill type="solid"/>
            </v:shape>
            <v:shape style="position:absolute;left:2956;top:503;width:919;height:413" coordorigin="2956,503" coordsize="919,413" path="m3058,503l2956,634,3058,566,3160,688,3263,804,3365,916,3467,908,3569,881,3671,877,3773,879,3875,879,3875,655,3773,655,3671,658,3569,669,3467,701,3365,719,3263,639,3160,563,3058,503xe" filled="true" fillcolor="#00936f" stroked="false">
              <v:path arrowok="t"/>
              <v:fill type="solid"/>
            </v:shape>
            <v:shape style="position:absolute;left:2956;top:519;width:919;height:353" coordorigin="2956,520" coordsize="919,353" path="m3058,520l2956,634,3058,552,3160,660,3263,767,3365,872,3467,862,3569,831,3671,821,3773,820,3875,820,3875,706,3773,706,3671,710,3569,723,3467,756,3365,772,3263,683,3160,597,3058,520xe" filled="true" fillcolor="#008256" stroked="false">
              <v:path arrowok="t"/>
              <v:fill type="solid"/>
            </v:shape>
            <v:shape style="position:absolute;left:874;top:79;width:3135;height:1269" coordorigin="875,80" coordsize="3135,1269" path="m3935,1348l4009,1348m3935,926l4009,926m3935,503l4009,503m4009,80l3935,80m875,503l949,503m875,80l949,80e" filled="false" stroked="true" strokeweight=".5pt" strokecolor="#000000">
              <v:path arrowok="t"/>
              <v:stroke dashstyle="solid"/>
            </v:shape>
            <v:shape style="position:absolute;left:1016;top:70;width:1940;height:1098" coordorigin="1017,71" coordsize="1940,1098" path="m1119,450l1017,71m1119,450l1221,864m1323,955l1221,864m1323,955l1425,803m1527,740l1425,803m1629,669l1527,740m1629,669l1731,551m1833,427l1731,551m1833,427l1935,281m2037,124l1935,281m2139,315l2037,124m2242,604l2139,315m2242,604l2344,728m2446,952l2344,728m2446,952l2548,1139m2548,1139l2650,1168m2650,1168l2752,1096m2752,1096l2854,967m2956,634l2854,967e" filled="false" stroked="true" strokeweight="1pt" strokecolor="#008256">
              <v:path arrowok="t"/>
              <v:stroke dashstyle="solid"/>
            </v:shape>
            <v:shape style="position:absolute;left:3971;top:1451;width:111;height:178" type="#_x0000_t202" filled="false" stroked="false">
              <v:textbox inset="0,0,0,0">
                <w:txbxContent>
                  <w:p>
                    <w:pPr>
                      <w:spacing w:line="177" w:lineRule="exact" w:before="0"/>
                      <w:ind w:left="0" w:right="0" w:firstLine="0"/>
                      <w:jc w:val="left"/>
                      <w:rPr>
                        <w:sz w:val="16"/>
                      </w:rPr>
                    </w:pPr>
                    <w:r>
                      <w:rPr>
                        <w:color w:val="231F20"/>
                        <w:sz w:val="16"/>
                      </w:rPr>
                      <w:t>+</w:t>
                    </w:r>
                  </w:p>
                </w:txbxContent>
              </v:textbox>
              <w10:wrap type="none"/>
            </v:shape>
            <w10:wrap type="none"/>
          </v:group>
        </w:pict>
      </w:r>
      <w:r>
        <w:rPr>
          <w:color w:val="231F20"/>
          <w:sz w:val="12"/>
        </w:rPr>
        <w:t>4</w:t>
      </w:r>
    </w:p>
    <w:p>
      <w:pPr>
        <w:pStyle w:val="BodyText"/>
        <w:rPr>
          <w:sz w:val="12"/>
        </w:rPr>
      </w:pPr>
    </w:p>
    <w:p>
      <w:pPr>
        <w:pStyle w:val="BodyText"/>
        <w:spacing w:before="9"/>
        <w:rPr>
          <w:sz w:val="12"/>
        </w:rPr>
      </w:pPr>
    </w:p>
    <w:p>
      <w:pPr>
        <w:spacing w:before="0"/>
        <w:ind w:left="0" w:right="412" w:firstLine="0"/>
        <w:jc w:val="right"/>
        <w:rPr>
          <w:sz w:val="12"/>
        </w:rPr>
      </w:pPr>
      <w:r>
        <w:rPr>
          <w:color w:val="231F20"/>
          <w:sz w:val="12"/>
        </w:rPr>
        <w:t>3</w:t>
      </w:r>
    </w:p>
    <w:p>
      <w:pPr>
        <w:pStyle w:val="BodyText"/>
        <w:rPr>
          <w:sz w:val="12"/>
        </w:rPr>
      </w:pPr>
    </w:p>
    <w:p>
      <w:pPr>
        <w:pStyle w:val="BodyText"/>
        <w:spacing w:before="9"/>
        <w:rPr>
          <w:sz w:val="12"/>
        </w:rPr>
      </w:pPr>
    </w:p>
    <w:p>
      <w:pPr>
        <w:spacing w:before="0"/>
        <w:ind w:left="0" w:right="412" w:firstLine="0"/>
        <w:jc w:val="right"/>
        <w:rPr>
          <w:sz w:val="12"/>
        </w:rPr>
      </w:pPr>
      <w:r>
        <w:rPr/>
        <w:pict>
          <v:line style="position:absolute;mso-position-horizontal-relative:page;mso-position-vertical-relative:paragraph;z-index:16259072" from="47.441001pt,3.998136pt" to="43.741001pt,3.998136pt" stroked="true" strokeweight=".5pt" strokecolor="#000000">
            <v:stroke dashstyle="solid"/>
            <w10:wrap type="none"/>
          </v:line>
        </w:pict>
      </w:r>
      <w:r>
        <w:rPr>
          <w:color w:val="231F20"/>
          <w:sz w:val="12"/>
        </w:rPr>
        <w:t>2</w:t>
      </w:r>
    </w:p>
    <w:p>
      <w:pPr>
        <w:pStyle w:val="BodyText"/>
        <w:rPr>
          <w:sz w:val="12"/>
        </w:rPr>
      </w:pPr>
    </w:p>
    <w:p>
      <w:pPr>
        <w:pStyle w:val="BodyText"/>
        <w:spacing w:before="8"/>
        <w:rPr>
          <w:sz w:val="12"/>
        </w:rPr>
      </w:pPr>
    </w:p>
    <w:p>
      <w:pPr>
        <w:spacing w:before="1"/>
        <w:ind w:left="0" w:right="412" w:firstLine="0"/>
        <w:jc w:val="right"/>
        <w:rPr>
          <w:sz w:val="12"/>
        </w:rPr>
      </w:pPr>
      <w:r>
        <w:rPr/>
        <w:pict>
          <v:line style="position:absolute;mso-position-horizontal-relative:page;mso-position-vertical-relative:paragraph;z-index:16258560" from="47.441001pt,4.047985pt" to="43.741001pt,4.047985pt" stroked="true" strokeweight=".5pt" strokecolor="#000000">
            <v:stroke dashstyle="solid"/>
            <w10:wrap type="none"/>
          </v:line>
        </w:pict>
      </w:r>
      <w:r>
        <w:rPr>
          <w:color w:val="231F20"/>
          <w:sz w:val="12"/>
        </w:rPr>
        <w:t>1</w:t>
      </w:r>
    </w:p>
    <w:p>
      <w:pPr>
        <w:pStyle w:val="BodyText"/>
        <w:rPr>
          <w:sz w:val="12"/>
        </w:rPr>
      </w:pPr>
    </w:p>
    <w:p>
      <w:pPr>
        <w:pStyle w:val="BodyText"/>
        <w:spacing w:before="8"/>
        <w:rPr>
          <w:sz w:val="12"/>
        </w:rPr>
      </w:pPr>
    </w:p>
    <w:p>
      <w:pPr>
        <w:spacing w:line="120" w:lineRule="exact" w:before="1"/>
        <w:ind w:left="0" w:right="412" w:firstLine="0"/>
        <w:jc w:val="right"/>
        <w:rPr>
          <w:sz w:val="12"/>
        </w:rPr>
      </w:pPr>
      <w:r>
        <w:rPr/>
        <w:pict>
          <v:group style="position:absolute;margin-left:43.741001pt;margin-top:3.799773pt;width:156.75pt;height:.65pt;mso-position-horizontal-relative:page;mso-position-vertical-relative:paragraph;z-index:16258048" coordorigin="875,76" coordsize="3135,13">
            <v:shape style="position:absolute;left:874;top:81;width:3135;height:2" coordorigin="875,81" coordsize="3135,2" path="m875,82l949,82m3935,81l4009,81e" filled="false" stroked="true" strokeweight=".5pt" strokecolor="#000000">
              <v:path arrowok="t"/>
              <v:stroke dashstyle="solid"/>
            </v:shape>
            <v:line style="position:absolute" from="1006,84" to="3886,84" stroked="true" strokeweight=".5pt" strokecolor="#231f20">
              <v:stroke dashstyle="solid"/>
            </v:line>
            <w10:wrap type="none"/>
          </v:group>
        </w:pict>
      </w:r>
      <w:r>
        <w:rPr>
          <w:color w:val="231F20"/>
          <w:sz w:val="12"/>
        </w:rPr>
        <w:t>0</w:t>
      </w:r>
    </w:p>
    <w:p>
      <w:pPr>
        <w:pStyle w:val="Heading6"/>
        <w:spacing w:line="242" w:lineRule="auto" w:before="216"/>
        <w:ind w:left="194" w:right="330"/>
      </w:pPr>
      <w:r>
        <w:rPr/>
        <w:br w:type="column"/>
      </w:r>
      <w:r>
        <w:rPr>
          <w:color w:val="231F20"/>
        </w:rPr>
        <w:t>and Agents’ reports that skilled labour shortages have increased over the past quarter, although in the case of the CBI survey for manufacturing the rise is only to the long-run historical average.</w:t>
      </w:r>
    </w:p>
    <w:p>
      <w:pPr>
        <w:pStyle w:val="BodyText"/>
        <w:spacing w:before="9"/>
        <w:rPr>
          <w:sz w:val="24"/>
        </w:rPr>
      </w:pPr>
    </w:p>
    <w:p>
      <w:pPr>
        <w:spacing w:line="242" w:lineRule="auto" w:before="0"/>
        <w:ind w:left="194" w:right="165" w:firstLine="0"/>
        <w:jc w:val="left"/>
        <w:rPr>
          <w:sz w:val="24"/>
        </w:rPr>
      </w:pPr>
      <w:r>
        <w:rPr>
          <w:color w:val="231F20"/>
          <w:sz w:val="24"/>
        </w:rPr>
        <w:t>Drawing these elements together, the central projection for four-quarter GDP growth is shown in Chart 6.1.</w:t>
      </w:r>
      <w:r>
        <w:rPr>
          <w:color w:val="231F20"/>
          <w:position w:val="5"/>
          <w:sz w:val="16"/>
        </w:rPr>
        <w:t>(1) </w:t>
      </w:r>
      <w:r>
        <w:rPr>
          <w:color w:val="231F20"/>
          <w:sz w:val="24"/>
        </w:rPr>
        <w:t>The momentum in growth is fuelled by buoyant final domestic demand. Nonetheless, the pace of overall GDP growth may slow a little from above-trend rates in the coming quarters, as the effects of the higher real exchange rate and monetary policy tightening work through. Four-quarter growth is likely to settle in the</w:t>
      </w:r>
    </w:p>
    <w:p>
      <w:pPr>
        <w:spacing w:after="0" w:line="242" w:lineRule="auto"/>
        <w:jc w:val="left"/>
        <w:rPr>
          <w:sz w:val="24"/>
        </w:rPr>
        <w:sectPr>
          <w:type w:val="continuous"/>
          <w:pgSz w:w="11900" w:h="16840"/>
          <w:pgMar w:top="1220" w:bottom="280" w:left="620" w:right="640"/>
          <w:cols w:num="2" w:equalWidth="0">
            <w:col w:w="3907" w:space="888"/>
            <w:col w:w="5845"/>
          </w:cols>
        </w:sectPr>
      </w:pPr>
    </w:p>
    <w:p>
      <w:pPr>
        <w:tabs>
          <w:tab w:pos="5108" w:val="left" w:leader="none"/>
          <w:tab w:pos="5735" w:val="left" w:leader="none"/>
        </w:tabs>
        <w:spacing w:line="19" w:lineRule="exact" w:before="0"/>
        <w:ind w:left="3355" w:right="0" w:firstLine="0"/>
        <w:jc w:val="left"/>
        <w:rPr>
          <w:sz w:val="12"/>
        </w:rPr>
      </w:pPr>
      <w:r>
        <w:rPr>
          <w:color w:val="231F20"/>
          <w:position w:val="1"/>
          <w:sz w:val="16"/>
        </w:rPr>
        <w:t>_</w:t>
        <w:tab/>
      </w:r>
      <w:r>
        <w:rPr>
          <w:color w:val="231F20"/>
          <w:sz w:val="12"/>
        </w:rPr>
        <w:t>1</w:t>
        <w:tab/>
        <w:t>1</w:t>
      </w:r>
    </w:p>
    <w:p>
      <w:pPr>
        <w:spacing w:after="0" w:line="19" w:lineRule="exact"/>
        <w:jc w:val="left"/>
        <w:rPr>
          <w:sz w:val="12"/>
        </w:rPr>
        <w:sectPr>
          <w:type w:val="continuous"/>
          <w:pgSz w:w="11900" w:h="16840"/>
          <w:pgMar w:top="1220" w:bottom="280" w:left="620" w:right="640"/>
        </w:sectPr>
      </w:pPr>
    </w:p>
    <w:p>
      <w:pPr>
        <w:pStyle w:val="BodyText"/>
        <w:rPr>
          <w:sz w:val="12"/>
        </w:rPr>
      </w:pPr>
    </w:p>
    <w:p>
      <w:pPr>
        <w:pStyle w:val="BodyText"/>
        <w:spacing w:before="7"/>
        <w:rPr>
          <w:sz w:val="12"/>
        </w:rPr>
      </w:pPr>
    </w:p>
    <w:p>
      <w:pPr>
        <w:spacing w:line="126" w:lineRule="exact" w:before="0"/>
        <w:ind w:left="3431" w:right="0" w:firstLine="0"/>
        <w:jc w:val="left"/>
        <w:rPr>
          <w:sz w:val="12"/>
        </w:rPr>
      </w:pPr>
      <w:r>
        <w:rPr/>
        <w:pict>
          <v:shape style="position:absolute;margin-left:43.532001pt;margin-top:-1.812439pt;width:157.050pt;height:6pt;mso-position-horizontal-relative:page;mso-position-vertical-relative:paragraph;z-index:16257536" coordorigin="871,-36" coordsize="3141,120" path="m3883,81l1017,81m1017,-31l1017,84m1119,7l1119,81m1221,7l1221,81m1323,7l1323,81m1425,-34l1425,84m1527,81l1527,7m1629,7l1629,81m1731,81l1731,7m1833,84l1833,-34m1935,81l1935,7m2037,7l2037,81m2139,81l2139,7m2242,-34l2242,84m2344,81l2344,7m2446,81l2446,7m2548,81l2548,7m2650,-35l2650,84m2752,7l2752,81m2854,7l2854,81m2956,7l2956,81m3058,-35l3058,84m3160,7l3160,81m3262,81l3262,7m3364,81l3364,7m3466,84l3466,-34m3568,7l3568,81m3670,81l3670,7m3773,81l3773,7m3875,-36l3875,81m946,80l871,80m3929,80l4011,80e" filled="false" stroked="true" strokeweight=".5pt" strokecolor="#000000">
            <v:path arrowok="t"/>
            <v:stroke dashstyle="solid"/>
            <w10:wrap type="none"/>
          </v:shape>
        </w:pict>
      </w:r>
      <w:r>
        <w:rPr>
          <w:color w:val="231F20"/>
          <w:sz w:val="12"/>
        </w:rPr>
        <w:t>1</w:t>
      </w:r>
    </w:p>
    <w:p>
      <w:pPr>
        <w:tabs>
          <w:tab w:pos="955" w:val="left" w:leader="none"/>
          <w:tab w:pos="1355" w:val="left" w:leader="none"/>
          <w:tab w:pos="1762" w:val="left" w:leader="none"/>
          <w:tab w:pos="2182" w:val="left" w:leader="none"/>
          <w:tab w:pos="2515" w:val="left" w:leader="none"/>
          <w:tab w:pos="3002" w:val="left" w:leader="none"/>
        </w:tabs>
        <w:spacing w:line="126" w:lineRule="exact" w:before="0"/>
        <w:ind w:left="475" w:right="0" w:firstLine="0"/>
        <w:jc w:val="left"/>
        <w:rPr>
          <w:sz w:val="12"/>
        </w:rPr>
      </w:pPr>
      <w:r>
        <w:rPr>
          <w:color w:val="231F20"/>
          <w:sz w:val="12"/>
        </w:rPr>
        <w:t>1995</w:t>
        <w:tab/>
        <w:t>96</w:t>
        <w:tab/>
        <w:t>97</w:t>
        <w:tab/>
        <w:t>98</w:t>
        <w:tab/>
        <w:t>99</w:t>
        <w:tab/>
        <w:t>2000</w:t>
        <w:tab/>
        <w:t>01</w:t>
      </w:r>
      <w:r>
        <w:rPr>
          <w:color w:val="231F20"/>
          <w:spacing w:val="17"/>
          <w:sz w:val="12"/>
        </w:rPr>
        <w:t> </w:t>
      </w:r>
      <w:r>
        <w:rPr>
          <w:color w:val="231F20"/>
          <w:sz w:val="12"/>
        </w:rPr>
        <w:t>02</w:t>
      </w:r>
    </w:p>
    <w:p>
      <w:pPr>
        <w:pStyle w:val="BodyText"/>
        <w:rPr>
          <w:sz w:val="12"/>
        </w:rPr>
      </w:pPr>
    </w:p>
    <w:p>
      <w:pPr>
        <w:pStyle w:val="BodyText"/>
        <w:spacing w:before="1"/>
        <w:rPr>
          <w:sz w:val="13"/>
        </w:rPr>
      </w:pPr>
    </w:p>
    <w:p>
      <w:pPr>
        <w:spacing w:line="208" w:lineRule="auto" w:before="0"/>
        <w:ind w:left="194" w:right="20" w:firstLine="0"/>
        <w:jc w:val="left"/>
        <w:rPr>
          <w:sz w:val="12"/>
        </w:rPr>
      </w:pPr>
      <w:r>
        <w:rPr>
          <w:color w:val="231F20"/>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pStyle w:val="Heading6"/>
        <w:spacing w:line="242" w:lineRule="auto"/>
        <w:ind w:left="194" w:right="220"/>
      </w:pPr>
      <w:r>
        <w:rPr/>
        <w:br w:type="column"/>
      </w:r>
      <w:r>
        <w:rPr>
          <w:color w:val="231F20"/>
        </w:rPr>
        <w:t>2 /</w:t>
      </w:r>
      <w:r>
        <w:rPr>
          <w:color w:val="231F20"/>
          <w:sz w:val="12"/>
        </w:rPr>
        <w:t>4</w:t>
      </w:r>
      <w:r>
        <w:rPr>
          <w:color w:val="231F20"/>
        </w:rPr>
        <w:t>%–2 /</w:t>
      </w:r>
      <w:r>
        <w:rPr>
          <w:color w:val="231F20"/>
          <w:sz w:val="12"/>
        </w:rPr>
        <w:t>2</w:t>
      </w:r>
      <w:r>
        <w:rPr>
          <w:color w:val="231F20"/>
        </w:rPr>
        <w:t>% range over the next two years. The outlook is a little softer than in the November projection.</w:t>
      </w:r>
    </w:p>
    <w:p>
      <w:pPr>
        <w:spacing w:line="242" w:lineRule="auto" w:before="0"/>
        <w:ind w:left="194" w:right="166" w:firstLine="0"/>
        <w:jc w:val="left"/>
        <w:rPr>
          <w:sz w:val="24"/>
        </w:rPr>
      </w:pPr>
      <w:r>
        <w:rPr>
          <w:color w:val="231F20"/>
          <w:sz w:val="24"/>
        </w:rPr>
        <w:t>Although higher income and wealth will spur more rapid consumer spending growth in the near term, the stimulus will be more than outweighed over the next two years by the impact of the higher exchange rate and past interest rate increases.</w:t>
      </w:r>
    </w:p>
    <w:p>
      <w:pPr>
        <w:pStyle w:val="BodyText"/>
        <w:spacing w:before="2"/>
        <w:rPr>
          <w:sz w:val="24"/>
        </w:rPr>
      </w:pPr>
    </w:p>
    <w:p>
      <w:pPr>
        <w:spacing w:line="242" w:lineRule="auto" w:before="0"/>
        <w:ind w:left="194" w:right="176" w:hanging="1"/>
        <w:jc w:val="left"/>
        <w:rPr>
          <w:sz w:val="24"/>
        </w:rPr>
      </w:pPr>
      <w:r>
        <w:rPr>
          <w:color w:val="231F20"/>
          <w:sz w:val="24"/>
        </w:rPr>
        <w:t>Recent </w:t>
      </w:r>
      <w:r>
        <w:rPr>
          <w:i/>
          <w:color w:val="231F20"/>
          <w:sz w:val="24"/>
        </w:rPr>
        <w:t>Inflation Reports </w:t>
      </w:r>
      <w:r>
        <w:rPr>
          <w:color w:val="231F20"/>
          <w:sz w:val="24"/>
        </w:rPr>
        <w:t>have highlighted the considerable uncertainty surrounding the short-term links between activity and inflation. It was noted in </w:t>
      </w:r>
      <w:r>
        <w:rPr>
          <w:color w:val="231F20"/>
          <w:spacing w:val="-5"/>
          <w:sz w:val="24"/>
        </w:rPr>
        <w:t>both </w:t>
      </w:r>
      <w:r>
        <w:rPr>
          <w:color w:val="231F20"/>
          <w:sz w:val="24"/>
        </w:rPr>
        <w:t>the August and November </w:t>
      </w:r>
      <w:r>
        <w:rPr>
          <w:i/>
          <w:color w:val="231F20"/>
          <w:sz w:val="24"/>
        </w:rPr>
        <w:t>Reports </w:t>
      </w:r>
      <w:r>
        <w:rPr>
          <w:color w:val="231F20"/>
          <w:sz w:val="24"/>
        </w:rPr>
        <w:t>that output growth had strengthened more quickly in early 1999 than previously estimated by the Committee, while at the same time RPIX inflation outturns had been lower than earlier projected. Interpreting the evidence on the links between activity and inflation remains difficult.  Over the past three months, output growth and inflation have been broadly in line with the November central projection, but this has provided little information on the likely relationship over the next two years.  A wide range of factors can influence the link, for example: global price trends;  exchange rate prospects;  labour cost pressures; and developments in profit margins and pricing behaviour more generally, as well as the likely path for output and demand pressure. And, of course, central to the projections is an assessment of the monetary policy stance, which ultimately determines the rate of inflation in the medium term. The Committee reviewed the recent evidence on these various influences and reconsidered the forecast assumptions.</w:t>
      </w:r>
    </w:p>
    <w:p>
      <w:pPr>
        <w:pStyle w:val="BodyText"/>
        <w:spacing w:before="7"/>
        <w:rPr>
          <w:sz w:val="28"/>
        </w:rPr>
      </w:pPr>
    </w:p>
    <w:p>
      <w:pPr>
        <w:spacing w:line="242" w:lineRule="auto" w:before="1"/>
        <w:ind w:left="194" w:right="220" w:firstLine="0"/>
        <w:jc w:val="left"/>
        <w:rPr>
          <w:sz w:val="24"/>
        </w:rPr>
      </w:pPr>
      <w:r>
        <w:rPr>
          <w:color w:val="231F20"/>
          <w:sz w:val="24"/>
        </w:rPr>
        <w:t>Monetary indicators provide mixed signals on the outlook. Aggregate broad money growth remains weak. But that probably conveys little information on overall prospects: recent movements in the aggregate continue to be dominated by falls in deposits held by other</w:t>
      </w:r>
    </w:p>
    <w:p>
      <w:pPr>
        <w:spacing w:after="0" w:line="242" w:lineRule="auto"/>
        <w:jc w:val="left"/>
        <w:rPr>
          <w:sz w:val="24"/>
        </w:rPr>
        <w:sectPr>
          <w:type w:val="continuous"/>
          <w:pgSz w:w="11900" w:h="16840"/>
          <w:pgMar w:top="1220" w:bottom="280" w:left="620" w:right="640"/>
          <w:cols w:num="2" w:equalWidth="0">
            <w:col w:w="3544" w:space="1250"/>
            <w:col w:w="5846"/>
          </w:cols>
        </w:sectPr>
      </w:pPr>
    </w:p>
    <w:p>
      <w:pPr>
        <w:pStyle w:val="BodyText"/>
        <w:spacing w:before="9" w:after="1"/>
        <w:rPr>
          <w:sz w:val="16"/>
        </w:rPr>
      </w:pPr>
    </w:p>
    <w:p>
      <w:pPr>
        <w:pStyle w:val="BodyText"/>
        <w:spacing w:line="20" w:lineRule="exact"/>
        <w:ind w:left="4948"/>
        <w:rPr>
          <w:sz w:val="2"/>
        </w:rPr>
      </w:pPr>
      <w:r>
        <w:rPr>
          <w:sz w:val="2"/>
        </w:rPr>
        <w:pict>
          <v:group style="width:277pt;height:.15pt;mso-position-horizontal-relative:char;mso-position-vertical-relative:line" coordorigin="0,0" coordsize="5540,3">
            <v:line style="position:absolute" from="0,1" to="5540,1" stroked="true" strokeweight=".125pt" strokecolor="#231f20">
              <v:stroke dashstyle="solid"/>
            </v:line>
          </v:group>
        </w:pict>
      </w:r>
      <w:r>
        <w:rPr>
          <w:sz w:val="2"/>
        </w:rPr>
      </w:r>
    </w:p>
    <w:p>
      <w:pPr>
        <w:pStyle w:val="ListParagraph"/>
        <w:numPr>
          <w:ilvl w:val="0"/>
          <w:numId w:val="37"/>
        </w:numPr>
        <w:tabs>
          <w:tab w:pos="5241" w:val="left" w:leader="none"/>
        </w:tabs>
        <w:spacing w:line="240" w:lineRule="auto" w:before="2" w:after="0"/>
        <w:ind w:left="5240" w:right="0" w:hanging="267"/>
        <w:jc w:val="left"/>
        <w:rPr>
          <w:sz w:val="16"/>
        </w:rPr>
      </w:pPr>
      <w:hyperlink w:history="true" w:anchor="_bookmark1">
        <w:r>
          <w:rPr>
            <w:color w:val="231F20"/>
            <w:sz w:val="16"/>
          </w:rPr>
          <w:t>Also shown as Chart 1 in the Overview.</w:t>
        </w:r>
      </w:hyperlink>
    </w:p>
    <w:p>
      <w:pPr>
        <w:spacing w:after="0" w:line="240" w:lineRule="auto"/>
        <w:jc w:val="left"/>
        <w:rPr>
          <w:sz w:val="16"/>
        </w:rPr>
        <w:sectPr>
          <w:type w:val="continuous"/>
          <w:pgSz w:w="11900" w:h="16840"/>
          <w:pgMar w:top="1220" w:bottom="280" w:left="620" w:right="640"/>
        </w:sectPr>
      </w:pPr>
    </w:p>
    <w:p>
      <w:pPr>
        <w:pStyle w:val="BodyText"/>
        <w:rPr>
          <w:sz w:val="20"/>
        </w:rPr>
      </w:pPr>
    </w:p>
    <w:p>
      <w:pPr>
        <w:pStyle w:val="Heading6"/>
        <w:spacing w:line="242" w:lineRule="auto" w:before="226"/>
        <w:ind w:left="4989" w:right="218"/>
      </w:pPr>
      <w:r>
        <w:rPr>
          <w:color w:val="231F20"/>
        </w:rPr>
        <w:t>financial corporations which have little direct link with nominal spending. Excluding this component, annual broad money growth appears stable. Household credit data show greater strength, and corroborate the buoyant near-term outlook for consumer spending. </w:t>
      </w:r>
      <w:r>
        <w:rPr>
          <w:color w:val="231F20"/>
          <w:spacing w:val="-4"/>
        </w:rPr>
        <w:t>Total </w:t>
      </w:r>
      <w:r>
        <w:rPr>
          <w:color w:val="231F20"/>
          <w:spacing w:val="-3"/>
        </w:rPr>
        <w:t>lending </w:t>
      </w:r>
      <w:r>
        <w:rPr>
          <w:color w:val="231F20"/>
        </w:rPr>
        <w:t>to individuals has risen by more than 9% in the past year, the fastest increase since the early 1990s. Narrow money growth also picked up in 1999, consistent with a pick-up in retail sales growth: recent data have, however, been distorted by swings in cash holdings</w:t>
      </w:r>
      <w:r>
        <w:rPr>
          <w:color w:val="231F20"/>
          <w:spacing w:val="-10"/>
        </w:rPr>
        <w:t> </w:t>
      </w:r>
      <w:r>
        <w:rPr>
          <w:color w:val="231F20"/>
        </w:rPr>
        <w:t>over the millennium date change. Monetary policy has tightened since November, with the </w:t>
      </w:r>
      <w:r>
        <w:rPr>
          <w:color w:val="231F20"/>
          <w:spacing w:val="-3"/>
        </w:rPr>
        <w:t>Bank’s </w:t>
      </w:r>
      <w:r>
        <w:rPr>
          <w:color w:val="231F20"/>
        </w:rPr>
        <w:t>repo rate up by 50 basis points. The increase in short-term rates was a little above market expectations three months ago, and longer-term yields have increased a little since the November</w:t>
      </w:r>
      <w:r>
        <w:rPr>
          <w:color w:val="231F20"/>
          <w:spacing w:val="-1"/>
        </w:rPr>
        <w:t> </w:t>
      </w:r>
      <w:r>
        <w:rPr>
          <w:i/>
          <w:color w:val="231F20"/>
        </w:rPr>
        <w:t>Report</w:t>
      </w:r>
      <w:r>
        <w:rPr>
          <w:color w:val="231F20"/>
        </w:rPr>
        <w:t>.</w:t>
      </w:r>
    </w:p>
    <w:p>
      <w:pPr>
        <w:pStyle w:val="BodyText"/>
        <w:spacing w:before="7"/>
        <w:rPr>
          <w:sz w:val="29"/>
        </w:rPr>
      </w:pPr>
    </w:p>
    <w:p>
      <w:pPr>
        <w:spacing w:line="242" w:lineRule="auto" w:before="0"/>
        <w:ind w:left="4988" w:right="340" w:firstLine="0"/>
        <w:jc w:val="left"/>
        <w:rPr>
          <w:sz w:val="24"/>
        </w:rPr>
      </w:pPr>
      <w:r>
        <w:rPr>
          <w:color w:val="231F20"/>
          <w:sz w:val="24"/>
        </w:rPr>
        <w:t>Although pay settlements are fairly stable and if anything drifting down, nominal earnings growth has edged up in recent months, and the latest outturns for earnings are stronger than expected three months ago. A number of factors may account for the rise in wage drift, including higher merit awards and bonuses as firms pay more to retain and recruit staff, a change in the overtime trend as activity recovers, and a change in the composition of the labour force towards</w:t>
      </w:r>
    </w:p>
    <w:p>
      <w:pPr>
        <w:spacing w:line="242" w:lineRule="auto" w:before="11"/>
        <w:ind w:left="4988" w:right="188" w:firstLine="0"/>
        <w:jc w:val="left"/>
        <w:rPr>
          <w:sz w:val="24"/>
        </w:rPr>
      </w:pPr>
      <w:r>
        <w:rPr>
          <w:color w:val="231F20"/>
          <w:sz w:val="24"/>
        </w:rPr>
        <w:t>higher-skilled workers. There are some indications </w:t>
      </w:r>
      <w:r>
        <w:rPr>
          <w:color w:val="231F20"/>
          <w:spacing w:val="-4"/>
          <w:sz w:val="24"/>
        </w:rPr>
        <w:t>from </w:t>
      </w:r>
      <w:r>
        <w:rPr>
          <w:color w:val="231F20"/>
          <w:sz w:val="24"/>
        </w:rPr>
        <w:t>contacts of the </w:t>
      </w:r>
      <w:r>
        <w:rPr>
          <w:color w:val="231F20"/>
          <w:spacing w:val="-3"/>
          <w:sz w:val="24"/>
        </w:rPr>
        <w:t>Bank’s </w:t>
      </w:r>
      <w:r>
        <w:rPr>
          <w:color w:val="231F20"/>
          <w:sz w:val="24"/>
        </w:rPr>
        <w:t>regional Agents that job losses in manufacturing industry over the past year have been disproportionately weighted towards lower-skilled and lower-paid workers, and also that firms taking on new staff have sometimes had to pay a premium over existing pay rates.</w:t>
      </w:r>
    </w:p>
    <w:p>
      <w:pPr>
        <w:pStyle w:val="BodyText"/>
        <w:spacing w:before="7"/>
        <w:rPr>
          <w:sz w:val="28"/>
        </w:rPr>
      </w:pPr>
    </w:p>
    <w:p>
      <w:pPr>
        <w:spacing w:line="242" w:lineRule="auto" w:before="0"/>
        <w:ind w:left="4988" w:right="216" w:firstLine="0"/>
        <w:jc w:val="left"/>
        <w:rPr>
          <w:sz w:val="24"/>
        </w:rPr>
      </w:pPr>
      <w:r>
        <w:rPr>
          <w:color w:val="231F20"/>
          <w:sz w:val="24"/>
        </w:rPr>
        <w:t>The Committee has revised up the path for nominal earnings growth since the November forecast. The stronger-than-expected outturns in recent months suggest rather greater momentum than previously envisaged. Future nominal earnings growth may also be supported by a rather stronger profits position than expected three months ago. Since the November </w:t>
      </w:r>
      <w:r>
        <w:rPr>
          <w:i/>
          <w:color w:val="231F20"/>
          <w:sz w:val="24"/>
        </w:rPr>
        <w:t>Report </w:t>
      </w:r>
      <w:r>
        <w:rPr>
          <w:color w:val="231F20"/>
          <w:sz w:val="24"/>
        </w:rPr>
        <w:t>there has been a significant upward revision to estimates of the share of profits in national income in recent quarters. The stronger profit position could indicate that firms will be less resistant to upward pressure on real wages than expected in November.</w:t>
      </w:r>
    </w:p>
    <w:p>
      <w:pPr>
        <w:pStyle w:val="BodyText"/>
        <w:spacing w:before="10"/>
        <w:rPr>
          <w:sz w:val="30"/>
        </w:rPr>
      </w:pPr>
    </w:p>
    <w:p>
      <w:pPr>
        <w:spacing w:line="242" w:lineRule="auto" w:before="0"/>
        <w:ind w:left="4988" w:right="0" w:firstLine="0"/>
        <w:jc w:val="left"/>
        <w:rPr>
          <w:sz w:val="24"/>
        </w:rPr>
      </w:pPr>
      <w:r>
        <w:rPr>
          <w:color w:val="231F20"/>
          <w:sz w:val="24"/>
        </w:rPr>
        <w:t>There are signs in the latest data that labour </w:t>
      </w:r>
      <w:r>
        <w:rPr>
          <w:color w:val="231F20"/>
          <w:spacing w:val="-2"/>
          <w:sz w:val="24"/>
        </w:rPr>
        <w:t>productivity </w:t>
      </w:r>
      <w:r>
        <w:rPr>
          <w:color w:val="231F20"/>
          <w:sz w:val="24"/>
        </w:rPr>
        <w:t>growth is strengthening, especially in manufacturing.</w:t>
      </w:r>
    </w:p>
    <w:p>
      <w:pPr>
        <w:spacing w:line="242" w:lineRule="auto" w:before="3"/>
        <w:ind w:left="4988" w:right="0" w:firstLine="0"/>
        <w:jc w:val="left"/>
        <w:rPr>
          <w:sz w:val="24"/>
        </w:rPr>
      </w:pPr>
      <w:r>
        <w:rPr>
          <w:color w:val="231F20"/>
          <w:sz w:val="24"/>
        </w:rPr>
        <w:t>The improvement is in line with the cyclical </w:t>
      </w:r>
      <w:r>
        <w:rPr>
          <w:color w:val="231F20"/>
          <w:spacing w:val="-3"/>
          <w:sz w:val="24"/>
        </w:rPr>
        <w:t>recovery </w:t>
      </w:r>
      <w:r>
        <w:rPr>
          <w:color w:val="231F20"/>
          <w:sz w:val="24"/>
        </w:rPr>
        <w:t>projected in November.  The Committee continues</w:t>
      </w:r>
      <w:r>
        <w:rPr>
          <w:color w:val="231F20"/>
          <w:spacing w:val="-14"/>
          <w:sz w:val="24"/>
        </w:rPr>
        <w:t> </w:t>
      </w:r>
      <w:r>
        <w:rPr>
          <w:color w:val="231F20"/>
          <w:sz w:val="24"/>
        </w:rPr>
        <w:t>to</w:t>
      </w:r>
    </w:p>
    <w:p>
      <w:pPr>
        <w:spacing w:after="0" w:line="242" w:lineRule="auto"/>
        <w:jc w:val="left"/>
        <w:rPr>
          <w:sz w:val="24"/>
        </w:rPr>
        <w:sectPr>
          <w:pgSz w:w="11900" w:h="16840"/>
          <w:pgMar w:header="584" w:footer="617" w:top="780" w:bottom="800" w:left="620" w:right="640"/>
        </w:sectPr>
      </w:pPr>
    </w:p>
    <w:p>
      <w:pPr>
        <w:pStyle w:val="BodyText"/>
        <w:rPr>
          <w:sz w:val="20"/>
        </w:rPr>
      </w:pPr>
    </w:p>
    <w:p>
      <w:pPr>
        <w:spacing w:line="242" w:lineRule="auto" w:before="226"/>
        <w:ind w:left="4974" w:right="371" w:firstLine="0"/>
        <w:jc w:val="left"/>
        <w:rPr>
          <w:sz w:val="24"/>
        </w:rPr>
      </w:pPr>
      <w:r>
        <w:rPr>
          <w:color w:val="231F20"/>
          <w:sz w:val="24"/>
        </w:rPr>
        <w:t>expect that labour productivity growth will return to its long-run historical average trend over the next two years. Stronger productivity growth acts to dampen upward pressures on costs, for example from faster growth in earnings.</w:t>
      </w:r>
    </w:p>
    <w:p>
      <w:pPr>
        <w:pStyle w:val="BodyText"/>
        <w:spacing w:before="1"/>
        <w:rPr>
          <w:sz w:val="30"/>
        </w:rPr>
      </w:pPr>
    </w:p>
    <w:p>
      <w:pPr>
        <w:spacing w:line="242" w:lineRule="auto" w:before="0"/>
        <w:ind w:left="4974" w:right="235" w:firstLine="0"/>
        <w:jc w:val="left"/>
        <w:rPr>
          <w:sz w:val="24"/>
        </w:rPr>
      </w:pPr>
      <w:r>
        <w:rPr>
          <w:color w:val="231F20"/>
          <w:sz w:val="24"/>
        </w:rPr>
        <w:t>Productivity growth is a key determinant of the supply potential of the economy. Faster productivity growth on a sustained basis would raise the trend growth rate.</w:t>
      </w:r>
    </w:p>
    <w:p>
      <w:pPr>
        <w:spacing w:line="242" w:lineRule="auto" w:before="4"/>
        <w:ind w:left="4974" w:right="281" w:firstLine="0"/>
        <w:jc w:val="left"/>
        <w:rPr>
          <w:sz w:val="24"/>
        </w:rPr>
      </w:pPr>
      <w:r>
        <w:rPr>
          <w:color w:val="231F20"/>
          <w:sz w:val="24"/>
        </w:rPr>
        <w:t>Estimating the long-term trend growth rate is difficult. Productivity growth varies over the economic cycle and is hard to measure. It is difficult to separate changes in the long-run trend from variations over the cycle and from normal random fluctuations and measurement error. The Committee consequently places emphasis on empirical trends as the best guide to estimating</w:t>
      </w:r>
    </w:p>
    <w:p>
      <w:pPr>
        <w:spacing w:line="242" w:lineRule="auto" w:before="9"/>
        <w:ind w:left="4974" w:right="313" w:firstLine="0"/>
        <w:jc w:val="left"/>
        <w:rPr>
          <w:sz w:val="24"/>
        </w:rPr>
      </w:pPr>
      <w:r>
        <w:rPr>
          <w:color w:val="231F20"/>
          <w:sz w:val="24"/>
        </w:rPr>
        <w:t>long-term productive potential, but is alert to any evidence of structural change. Over the past 40 years, labour productivity in the United Kingdom has risen by around 2% per annum. That remains the central projection for the long-term trend.</w:t>
      </w:r>
    </w:p>
    <w:p>
      <w:pPr>
        <w:pStyle w:val="BodyText"/>
        <w:spacing w:before="4"/>
        <w:rPr>
          <w:sz w:val="28"/>
        </w:rPr>
      </w:pPr>
    </w:p>
    <w:p>
      <w:pPr>
        <w:spacing w:line="242" w:lineRule="auto" w:before="0"/>
        <w:ind w:left="4974" w:right="212" w:firstLine="0"/>
        <w:jc w:val="left"/>
        <w:rPr>
          <w:sz w:val="24"/>
        </w:rPr>
      </w:pPr>
      <w:r>
        <w:rPr>
          <w:color w:val="231F20"/>
          <w:sz w:val="24"/>
        </w:rPr>
        <w:t>The November projection incorporated a number of adjustments to the inflation outlook, reflecting the possibility that there may be a further compression of price-cost margins in a number of sectors, which could have a temporary impact on inflation as the adjustment to a lower level of margins takes place. Although equity prices overall have risen, the share prices of UK retailers have fallen sharply over the past year, consistent with a weaker outlook for retail profitability and the possibility of a compression of price-cost margins.  The share prices of utilities have also declined substantially, as regulators have announced substantial cuts in prospective prices.</w:t>
      </w:r>
    </w:p>
    <w:p>
      <w:pPr>
        <w:pStyle w:val="BodyText"/>
        <w:spacing w:before="3"/>
        <w:rPr>
          <w:sz w:val="29"/>
        </w:rPr>
      </w:pPr>
    </w:p>
    <w:p>
      <w:pPr>
        <w:spacing w:line="242" w:lineRule="auto" w:before="0"/>
        <w:ind w:left="4974" w:right="247" w:firstLine="0"/>
        <w:jc w:val="left"/>
        <w:rPr>
          <w:sz w:val="24"/>
        </w:rPr>
      </w:pPr>
      <w:r>
        <w:rPr>
          <w:color w:val="231F20"/>
          <w:sz w:val="24"/>
        </w:rPr>
        <w:t>The best collective judgment is that these adjustments should be increased a little in the February projection. Competitive pressures in some sectors, such as cars, appear to be intensifying more rapidly than judged three months ago. Although there is considerable uncertainty surrounding both the magnitude and duration of the potential impact of such developments on aggregate inflation, the adjustment in the central projection assumes that these effects take place throughout the forecast period, reducing inflation by around</w:t>
      </w:r>
    </w:p>
    <w:p>
      <w:pPr>
        <w:spacing w:before="13"/>
        <w:ind w:left="4974" w:right="0" w:firstLine="0"/>
        <w:jc w:val="left"/>
        <w:rPr>
          <w:sz w:val="24"/>
        </w:rPr>
      </w:pPr>
      <w:r>
        <w:rPr>
          <w:color w:val="231F20"/>
          <w:sz w:val="24"/>
        </w:rPr>
        <w:t>0.25 percentage points in the first year and by</w:t>
      </w:r>
    </w:p>
    <w:p>
      <w:pPr>
        <w:spacing w:line="242" w:lineRule="auto" w:before="4"/>
        <w:ind w:left="4974" w:right="235" w:firstLine="0"/>
        <w:jc w:val="left"/>
        <w:rPr>
          <w:sz w:val="24"/>
        </w:rPr>
      </w:pPr>
      <w:r>
        <w:rPr>
          <w:color w:val="231F20"/>
          <w:sz w:val="24"/>
        </w:rPr>
        <w:t>0.3 percentage points in the second. The latest evidence on utilities prices is consistent with the November </w:t>
      </w:r>
      <w:r>
        <w:rPr>
          <w:i/>
          <w:color w:val="231F20"/>
          <w:sz w:val="24"/>
        </w:rPr>
        <w:t>Report </w:t>
      </w:r>
      <w:r>
        <w:rPr>
          <w:color w:val="231F20"/>
          <w:sz w:val="24"/>
        </w:rPr>
        <w:t>and so the previous adjustments have been maintained in the central projection.</w:t>
      </w:r>
    </w:p>
    <w:p>
      <w:pPr>
        <w:spacing w:after="0" w:line="242" w:lineRule="auto"/>
        <w:jc w:val="left"/>
        <w:rPr>
          <w:sz w:val="24"/>
        </w:rPr>
        <w:sectPr>
          <w:pgSz w:w="11900" w:h="16840"/>
          <w:pgMar w:header="584" w:footer="597" w:top="780" w:bottom="780" w:left="620" w:right="640"/>
        </w:sectPr>
      </w:pPr>
    </w:p>
    <w:p>
      <w:pPr>
        <w:pStyle w:val="BodyText"/>
        <w:rPr>
          <w:sz w:val="20"/>
        </w:rPr>
      </w:pPr>
    </w:p>
    <w:p>
      <w:pPr>
        <w:spacing w:line="242" w:lineRule="auto" w:before="226"/>
        <w:ind w:left="4984" w:right="170" w:firstLine="0"/>
        <w:jc w:val="left"/>
        <w:rPr>
          <w:sz w:val="24"/>
        </w:rPr>
      </w:pPr>
      <w:bookmarkStart w:name="_bookmark31" w:id="76"/>
      <w:bookmarkEnd w:id="76"/>
      <w:r>
        <w:rPr/>
      </w:r>
      <w:r>
        <w:rPr>
          <w:color w:val="231F20"/>
          <w:sz w:val="24"/>
        </w:rPr>
        <w:t>Different Committee members prefer alternative assumptions for margins adjustments, reflecting </w:t>
      </w:r>
      <w:r>
        <w:rPr>
          <w:color w:val="231F20"/>
          <w:spacing w:val="-3"/>
          <w:sz w:val="24"/>
        </w:rPr>
        <w:t>different </w:t>
      </w:r>
      <w:r>
        <w:rPr>
          <w:color w:val="231F20"/>
          <w:sz w:val="24"/>
        </w:rPr>
        <w:t>views on the intensification of competitive pressures and on the impact of these pressures on inflation. Some Committee members consider that the adjustments should only affect aggregate inflation for a short period, reflecting the stickiness of prices. These Committee members prefer a smaller adjustment to inflation on account of margin adjustments, especially in the second </w:t>
      </w:r>
      <w:r>
        <w:rPr>
          <w:color w:val="231F20"/>
          <w:spacing w:val="-3"/>
          <w:sz w:val="24"/>
        </w:rPr>
        <w:t>year. </w:t>
      </w:r>
      <w:r>
        <w:rPr>
          <w:color w:val="231F20"/>
          <w:sz w:val="24"/>
        </w:rPr>
        <w:t>On this </w:t>
      </w:r>
      <w:r>
        <w:rPr>
          <w:color w:val="231F20"/>
          <w:spacing w:val="-4"/>
          <w:sz w:val="24"/>
        </w:rPr>
        <w:t>view, </w:t>
      </w:r>
      <w:r>
        <w:rPr>
          <w:color w:val="231F20"/>
          <w:sz w:val="24"/>
        </w:rPr>
        <w:t>inflation at the two-year horizon could be up to 0.3 percentage points higher than in the central projection. Other Committee members consider that the central projection attaches insufficient weight to the possible second-round effects of lower margins on costs, with further consequent effects on prices. They also judge that downward pressures on car prices and from expanding use of the Internet could be </w:t>
      </w:r>
      <w:r>
        <w:rPr>
          <w:color w:val="231F20"/>
          <w:spacing w:val="-3"/>
          <w:sz w:val="24"/>
        </w:rPr>
        <w:t>larger.</w:t>
      </w:r>
    </w:p>
    <w:p>
      <w:pPr>
        <w:spacing w:line="242" w:lineRule="auto" w:before="21"/>
        <w:ind w:left="4984" w:right="237" w:firstLine="0"/>
        <w:jc w:val="left"/>
        <w:rPr>
          <w:sz w:val="24"/>
        </w:rPr>
      </w:pPr>
      <w:r>
        <w:rPr>
          <w:color w:val="231F20"/>
          <w:sz w:val="24"/>
        </w:rPr>
        <w:t>These Committee members prefer alternative assumptions on margin pressure that would lower inflation further in the first year of the forecast, building up in the second year to leave inflation at the two-year horizon up to 0.4 percentage points lower than in the central projection.</w:t>
      </w:r>
    </w:p>
    <w:p>
      <w:pPr>
        <w:pStyle w:val="BodyText"/>
        <w:rPr>
          <w:sz w:val="25"/>
        </w:rPr>
      </w:pPr>
    </w:p>
    <w:p>
      <w:pPr>
        <w:spacing w:line="242" w:lineRule="auto" w:before="1"/>
        <w:ind w:left="4984" w:right="0" w:firstLine="0"/>
        <w:jc w:val="left"/>
        <w:rPr>
          <w:sz w:val="24"/>
        </w:rPr>
      </w:pPr>
      <w:r>
        <w:rPr>
          <w:color w:val="231F20"/>
          <w:sz w:val="24"/>
        </w:rPr>
        <w:t>Putting the above assumptions together, the </w:t>
      </w:r>
      <w:r>
        <w:rPr>
          <w:color w:val="231F20"/>
          <w:spacing w:val="-4"/>
          <w:sz w:val="24"/>
        </w:rPr>
        <w:t>Committee’s </w:t>
      </w:r>
      <w:r>
        <w:rPr>
          <w:color w:val="231F20"/>
          <w:sz w:val="24"/>
        </w:rPr>
        <w:t>best collective projection for the twelve-month RPIX inflation rate—based on the assumption that nominal interest rates are held constant at 6%—is shown in</w:t>
      </w:r>
    </w:p>
    <w:p>
      <w:pPr>
        <w:spacing w:before="5"/>
        <w:ind w:left="4984" w:right="0" w:firstLine="0"/>
        <w:jc w:val="left"/>
        <w:rPr>
          <w:sz w:val="24"/>
        </w:rPr>
      </w:pPr>
      <w:r>
        <w:rPr>
          <w:color w:val="231F20"/>
          <w:sz w:val="24"/>
        </w:rPr>
        <w:t>Chart 6.2.</w:t>
      </w:r>
      <w:r>
        <w:rPr>
          <w:color w:val="231F20"/>
          <w:position w:val="5"/>
          <w:sz w:val="16"/>
        </w:rPr>
        <w:t>(1)   </w:t>
      </w:r>
      <w:r>
        <w:rPr>
          <w:color w:val="231F20"/>
          <w:sz w:val="24"/>
        </w:rPr>
        <w:t>Alongside is the projection from the</w:t>
      </w:r>
    </w:p>
    <w:p>
      <w:pPr>
        <w:pStyle w:val="BodyText"/>
        <w:spacing w:before="2"/>
        <w:rPr>
          <w:sz w:val="22"/>
        </w:rPr>
      </w:pPr>
    </w:p>
    <w:p>
      <w:pPr>
        <w:spacing w:after="0"/>
        <w:rPr>
          <w:sz w:val="22"/>
        </w:rPr>
        <w:sectPr>
          <w:pgSz w:w="11900" w:h="16840"/>
          <w:pgMar w:header="584" w:footer="617" w:top="780" w:bottom="800" w:left="620" w:right="640"/>
        </w:sectPr>
      </w:pPr>
    </w:p>
    <w:p>
      <w:pPr>
        <w:pStyle w:val="Heading9"/>
        <w:spacing w:before="92"/>
        <w:ind w:left="185"/>
      </w:pPr>
      <w:r>
        <w:rPr>
          <w:color w:val="0093C1"/>
        </w:rPr>
        <w:t>Chart 6.2</w:t>
      </w:r>
    </w:p>
    <w:p>
      <w:pPr>
        <w:spacing w:line="249" w:lineRule="auto" w:before="10"/>
        <w:ind w:left="185" w:right="21" w:firstLine="0"/>
        <w:jc w:val="left"/>
        <w:rPr>
          <w:b/>
          <w:sz w:val="20"/>
        </w:rPr>
      </w:pPr>
      <w:r>
        <w:rPr>
          <w:b/>
          <w:color w:val="0093C1"/>
          <w:sz w:val="20"/>
        </w:rPr>
        <w:t>Current RPIX inflation projection based on constant nominal interest rates at 6%</w:t>
      </w:r>
    </w:p>
    <w:p>
      <w:pPr>
        <w:spacing w:before="92"/>
        <w:ind w:left="185" w:right="0" w:firstLine="0"/>
        <w:jc w:val="left"/>
        <w:rPr>
          <w:b/>
          <w:sz w:val="20"/>
        </w:rPr>
      </w:pPr>
      <w:r>
        <w:rPr/>
        <w:br w:type="column"/>
      </w:r>
      <w:r>
        <w:rPr>
          <w:b/>
          <w:color w:val="0093C1"/>
          <w:sz w:val="20"/>
        </w:rPr>
        <w:t>Chart 6.3</w:t>
      </w:r>
    </w:p>
    <w:p>
      <w:pPr>
        <w:spacing w:line="249" w:lineRule="auto" w:before="10"/>
        <w:ind w:left="185" w:right="1490" w:firstLine="0"/>
        <w:jc w:val="left"/>
        <w:rPr>
          <w:b/>
          <w:sz w:val="20"/>
        </w:rPr>
      </w:pPr>
      <w:r>
        <w:rPr>
          <w:b/>
          <w:color w:val="0093C1"/>
          <w:sz w:val="20"/>
        </w:rPr>
        <w:t>RPIX inflation projection in November based on constant nominal interest rates at 5.5%</w:t>
      </w:r>
    </w:p>
    <w:p>
      <w:pPr>
        <w:spacing w:after="0" w:line="249" w:lineRule="auto"/>
        <w:jc w:val="left"/>
        <w:rPr>
          <w:sz w:val="20"/>
        </w:rPr>
        <w:sectPr>
          <w:type w:val="continuous"/>
          <w:pgSz w:w="11900" w:h="16840"/>
          <w:pgMar w:top="1220" w:bottom="280" w:left="620" w:right="640"/>
          <w:cols w:num="2" w:equalWidth="0">
            <w:col w:w="3965" w:space="835"/>
            <w:col w:w="5840"/>
          </w:cols>
        </w:sectPr>
      </w:pPr>
    </w:p>
    <w:p>
      <w:pPr>
        <w:pStyle w:val="BodyText"/>
        <w:spacing w:before="2"/>
        <w:rPr>
          <w:b/>
          <w:sz w:val="17"/>
        </w:rPr>
      </w:pPr>
    </w:p>
    <w:p>
      <w:pPr>
        <w:spacing w:after="0"/>
        <w:rPr>
          <w:sz w:val="17"/>
        </w:rPr>
        <w:sectPr>
          <w:type w:val="continuous"/>
          <w:pgSz w:w="11900" w:h="16840"/>
          <w:pgMar w:top="1220" w:bottom="280" w:left="620" w:right="640"/>
        </w:sectPr>
      </w:pPr>
    </w:p>
    <w:p>
      <w:pPr>
        <w:spacing w:line="118" w:lineRule="exact" w:before="95"/>
        <w:ind w:left="1958" w:right="0" w:firstLine="0"/>
        <w:jc w:val="left"/>
        <w:rPr>
          <w:sz w:val="12"/>
        </w:rPr>
      </w:pPr>
      <w:r>
        <w:rPr>
          <w:color w:val="231F20"/>
          <w:sz w:val="12"/>
        </w:rPr>
        <w:t>Percentage increase in prices on a year earlier</w:t>
      </w:r>
    </w:p>
    <w:p>
      <w:pPr>
        <w:pStyle w:val="BodyText"/>
        <w:spacing w:before="6"/>
        <w:rPr>
          <w:sz w:val="2"/>
        </w:rPr>
      </w:pPr>
    </w:p>
    <w:p>
      <w:pPr>
        <w:tabs>
          <w:tab w:pos="4064" w:val="left" w:leader="none"/>
        </w:tabs>
        <w:spacing w:line="20" w:lineRule="exact"/>
        <w:ind w:left="246" w:right="0" w:firstLine="0"/>
        <w:rPr>
          <w:sz w:val="2"/>
        </w:rPr>
      </w:pPr>
      <w:r>
        <w:rPr>
          <w:sz w:val="2"/>
        </w:rPr>
        <w:pict>
          <v:group style="width:4.55pt;height:.5pt;mso-position-horizontal-relative:char;mso-position-vertical-relative:line" coordorigin="0,0" coordsize="91,10">
            <v:line style="position:absolute" from="0,5" to="91,5" stroked="true" strokeweight=".5pt" strokecolor="#000000">
              <v:stroke dashstyle="solid"/>
            </v:line>
          </v:group>
        </w:pict>
      </w:r>
      <w:r>
        <w:rPr>
          <w:sz w:val="2"/>
        </w:rPr>
      </w:r>
      <w:r>
        <w:rPr>
          <w:sz w:val="2"/>
        </w:rPr>
        <w:tab/>
      </w:r>
      <w:r>
        <w:rPr>
          <w:sz w:val="2"/>
        </w:rPr>
        <w:pict>
          <v:group style="width:4.55pt;height:.5pt;mso-position-horizontal-relative:char;mso-position-vertical-relative:line" coordorigin="0,0" coordsize="91,10">
            <v:line style="position:absolute" from="0,5" to="91,5" stroked="true" strokeweight=".5pt" strokecolor="#000000">
              <v:stroke dashstyle="solid"/>
            </v:line>
          </v:group>
        </w:pict>
      </w:r>
      <w:r>
        <w:rPr>
          <w:sz w:val="2"/>
        </w:rPr>
      </w:r>
    </w:p>
    <w:p>
      <w:pPr>
        <w:spacing w:line="69" w:lineRule="exact" w:before="0"/>
        <w:ind w:left="4212" w:right="0" w:firstLine="0"/>
        <w:jc w:val="left"/>
        <w:rPr>
          <w:sz w:val="12"/>
        </w:rPr>
      </w:pPr>
      <w:r>
        <w:rPr>
          <w:color w:val="231F20"/>
          <w:sz w:val="12"/>
        </w:rPr>
        <w:t>5</w:t>
      </w:r>
    </w:p>
    <w:p>
      <w:pPr>
        <w:spacing w:line="118" w:lineRule="exact" w:before="95"/>
        <w:ind w:left="1958" w:right="0" w:firstLine="0"/>
        <w:jc w:val="left"/>
        <w:rPr>
          <w:sz w:val="12"/>
        </w:rPr>
      </w:pPr>
      <w:r>
        <w:rPr/>
        <w:br w:type="column"/>
      </w:r>
      <w:r>
        <w:rPr>
          <w:color w:val="231F20"/>
          <w:sz w:val="12"/>
        </w:rPr>
        <w:t>Percentage increase in prices on a year earlier</w:t>
      </w:r>
    </w:p>
    <w:p>
      <w:pPr>
        <w:pStyle w:val="BodyText"/>
        <w:spacing w:before="6"/>
        <w:rPr>
          <w:sz w:val="2"/>
        </w:rPr>
      </w:pPr>
    </w:p>
    <w:p>
      <w:pPr>
        <w:tabs>
          <w:tab w:pos="4064" w:val="left" w:leader="none"/>
        </w:tabs>
        <w:spacing w:line="20" w:lineRule="exact"/>
        <w:ind w:left="246" w:right="0" w:firstLine="0"/>
        <w:rPr>
          <w:sz w:val="2"/>
        </w:rPr>
      </w:pPr>
      <w:r>
        <w:rPr>
          <w:sz w:val="2"/>
        </w:rPr>
        <w:pict>
          <v:group style="width:4.55pt;height:.5pt;mso-position-horizontal-relative:char;mso-position-vertical-relative:line" coordorigin="0,0" coordsize="91,10">
            <v:line style="position:absolute" from="0,5" to="91,5" stroked="true" strokeweight=".5pt" strokecolor="#000000">
              <v:stroke dashstyle="solid"/>
            </v:line>
          </v:group>
        </w:pict>
      </w:r>
      <w:r>
        <w:rPr>
          <w:sz w:val="2"/>
        </w:rPr>
      </w:r>
      <w:r>
        <w:rPr>
          <w:sz w:val="2"/>
        </w:rPr>
        <w:tab/>
      </w:r>
      <w:r>
        <w:rPr>
          <w:sz w:val="2"/>
        </w:rPr>
        <w:pict>
          <v:group style="width:4.55pt;height:.5pt;mso-position-horizontal-relative:char;mso-position-vertical-relative:line" coordorigin="0,0" coordsize="91,10">
            <v:line style="position:absolute" from="91,5" to="0,5" stroked="true" strokeweight=".5pt" strokecolor="#000000">
              <v:stroke dashstyle="solid"/>
            </v:line>
          </v:group>
        </w:pict>
      </w:r>
      <w:r>
        <w:rPr>
          <w:sz w:val="2"/>
        </w:rPr>
      </w:r>
    </w:p>
    <w:p>
      <w:pPr>
        <w:spacing w:line="69" w:lineRule="exact" w:before="0"/>
        <w:ind w:left="4212" w:right="0" w:firstLine="0"/>
        <w:jc w:val="left"/>
        <w:rPr>
          <w:sz w:val="12"/>
        </w:rPr>
      </w:pPr>
      <w:r>
        <w:rPr>
          <w:color w:val="231F20"/>
          <w:sz w:val="12"/>
        </w:rPr>
        <w:t>5</w:t>
      </w:r>
    </w:p>
    <w:p>
      <w:pPr>
        <w:spacing w:after="0" w:line="69" w:lineRule="exact"/>
        <w:jc w:val="left"/>
        <w:rPr>
          <w:sz w:val="12"/>
        </w:rPr>
        <w:sectPr>
          <w:type w:val="continuous"/>
          <w:pgSz w:w="11900" w:h="16840"/>
          <w:pgMar w:top="1220" w:bottom="280" w:left="620" w:right="640"/>
          <w:cols w:num="2" w:equalWidth="0">
            <w:col w:w="4313" w:space="507"/>
            <w:col w:w="5820"/>
          </w:cols>
        </w:sectPr>
      </w:pPr>
    </w:p>
    <w:p>
      <w:pPr>
        <w:pStyle w:val="BodyText"/>
        <w:spacing w:before="6"/>
        <w:rPr>
          <w:sz w:val="27"/>
        </w:rPr>
      </w:pPr>
    </w:p>
    <w:p>
      <w:pPr>
        <w:tabs>
          <w:tab w:pos="9032" w:val="left" w:leader="none"/>
        </w:tabs>
        <w:spacing w:before="95"/>
        <w:ind w:left="4212" w:right="0" w:firstLine="0"/>
        <w:jc w:val="left"/>
        <w:rPr>
          <w:sz w:val="12"/>
        </w:rPr>
      </w:pPr>
      <w:r>
        <w:rPr/>
        <w:pict>
          <v:group style="position:absolute;margin-left:52.417999pt;margin-top:8.665953pt;width:176.45pt;height:79.6pt;mso-position-horizontal-relative:page;mso-position-vertical-relative:paragraph;z-index:16264192" coordorigin="1048,173" coordsize="3529,1592">
            <v:shape style="position:absolute;left:3447;top:173;width:1130;height:1592" coordorigin="3447,173" coordsize="1130,1592" path="m4577,173l4451,233,4326,316,4200,415,4075,559,3949,777,3824,959,3698,1062,3573,1213,3447,1258,3573,1542,3698,1611,3824,1727,3949,1765,4075,1657,4200,1592,4326,1612,4451,1648,4577,1668,4577,173xe" filled="true" fillcolor="#fee7de" stroked="false">
              <v:path arrowok="t"/>
              <v:fill type="solid"/>
            </v:shape>
            <v:shape style="position:absolute;left:3447;top:358;width:1130;height:1305" coordorigin="3447,358" coordsize="1130,1305" path="m4577,358l4451,406,4326,472,4200,553,4075,685,3949,890,3824,1047,3698,1125,3573,1250,3447,1257,3573,1507,3698,1554,3824,1648,3949,1663,4075,1544,4200,1474,4326,1485,4451,1512,4577,1526,4577,358xe" filled="true" fillcolor="#fcd3c4" stroked="false">
              <v:path arrowok="t"/>
              <v:fill type="solid"/>
            </v:shape>
            <v:shape style="position:absolute;left:3447;top:487;width:1130;height:1119" coordorigin="3447,487" coordsize="1130,1119" path="m4577,487l4451,529,4326,586,4200,659,4075,785,3949,981,3824,1118,3698,1177,3573,1284,3447,1263,3573,1492,3698,1525,3824,1605,3949,1606,4075,1480,4200,1404,4326,1406,4451,1425,4577,1433,4577,487xe" filled="true" fillcolor="#fabeac" stroked="false">
              <v:path arrowok="t"/>
              <v:fill type="solid"/>
            </v:shape>
            <v:shape style="position:absolute;left:3447;top:590;width:1130;height:972" coordorigin="3447,591" coordsize="1130,972" path="m4577,591l4451,626,4326,672,4200,734,4075,853,3949,1042,3824,1166,3698,1211,3573,1303,3447,1261,3573,1473,3698,1494,3824,1562,3949,1552,4075,1420,4200,1340,4326,1338,4451,1351,4577,1356,4577,591xe" filled="true" fillcolor="#f8aa95" stroked="false">
              <v:path arrowok="t"/>
              <v:fill type="solid"/>
            </v:shape>
            <v:shape style="position:absolute;left:3447;top:669;width:1130;height:854" coordorigin="3447,670" coordsize="1130,854" path="m4577,670l4451,701,4326,742,4200,800,4075,915,3949,1097,3824,1208,3698,1240,3573,1320,3447,1259,3573,1455,3698,1465,3824,1523,3949,1502,4075,1365,4200,1282,4326,1274,4451,1282,4577,1283,4577,670xe" filled="true" fillcolor="#f69780" stroked="false">
              <v:path arrowok="t"/>
              <v:fill type="solid"/>
            </v:shape>
            <v:shape style="position:absolute;left:3447;top:747;width:1130;height:749" coordorigin="3447,748" coordsize="1130,749" path="m4577,748l4451,776,4326,811,4200,863,4075,976,3949,1152,3824,1251,3698,1272,3573,1339,3447,1261,3573,1445,3698,1447,3824,1496,3949,1467,4075,1326,4200,1240,4326,1226,4451,1229,4577,1227,4577,748xe" filled="true" fillcolor="#f5846d" stroked="false">
              <v:path arrowok="t"/>
              <v:fill type="solid"/>
            </v:shape>
            <v:shape style="position:absolute;left:3447;top:817;width:1130;height:650" coordorigin="3447,818" coordsize="1130,650" path="m4577,818l4451,842,4326,872,4200,919,4075,1028,3949,1199,3824,1288,3698,1298,3573,1355,3447,1260,3573,1432,3698,1426,3824,1468,3949,1430,4075,1285,4200,1195,4326,1176,4451,1174,4577,1168,4577,818xe" filled="true" fillcolor="#f3715b" stroked="false">
              <v:path arrowok="t"/>
              <v:fill type="solid"/>
            </v:shape>
            <v:shape style="position:absolute;left:3447;top:885;width:1130;height:552" coordorigin="3447,885" coordsize="1130,552" path="m4577,885l4451,905,4326,928,4200,968,4075,1072,3949,1239,3824,1318,3698,1319,3573,1366,3447,1258,3573,1417,3698,1403,3824,1437,3949,1391,4075,1241,4200,1150,4326,1130,4451,1126,4577,1119,4577,885xe" filled="true" fillcolor="#f15b4a" stroked="false">
              <v:path arrowok="t"/>
              <v:fill type="solid"/>
            </v:shape>
            <v:shape style="position:absolute;left:3447;top:949;width:1130;height:463" coordorigin="3447,950" coordsize="1130,463" path="m4577,950l4451,966,4326,984,4200,1019,4075,1119,3949,1281,3824,1351,3698,1342,3573,1381,3447,1258,3573,1407,3698,1386,3824,1412,3949,1360,4075,1207,4200,1112,4326,1086,4451,1077,4577,1066,4577,950xe" filled="true" fillcolor="#ed1b2d" stroked="false">
              <v:path arrowok="t"/>
              <v:fill type="solid"/>
            </v:shape>
            <v:shape style="position:absolute;left:1058;top:805;width:252;height:108" coordorigin="1058,805" coordsize="252,108" path="m1184,913l1058,888m1309,805l1184,913e" filled="false" stroked="true" strokeweight="1pt" strokecolor="#ed1b2d">
              <v:path arrowok="t"/>
              <v:stroke dashstyle="solid"/>
            </v:shape>
            <v:line style="position:absolute" from="1299,808" to="1445,808" stroked="true" strokeweight="1.316pt" strokecolor="#ed1b2d">
              <v:stroke dashstyle="solid"/>
            </v:line>
            <v:shape style="position:absolute;left:1434;top:638;width:1507;height:404" coordorigin="1435,638" coordsize="1507,404" path="m1560,866l1435,812m1686,891l1560,866m1686,891l1811,841m1811,841l1937,638m1937,638l2062,846m2062,846l2188,1024m2314,862l2188,1024m2314,862l2439,912m2565,1032l2439,912m2690,775l2565,1032m2816,1020l2690,775m2816,1020l2941,1041e" filled="false" stroked="true" strokeweight="1pt" strokecolor="#ed1b2d">
              <v:path arrowok="t"/>
              <v:stroke dashstyle="solid"/>
            </v:shape>
            <v:line style="position:absolute" from="2931,1044" to="3077,1044" stroked="true" strokeweight="1.294pt" strokecolor="#ed1b2d">
              <v:stroke dashstyle="solid"/>
            </v:line>
            <v:shape style="position:absolute;left:3066;top:1047;width:252;height:205" coordorigin="3067,1047" coordsize="252,205" path="m3192,1176l3067,1047m3192,1176l3318,1252e" filled="false" stroked="true" strokeweight="1pt" strokecolor="#ed1b2d">
              <v:path arrowok="t"/>
              <v:stroke dashstyle="solid"/>
            </v:shape>
            <v:line style="position:absolute" from="3308,1255" to="3453,1255" stroked="true" strokeweight="1.292pt" strokecolor="#ed1b2d">
              <v:stroke dashstyle="solid"/>
            </v:line>
            <v:line style="position:absolute" from="1061,1039" to="4577,1039" stroked="true" strokeweight=".5pt" strokecolor="#000000">
              <v:stroke dashstyle="solid"/>
            </v:line>
            <w10:wrap type="none"/>
          </v:group>
        </w:pict>
      </w:r>
      <w:r>
        <w:rPr/>
        <w:pict>
          <v:line style="position:absolute;mso-position-horizontal-relative:page;mso-position-vertical-relative:paragraph;z-index:16267264" from="43.571999pt,9.149953pt" to="48.121999pt,9.149953pt" stroked="true" strokeweight=".5pt" strokecolor="#000000">
            <v:stroke dashstyle="solid"/>
            <w10:wrap type="none"/>
          </v:line>
        </w:pict>
      </w:r>
      <w:r>
        <w:rPr/>
        <w:pict>
          <v:line style="position:absolute;mso-position-horizontal-relative:page;mso-position-vertical-relative:paragraph;z-index:16269824" from="234.479996pt,9.149953pt" to="239.029996pt,9.149953pt" stroked="true" strokeweight=".5pt" strokecolor="#000000">
            <v:stroke dashstyle="solid"/>
            <w10:wrap type="none"/>
          </v:line>
        </w:pict>
      </w:r>
      <w:r>
        <w:rPr/>
        <w:pict>
          <v:line style="position:absolute;mso-position-horizontal-relative:page;mso-position-vertical-relative:paragraph;z-index:-21870592" from="284.571991pt,9.149953pt" to="289.121991pt,9.149953pt" stroked="true" strokeweight=".5pt" strokecolor="#000000">
            <v:stroke dashstyle="solid"/>
            <w10:wrap type="none"/>
          </v:line>
        </w:pict>
      </w:r>
      <w:r>
        <w:rPr/>
        <w:pict>
          <v:line style="position:absolute;mso-position-horizontal-relative:page;mso-position-vertical-relative:paragraph;z-index:-21868032" from="480.030011pt,9.149953pt" to="475.480011pt,9.149953pt" stroked="true" strokeweight=".5pt" strokecolor="#000000">
            <v:stroke dashstyle="solid"/>
            <w10:wrap type="none"/>
          </v:line>
        </w:pict>
      </w:r>
      <w:r>
        <w:rPr>
          <w:color w:val="231F20"/>
          <w:sz w:val="12"/>
        </w:rPr>
        <w:t>4</w:t>
        <w:tab/>
        <w:t>4</w:t>
      </w:r>
    </w:p>
    <w:p>
      <w:pPr>
        <w:pStyle w:val="BodyText"/>
        <w:rPr>
          <w:sz w:val="20"/>
        </w:rPr>
      </w:pPr>
    </w:p>
    <w:p>
      <w:pPr>
        <w:pStyle w:val="BodyText"/>
        <w:rPr>
          <w:sz w:val="12"/>
        </w:rPr>
      </w:pPr>
    </w:p>
    <w:p>
      <w:pPr>
        <w:tabs>
          <w:tab w:pos="9032" w:val="left" w:leader="none"/>
        </w:tabs>
        <w:spacing w:before="79"/>
        <w:ind w:left="4212" w:right="0" w:firstLine="0"/>
        <w:jc w:val="left"/>
        <w:rPr>
          <w:sz w:val="12"/>
        </w:rPr>
      </w:pPr>
      <w:r>
        <w:rPr/>
        <w:pict>
          <v:line style="position:absolute;mso-position-horizontal-relative:page;mso-position-vertical-relative:paragraph;z-index:16266752" from="48.121999pt,8.350368pt" to="43.571999pt,8.350368pt" stroked="true" strokeweight=".5pt" strokecolor="#000000">
            <v:stroke dashstyle="solid"/>
            <w10:wrap type="none"/>
          </v:line>
        </w:pict>
      </w:r>
      <w:r>
        <w:rPr/>
        <w:pict>
          <v:line style="position:absolute;mso-position-horizontal-relative:page;mso-position-vertical-relative:paragraph;z-index:16269312" from="234.479996pt,8.350368pt" to="239.029996pt,8.350368pt" stroked="true" strokeweight=".5pt" strokecolor="#000000">
            <v:stroke dashstyle="solid"/>
            <w10:wrap type="none"/>
          </v:line>
        </w:pict>
      </w:r>
      <w:r>
        <w:rPr/>
        <w:pict>
          <v:group style="position:absolute;margin-left:293.529999pt;margin-top:-9.777633pt;width:176.2pt;height:90.25pt;mso-position-horizontal-relative:page;mso-position-vertical-relative:paragraph;z-index:-21873664" coordorigin="5871,-196" coordsize="3524,1805">
            <v:shape style="position:absolute;left:8223;top:-196;width:1170;height:1805" coordorigin="8224,-196" coordsize="1170,1805" path="m9394,-196l9264,32,9134,295,9004,384,8874,342,8744,288,8614,367,8484,431,8354,483,8224,652,8354,802,8484,962,8614,1111,8744,1244,8874,1405,9004,1548,9134,1609,9264,1496,9394,1370,9394,-196xe" filled="true" fillcolor="#fee7de" stroked="false">
              <v:path arrowok="t"/>
              <v:fill type="solid"/>
            </v:shape>
            <v:shape style="position:absolute;left:8223;top:-57;width:1170;height:1502" coordorigin="8224,-57" coordsize="1170,1502" path="m9394,-57l9264,165,9134,420,9004,500,8874,452,8744,386,8614,443,8484,485,8354,515,8224,651,8354,764,8484,900,8614,1024,8744,1133,8874,1281,9004,1408,9134,1445,9264,1307,9394,1164,9394,-57xe" filled="true" fillcolor="#fcd3c4" stroked="false">
              <v:path arrowok="t"/>
              <v:fill type="solid"/>
            </v:shape>
            <v:shape style="position:absolute;left:8223;top:38;width:1170;height:1297" coordorigin="8224,38" coordsize="1170,1297" path="m9394,38l9264,256,9134,506,9004,581,8874,529,8744,456,8614,498,8484,525,8354,540,8224,652,8354,741,8484,861,8614,968,8744,1061,8874,1201,9004,1316,9134,1335,9394,1025,9394,38xe" filled="true" fillcolor="#fabeac" stroked="false">
              <v:path arrowok="t"/>
              <v:fill type="solid"/>
            </v:shape>
            <v:shape style="position:absolute;left:8223;top:114;width:1170;height:1134" coordorigin="8224,114" coordsize="1170,1134" path="m9394,114l9264,328,9134,573,9004,643,8874,587,8744,508,8614,539,8484,554,8354,557,8224,652,8354,721,8484,828,8614,923,8744,1002,8874,1136,9004,1242,9134,1247,9264,1078,9394,914,9394,114xe" filled="true" fillcolor="#f8aa95" stroked="false">
              <v:path arrowok="t"/>
              <v:fill type="solid"/>
            </v:shape>
            <v:shape style="position:absolute;left:8223;top:174;width:1170;height:999" coordorigin="8224,175" coordsize="1170,999" path="m9394,175l9264,387,9134,628,9004,694,8874,637,8744,552,8614,572,8484,577,8354,569,8224,649,8354,701,8484,796,8614,879,8744,947,8874,1075,9004,1173,9134,1168,9264,988,9394,817,9394,175xe" filled="true" fillcolor="#f69780" stroked="false">
              <v:path arrowok="t"/>
              <v:fill type="solid"/>
            </v:shape>
            <v:shape style="position:absolute;left:8223;top:236;width:1170;height:882" coordorigin="8224,237" coordsize="1170,882" path="m9394,237l9264,446,9134,684,9004,747,8874,687,8744,598,8614,608,8484,603,8354,587,8224,652,8354,688,8484,773,8614,845,8744,903,8874,1025,9004,1118,9134,1104,9264,916,9394,739,9394,237xe" filled="true" fillcolor="#f5846d" stroked="false">
              <v:path arrowok="t"/>
              <v:fill type="solid"/>
            </v:shape>
            <v:shape style="position:absolute;left:8223;top:286;width:1170;height:776" coordorigin="8224,286" coordsize="1170,776" path="m9394,286l9264,494,9134,728,9004,787,8874,725,8744,632,8614,634,8484,621,8354,596,8224,649,8354,671,8484,747,8614,810,8744,858,8874,976,9004,1062,9134,1037,9264,838,9394,654,9394,286xe" filled="true" fillcolor="#f3715b" stroked="false">
              <v:path arrowok="t"/>
              <v:fill type="solid"/>
            </v:shape>
            <v:shape style="position:absolute;left:8223;top:341;width:1170;height:672" coordorigin="8224,341" coordsize="1170,672" path="m9394,341l9264,545,9134,774,9004,828,8874,762,8744,666,8614,661,8484,641,8354,609,8224,652,8354,660,8484,726,8614,779,8744,818,8874,932,9004,1013,9134,981,9264,775,9394,587,9394,341xe" filled="true" fillcolor="#f15b4a" stroked="false">
              <v:path arrowok="t"/>
              <v:fill type="solid"/>
            </v:shape>
            <v:shape style="position:absolute;left:8223;top:388;width:1170;height:572" coordorigin="8224,389" coordsize="1170,572" path="m9394,389l9264,591,9134,818,9004,870,8874,804,8744,703,8614,690,8484,662,8354,622,8224,652,8354,646,8484,703,8614,747,8744,776,8874,885,9004,960,9134,920,9264,706,9394,511,9394,389xe" filled="true" fillcolor="#ed1b2d" stroked="false">
              <v:path arrowok="t"/>
              <v:fill type="solid"/>
            </v:shape>
            <v:shape style="position:absolute;left:5880;top:205;width:260;height:108" coordorigin="5881,205" coordsize="260,108" path="m6011,313l5881,288m6141,205l6011,313e" filled="false" stroked="true" strokeweight="1pt" strokecolor="#ed1b2d">
              <v:path arrowok="t"/>
              <v:stroke dashstyle="solid"/>
            </v:shape>
            <v:line style="position:absolute" from="6131,208" to="6281,208" stroked="true" strokeweight="1.316pt" strokecolor="#ed1b2d">
              <v:stroke dashstyle="solid"/>
            </v:line>
            <v:shape style="position:absolute;left:6270;top:38;width:1560;height:404" coordorigin="6271,38" coordsize="1560,404" path="m6401,266l6271,212m6531,291l6401,266m6661,241l6531,291m6791,38l6661,241m6921,246l6791,38m7051,424l6921,246m7181,262l7051,424m7311,312l7181,262m7441,432l7311,312m7571,175l7441,432m7701,420l7571,175m7831,441l7701,420e" filled="false" stroked="true" strokeweight="1pt" strokecolor="#ed1b2d">
              <v:path arrowok="t"/>
              <v:stroke dashstyle="solid"/>
            </v:shape>
            <v:line style="position:absolute" from="7821,444" to="7971,444" stroked="true" strokeweight="1.294pt" strokecolor="#ed1b2d">
              <v:stroke dashstyle="solid"/>
            </v:line>
            <v:shape style="position:absolute;left:7960;top:447;width:260;height:205" coordorigin="7961,447" coordsize="260,205" path="m8091,576l7961,447m8221,652l8091,576e" filled="false" stroked="true" strokeweight="1pt" strokecolor="#ed1b2d">
              <v:path arrowok="t"/>
              <v:stroke dashstyle="solid"/>
            </v:shape>
            <v:line style="position:absolute" from="5881,439" to="9392,439" stroked="true" strokeweight=".5pt" strokecolor="#000000">
              <v:stroke dashstyle="solid"/>
            </v:line>
            <w10:wrap type="none"/>
          </v:group>
        </w:pict>
      </w:r>
      <w:r>
        <w:rPr/>
        <w:pict>
          <v:line style="position:absolute;mso-position-horizontal-relative:page;mso-position-vertical-relative:paragraph;z-index:-21871104" from="284.571991pt,8.350368pt" to="289.121991pt,8.350368pt" stroked="true" strokeweight=".5pt" strokecolor="#000000">
            <v:stroke dashstyle="solid"/>
            <w10:wrap type="none"/>
          </v:line>
        </w:pict>
      </w:r>
      <w:r>
        <w:rPr/>
        <w:pict>
          <v:line style="position:absolute;mso-position-horizontal-relative:page;mso-position-vertical-relative:paragraph;z-index:-21868544" from="480.030011pt,8.350368pt" to="475.480011pt,8.350368pt" stroked="true" strokeweight=".5pt" strokecolor="#000000">
            <v:stroke dashstyle="solid"/>
            <w10:wrap type="none"/>
          </v:line>
        </w:pict>
      </w:r>
      <w:r>
        <w:rPr>
          <w:color w:val="231F20"/>
          <w:sz w:val="12"/>
        </w:rPr>
        <w:t>3</w:t>
        <w:tab/>
        <w:t>3</w:t>
      </w:r>
    </w:p>
    <w:p>
      <w:pPr>
        <w:pStyle w:val="BodyText"/>
        <w:rPr>
          <w:sz w:val="13"/>
        </w:rPr>
      </w:pPr>
    </w:p>
    <w:p>
      <w:pPr>
        <w:tabs>
          <w:tab w:pos="9032" w:val="left" w:leader="none"/>
        </w:tabs>
        <w:spacing w:before="0"/>
        <w:ind w:left="4212" w:right="0" w:firstLine="0"/>
        <w:jc w:val="left"/>
        <w:rPr>
          <w:sz w:val="12"/>
        </w:rPr>
      </w:pPr>
      <w:r>
        <w:rPr/>
        <w:pict>
          <v:line style="position:absolute;mso-position-horizontal-relative:page;mso-position-vertical-relative:paragraph;z-index:16270336" from="43.338001pt,3.601557pt" to="47.888001pt,3.601557pt" stroked="true" strokeweight=".5pt" strokecolor="#231f20">
            <v:stroke dashstyle="solid"/>
            <w10:wrap type="none"/>
          </v:line>
        </w:pict>
      </w:r>
      <w:r>
        <w:rPr/>
        <w:pict>
          <v:line style="position:absolute;mso-position-horizontal-relative:page;mso-position-vertical-relative:paragraph;z-index:16270848" from="234.337997pt,3.663557pt" to="238.887997pt,3.663557pt" stroked="true" strokeweight=".5pt" strokecolor="#231f20">
            <v:stroke dashstyle="solid"/>
            <w10:wrap type="none"/>
          </v:line>
        </w:pict>
      </w:r>
      <w:r>
        <w:rPr/>
        <w:pict>
          <v:line style="position:absolute;mso-position-horizontal-relative:page;mso-position-vertical-relative:paragraph;z-index:-21867520" from="284.338013pt,3.601557pt" to="288.888013pt,3.601557pt" stroked="true" strokeweight=".5pt" strokecolor="#231f20">
            <v:stroke dashstyle="solid"/>
            <w10:wrap type="none"/>
          </v:line>
        </w:pict>
      </w:r>
      <w:r>
        <w:rPr/>
        <w:pict>
          <v:line style="position:absolute;mso-position-horizontal-relative:page;mso-position-vertical-relative:paragraph;z-index:-21867008" from="475.338013pt,3.663557pt" to="479.888013pt,3.663557pt" stroked="true" strokeweight=".5pt" strokecolor="#231f20">
            <v:stroke dashstyle="solid"/>
            <w10:wrap type="none"/>
          </v:line>
        </w:pict>
      </w:r>
      <w:r>
        <w:rPr>
          <w:color w:val="231F20"/>
          <w:sz w:val="12"/>
        </w:rPr>
        <w:t>2.5</w:t>
        <w:tab/>
        <w:t>2.5</w:t>
      </w:r>
    </w:p>
    <w:p>
      <w:pPr>
        <w:pStyle w:val="BodyText"/>
        <w:spacing w:before="8"/>
        <w:rPr>
          <w:sz w:val="13"/>
        </w:rPr>
      </w:pPr>
    </w:p>
    <w:p>
      <w:pPr>
        <w:tabs>
          <w:tab w:pos="9032" w:val="left" w:leader="none"/>
        </w:tabs>
        <w:spacing w:before="1"/>
        <w:ind w:left="4212" w:right="0" w:firstLine="0"/>
        <w:jc w:val="left"/>
        <w:rPr>
          <w:sz w:val="12"/>
        </w:rPr>
      </w:pPr>
      <w:r>
        <w:rPr/>
        <w:pict>
          <v:line style="position:absolute;mso-position-horizontal-relative:page;mso-position-vertical-relative:paragraph;z-index:16266240" from="43.571999pt,4.452767pt" to="48.121999pt,4.452767pt" stroked="true" strokeweight=".5pt" strokecolor="#000000">
            <v:stroke dashstyle="solid"/>
            <w10:wrap type="none"/>
          </v:line>
        </w:pict>
      </w:r>
      <w:r>
        <w:rPr/>
        <w:pict>
          <v:line style="position:absolute;mso-position-horizontal-relative:page;mso-position-vertical-relative:paragraph;z-index:16268800" from="239.029996pt,4.452767pt" to="234.479996pt,4.452767pt" stroked="true" strokeweight=".5pt" strokecolor="#000000">
            <v:stroke dashstyle="solid"/>
            <w10:wrap type="none"/>
          </v:line>
        </w:pict>
      </w:r>
      <w:r>
        <w:rPr/>
        <w:pict>
          <v:line style="position:absolute;mso-position-horizontal-relative:page;mso-position-vertical-relative:paragraph;z-index:-21871616" from="284.571991pt,4.452767pt" to="289.121991pt,4.452767pt" stroked="true" strokeweight=".5pt" strokecolor="#000000">
            <v:stroke dashstyle="solid"/>
            <w10:wrap type="none"/>
          </v:line>
        </w:pict>
      </w:r>
      <w:r>
        <w:rPr/>
        <w:pict>
          <v:line style="position:absolute;mso-position-horizontal-relative:page;mso-position-vertical-relative:paragraph;z-index:-21869056" from="480.030011pt,4.452767pt" to="475.480011pt,4.452767pt" stroked="true" strokeweight=".5pt" strokecolor="#000000">
            <v:stroke dashstyle="solid"/>
            <w10:wrap type="none"/>
          </v:line>
        </w:pict>
      </w:r>
      <w:r>
        <w:rPr>
          <w:color w:val="231F20"/>
          <w:sz w:val="12"/>
        </w:rPr>
        <w:t>2</w:t>
        <w:tab/>
        <w:t>2</w:t>
      </w:r>
    </w:p>
    <w:p>
      <w:pPr>
        <w:pStyle w:val="BodyText"/>
        <w:rPr>
          <w:sz w:val="20"/>
        </w:rPr>
      </w:pPr>
    </w:p>
    <w:p>
      <w:pPr>
        <w:pStyle w:val="BodyText"/>
        <w:rPr>
          <w:sz w:val="12"/>
        </w:rPr>
      </w:pPr>
    </w:p>
    <w:p>
      <w:pPr>
        <w:tabs>
          <w:tab w:pos="9032" w:val="left" w:leader="none"/>
        </w:tabs>
        <w:spacing w:before="78"/>
        <w:ind w:left="4212" w:right="0" w:firstLine="0"/>
        <w:jc w:val="left"/>
        <w:rPr>
          <w:sz w:val="12"/>
        </w:rPr>
      </w:pPr>
      <w:r>
        <w:rPr/>
        <w:pict>
          <v:line style="position:absolute;mso-position-horizontal-relative:page;mso-position-vertical-relative:paragraph;z-index:16265728" from="48.121999pt,8.302167pt" to="43.571999pt,8.302167pt" stroked="true" strokeweight=".5pt" strokecolor="#000000">
            <v:stroke dashstyle="solid"/>
            <w10:wrap type="none"/>
          </v:line>
        </w:pict>
      </w:r>
      <w:r>
        <w:rPr/>
        <w:pict>
          <v:line style="position:absolute;mso-position-horizontal-relative:page;mso-position-vertical-relative:paragraph;z-index:16268288" from="239.029996pt,8.302167pt" to="234.479996pt,8.302167pt" stroked="true" strokeweight=".5pt" strokecolor="#000000">
            <v:stroke dashstyle="solid"/>
            <w10:wrap type="none"/>
          </v:line>
        </w:pict>
      </w:r>
      <w:r>
        <w:rPr/>
        <w:pict>
          <v:line style="position:absolute;mso-position-horizontal-relative:page;mso-position-vertical-relative:paragraph;z-index:-21872128" from="284.571991pt,8.302167pt" to="289.121991pt,8.302167pt" stroked="true" strokeweight=".5pt" strokecolor="#000000">
            <v:stroke dashstyle="solid"/>
            <w10:wrap type="none"/>
          </v:line>
        </w:pict>
      </w:r>
      <w:r>
        <w:rPr/>
        <w:pict>
          <v:line style="position:absolute;mso-position-horizontal-relative:page;mso-position-vertical-relative:paragraph;z-index:-21869568" from="480.030011pt,8.302167pt" to="475.480011pt,8.302167pt" stroked="true" strokeweight=".5pt" strokecolor="#000000">
            <v:stroke dashstyle="solid"/>
            <w10:wrap type="none"/>
          </v:line>
        </w:pict>
      </w:r>
      <w:r>
        <w:rPr>
          <w:color w:val="231F20"/>
          <w:sz w:val="12"/>
        </w:rPr>
        <w:t>1</w:t>
        <w:tab/>
        <w:t>1</w:t>
      </w:r>
    </w:p>
    <w:p>
      <w:pPr>
        <w:pStyle w:val="BodyText"/>
        <w:rPr>
          <w:sz w:val="20"/>
        </w:rPr>
      </w:pPr>
    </w:p>
    <w:p>
      <w:pPr>
        <w:spacing w:after="0"/>
        <w:rPr>
          <w:sz w:val="20"/>
        </w:rPr>
        <w:sectPr>
          <w:type w:val="continuous"/>
          <w:pgSz w:w="11900" w:h="16840"/>
          <w:pgMar w:top="1220" w:bottom="280" w:left="620" w:right="640"/>
        </w:sectPr>
      </w:pPr>
    </w:p>
    <w:p>
      <w:pPr>
        <w:pStyle w:val="BodyText"/>
        <w:rPr>
          <w:sz w:val="12"/>
        </w:rPr>
      </w:pPr>
    </w:p>
    <w:p>
      <w:pPr>
        <w:spacing w:before="78"/>
        <w:ind w:left="4212" w:right="0" w:firstLine="0"/>
        <w:jc w:val="left"/>
        <w:rPr>
          <w:sz w:val="12"/>
        </w:rPr>
      </w:pPr>
      <w:r>
        <w:rPr/>
        <w:pict>
          <v:shape style="position:absolute;margin-left:52.841999pt;margin-top:2.427567pt;width:176.05pt;height:5.9pt;mso-position-horizontal-relative:page;mso-position-vertical-relative:paragraph;z-index:16264704" coordorigin="1057,49" coordsize="3521,118" path="m4578,166l1057,166m1058,53l1058,164m1184,166l1184,93m1309,166l1309,93m1435,93l1435,166m1560,53l1560,164m1686,93l1686,166m1811,166l1811,93m1937,93l1937,166m2062,164l2062,53m2188,93l2188,166m2313,166l2313,93m2439,166l2439,93m2565,164l2565,53m2690,93l2690,166m2816,166l2816,93m2941,166l2941,93m3067,164l3067,53m3192,166l3192,93m3318,93l3318,166m3443,166l3443,93m3574,53l3574,164m3699,93l3699,166m3820,166l3820,93m3945,93l3945,166m4073,164l4073,50m4201,164l4201,91m4327,166l4327,93m4447,166l4447,93m4578,166l4578,49e" filled="false" stroked="true" strokeweight=".5pt" strokecolor="#000000">
            <v:path arrowok="t"/>
            <v:stroke dashstyle="solid"/>
            <w10:wrap type="none"/>
          </v:shape>
        </w:pict>
      </w:r>
      <w:r>
        <w:rPr/>
        <w:pict>
          <v:line style="position:absolute;mso-position-horizontal-relative:page;mso-position-vertical-relative:paragraph;z-index:16265216" from="48.121999pt,8.302567pt" to="43.571999pt,8.302567pt" stroked="true" strokeweight=".5pt" strokecolor="#000000">
            <v:stroke dashstyle="solid"/>
            <w10:wrap type="none"/>
          </v:line>
        </w:pict>
      </w:r>
      <w:r>
        <w:rPr/>
        <w:pict>
          <v:line style="position:absolute;mso-position-horizontal-relative:page;mso-position-vertical-relative:paragraph;z-index:16267776" from="239.029996pt,8.302567pt" to="234.479996pt,8.302567pt" stroked="true" strokeweight=".5pt" strokecolor="#000000">
            <v:stroke dashstyle="solid"/>
            <w10:wrap type="none"/>
          </v:line>
        </w:pict>
      </w:r>
      <w:r>
        <w:rPr>
          <w:color w:val="231F20"/>
          <w:sz w:val="12"/>
        </w:rPr>
        <w:t>0</w:t>
      </w:r>
    </w:p>
    <w:p>
      <w:pPr>
        <w:tabs>
          <w:tab w:pos="1138" w:val="left" w:leader="none"/>
          <w:tab w:pos="1632" w:val="left" w:leader="none"/>
          <w:tab w:pos="2138" w:val="left" w:leader="none"/>
          <w:tab w:pos="2632" w:val="left" w:leader="none"/>
          <w:tab w:pos="3072" w:val="left" w:leader="none"/>
          <w:tab w:pos="3645" w:val="left" w:leader="none"/>
        </w:tabs>
        <w:spacing w:before="5"/>
        <w:ind w:left="572" w:right="0" w:firstLine="0"/>
        <w:jc w:val="left"/>
        <w:rPr>
          <w:sz w:val="12"/>
        </w:rPr>
      </w:pPr>
      <w:r>
        <w:rPr>
          <w:color w:val="231F20"/>
          <w:sz w:val="12"/>
        </w:rPr>
        <w:t>1995</w:t>
        <w:tab/>
        <w:t>96</w:t>
        <w:tab/>
        <w:t>97</w:t>
        <w:tab/>
        <w:t>98</w:t>
        <w:tab/>
        <w:t>99</w:t>
        <w:tab/>
        <w:t>2000</w:t>
        <w:tab/>
        <w:t>01</w:t>
      </w:r>
      <w:r>
        <w:rPr>
          <w:color w:val="231F20"/>
          <w:spacing w:val="12"/>
          <w:sz w:val="12"/>
        </w:rPr>
        <w:t> </w:t>
      </w:r>
      <w:r>
        <w:rPr>
          <w:color w:val="231F20"/>
          <w:sz w:val="12"/>
        </w:rPr>
        <w:t>02</w:t>
      </w:r>
    </w:p>
    <w:p>
      <w:pPr>
        <w:pStyle w:val="BodyText"/>
        <w:rPr>
          <w:sz w:val="12"/>
        </w:rPr>
      </w:pPr>
      <w:r>
        <w:rPr/>
        <w:br w:type="column"/>
      </w:r>
      <w:r>
        <w:rPr>
          <w:sz w:val="12"/>
        </w:rPr>
      </w:r>
    </w:p>
    <w:p>
      <w:pPr>
        <w:spacing w:before="78"/>
        <w:ind w:left="4212" w:right="0" w:firstLine="0"/>
        <w:jc w:val="left"/>
        <w:rPr>
          <w:sz w:val="12"/>
        </w:rPr>
      </w:pPr>
      <w:r>
        <w:rPr>
          <w:color w:val="231F20"/>
          <w:sz w:val="12"/>
        </w:rPr>
        <w:t>0</w:t>
      </w:r>
    </w:p>
    <w:p>
      <w:pPr>
        <w:tabs>
          <w:tab w:pos="1158" w:val="left" w:leader="none"/>
          <w:tab w:pos="1692" w:val="left" w:leader="none"/>
          <w:tab w:pos="2218" w:val="left" w:leader="none"/>
          <w:tab w:pos="2712" w:val="left" w:leader="none"/>
          <w:tab w:pos="3172" w:val="left" w:leader="none"/>
          <w:tab w:pos="3725" w:val="left" w:leader="none"/>
        </w:tabs>
        <w:spacing w:before="4"/>
        <w:ind w:left="572" w:right="0" w:firstLine="0"/>
        <w:jc w:val="left"/>
        <w:rPr>
          <w:sz w:val="12"/>
        </w:rPr>
      </w:pPr>
      <w:r>
        <w:rPr/>
        <w:pict>
          <v:shape style="position:absolute;margin-left:294.031006pt;margin-top:-8.181437pt;width:175.6pt;height:5.7pt;mso-position-horizontal-relative:page;mso-position-vertical-relative:paragraph;z-index:16271872" coordorigin="5881,-164" coordsize="3512,114" path="m5881,-50l9392,-50m5881,-50l5881,-164m6011,-50l6011,-123m6141,-50l6141,-123m6271,-50l6271,-123m6401,-50l6401,-164m6531,-50l6531,-123m6661,-50l6661,-123m6791,-50l6791,-123m6921,-50l6921,-164m7051,-50l7051,-123m7181,-50l7181,-123m7311,-50l7311,-123m7441,-50l7441,-164m7571,-50l7571,-123m7701,-50l7701,-123m7831,-50l7831,-123m7961,-50l7961,-164m8091,-50l8091,-123m8221,-50l8221,-123m8351,-50l8351,-123m8481,-50l8481,-164m8611,-50l8611,-123m8741,-50l8741,-123m8871,-50l8871,-123m9001,-50l9001,-164m9131,-50l9131,-123m9261,-50l9261,-123m9391,-50l9391,-123e" filled="false" stroked="true" strokeweight=".5pt" strokecolor="#000000">
            <v:path arrowok="t"/>
            <v:stroke dashstyle="solid"/>
            <w10:wrap type="none"/>
          </v:shape>
        </w:pict>
      </w:r>
      <w:r>
        <w:rPr/>
        <w:pict>
          <v:line style="position:absolute;mso-position-horizontal-relative:page;mso-position-vertical-relative:paragraph;z-index:16272384" from="284.571991pt,-2.514437pt" to="289.121991pt,-2.514437pt" stroked="true" strokeweight=".5pt" strokecolor="#000000">
            <v:stroke dashstyle="solid"/>
            <w10:wrap type="none"/>
          </v:line>
        </w:pict>
      </w:r>
      <w:r>
        <w:rPr/>
        <w:pict>
          <v:line style="position:absolute;mso-position-horizontal-relative:page;mso-position-vertical-relative:paragraph;z-index:16274944" from="480.030011pt,-2.514437pt" to="475.480011pt,-2.514437pt" stroked="true" strokeweight=".5pt" strokecolor="#000000">
            <v:stroke dashstyle="solid"/>
            <w10:wrap type="none"/>
          </v:line>
        </w:pict>
      </w:r>
      <w:r>
        <w:rPr>
          <w:color w:val="231F20"/>
          <w:sz w:val="12"/>
        </w:rPr>
        <w:t>1995</w:t>
        <w:tab/>
        <w:t>96</w:t>
        <w:tab/>
        <w:t>97</w:t>
        <w:tab/>
        <w:t>98</w:t>
        <w:tab/>
        <w:t>99</w:t>
        <w:tab/>
        <w:t>2000</w:t>
        <w:tab/>
        <w:t>01</w:t>
      </w:r>
    </w:p>
    <w:p>
      <w:pPr>
        <w:spacing w:after="0"/>
        <w:jc w:val="left"/>
        <w:rPr>
          <w:sz w:val="12"/>
        </w:rPr>
        <w:sectPr>
          <w:type w:val="continuous"/>
          <w:pgSz w:w="11900" w:h="16840"/>
          <w:pgMar w:top="1220" w:bottom="280" w:left="620" w:right="640"/>
          <w:cols w:num="2" w:equalWidth="0">
            <w:col w:w="4313" w:space="507"/>
            <w:col w:w="5820"/>
          </w:cols>
        </w:sectPr>
      </w:pPr>
    </w:p>
    <w:p>
      <w:pPr>
        <w:pStyle w:val="BodyText"/>
        <w:spacing w:before="7"/>
        <w:rPr>
          <w:sz w:val="22"/>
        </w:rPr>
      </w:pPr>
    </w:p>
    <w:p>
      <w:pPr>
        <w:spacing w:line="208" w:lineRule="auto" w:before="113"/>
        <w:ind w:left="205" w:right="856" w:firstLine="0"/>
        <w:jc w:val="left"/>
        <w:rPr>
          <w:sz w:val="16"/>
        </w:rPr>
      </w:pPr>
      <w:r>
        <w:rPr>
          <w:color w:val="231F20"/>
          <w:sz w:val="16"/>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 See the box ‘How fan charts are drawn’ on page 52 of the February 1999 </w:t>
      </w:r>
      <w:r>
        <w:rPr>
          <w:i/>
          <w:color w:val="231F20"/>
          <w:sz w:val="16"/>
        </w:rPr>
        <w:t>Inflation Report</w:t>
      </w:r>
      <w:r>
        <w:rPr>
          <w:color w:val="231F20"/>
          <w:sz w:val="16"/>
        </w:rPr>
        <w:t>.</w:t>
      </w:r>
    </w:p>
    <w:p>
      <w:pPr>
        <w:pStyle w:val="BodyText"/>
        <w:spacing w:before="7"/>
        <w:rPr>
          <w:sz w:val="19"/>
        </w:rPr>
      </w:pPr>
      <w:r>
        <w:rPr/>
        <w:pict>
          <v:shape style="position:absolute;margin-left:278.5pt;margin-top:13.347809pt;width:277.5pt;height:.1pt;mso-position-horizontal-relative:page;mso-position-vertical-relative:paragraph;z-index:-15193600;mso-wrap-distance-left:0;mso-wrap-distance-right:0" coordorigin="5570,267" coordsize="5550,0" path="m5570,267l11120,267e" filled="false" stroked="true" strokeweight=".125pt" strokecolor="#231f20">
            <v:path arrowok="t"/>
            <v:stroke dashstyle="solid"/>
            <w10:wrap type="topAndBottom"/>
          </v:shape>
        </w:pict>
      </w:r>
    </w:p>
    <w:p>
      <w:pPr>
        <w:spacing w:line="173" w:lineRule="exact" w:before="0"/>
        <w:ind w:left="4980" w:right="0" w:firstLine="0"/>
        <w:jc w:val="left"/>
        <w:rPr>
          <w:sz w:val="16"/>
        </w:rPr>
      </w:pPr>
      <w:hyperlink w:history="true" w:anchor="_bookmark1">
        <w:r>
          <w:rPr>
            <w:color w:val="231F20"/>
            <w:sz w:val="16"/>
          </w:rPr>
          <w:t>(1) Also shown as Chart 2 of the Overview.</w:t>
        </w:r>
      </w:hyperlink>
    </w:p>
    <w:p>
      <w:pPr>
        <w:spacing w:after="0" w:line="173" w:lineRule="exact"/>
        <w:jc w:val="left"/>
        <w:rPr>
          <w:sz w:val="16"/>
        </w:rPr>
        <w:sectPr>
          <w:type w:val="continuous"/>
          <w:pgSz w:w="11900" w:h="16840"/>
          <w:pgMar w:top="1220" w:bottom="280" w:left="620" w:right="640"/>
        </w:sectPr>
      </w:pPr>
    </w:p>
    <w:p>
      <w:pPr>
        <w:pStyle w:val="BodyText"/>
        <w:rPr>
          <w:sz w:val="20"/>
        </w:rPr>
      </w:pPr>
    </w:p>
    <w:p>
      <w:pPr>
        <w:spacing w:after="0"/>
        <w:rPr>
          <w:sz w:val="20"/>
        </w:rPr>
        <w:sectPr>
          <w:pgSz w:w="11900" w:h="16840"/>
          <w:pgMar w:header="584" w:footer="597" w:top="780" w:bottom="780" w:left="62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8"/>
        </w:rPr>
      </w:pPr>
    </w:p>
    <w:p>
      <w:pPr>
        <w:pStyle w:val="Heading9"/>
        <w:spacing w:before="1"/>
        <w:ind w:left="194"/>
        <w:jc w:val="both"/>
      </w:pPr>
      <w:r>
        <w:rPr>
          <w:color w:val="0093C1"/>
        </w:rPr>
        <w:t>Table 6.A</w:t>
      </w:r>
    </w:p>
    <w:p>
      <w:pPr>
        <w:spacing w:line="249" w:lineRule="auto" w:before="10"/>
        <w:ind w:left="194" w:right="38" w:firstLine="0"/>
        <w:jc w:val="both"/>
        <w:rPr>
          <w:sz w:val="12"/>
        </w:rPr>
      </w:pPr>
      <w:r>
        <w:rPr>
          <w:b/>
          <w:color w:val="0093C1"/>
          <w:sz w:val="20"/>
        </w:rPr>
        <w:t>The MPC’s expectations for RPIX inflation and GDP growth based on constant nominal </w:t>
      </w:r>
      <w:r>
        <w:rPr>
          <w:b/>
          <w:color w:val="0093C1"/>
          <w:spacing w:val="-3"/>
          <w:sz w:val="20"/>
        </w:rPr>
        <w:t>interest </w:t>
      </w:r>
      <w:r>
        <w:rPr>
          <w:b/>
          <w:color w:val="0093C1"/>
          <w:sz w:val="20"/>
        </w:rPr>
        <w:t>rates at 6%</w:t>
      </w:r>
      <w:r>
        <w:rPr>
          <w:color w:val="231F20"/>
          <w:position w:val="4"/>
          <w:sz w:val="12"/>
        </w:rPr>
        <w:t>(a)</w:t>
      </w:r>
    </w:p>
    <w:p>
      <w:pPr>
        <w:pStyle w:val="BodyText"/>
        <w:spacing w:after="1"/>
        <w:rPr>
          <w:sz w:val="9"/>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1"/>
        <w:gridCol w:w="469"/>
        <w:gridCol w:w="515"/>
        <w:gridCol w:w="530"/>
        <w:gridCol w:w="502"/>
        <w:gridCol w:w="479"/>
        <w:gridCol w:w="463"/>
      </w:tblGrid>
      <w:tr>
        <w:trPr>
          <w:trHeight w:val="445" w:hRule="atLeast"/>
        </w:trPr>
        <w:tc>
          <w:tcPr>
            <w:tcW w:w="1431" w:type="dxa"/>
          </w:tcPr>
          <w:p>
            <w:pPr>
              <w:pStyle w:val="TableParagraph"/>
              <w:spacing w:line="155" w:lineRule="exact"/>
              <w:ind w:left="50"/>
              <w:rPr>
                <w:b/>
                <w:sz w:val="14"/>
              </w:rPr>
            </w:pPr>
            <w:r>
              <w:rPr>
                <w:b/>
                <w:color w:val="231F20"/>
                <w:sz w:val="14"/>
              </w:rPr>
              <w:t>RPIX inflation</w:t>
            </w:r>
          </w:p>
          <w:p>
            <w:pPr>
              <w:pStyle w:val="TableParagraph"/>
              <w:spacing w:line="151" w:lineRule="exact" w:before="119"/>
              <w:ind w:left="50"/>
              <w:rPr>
                <w:sz w:val="14"/>
              </w:rPr>
            </w:pPr>
            <w:r>
              <w:rPr>
                <w:color w:val="231F20"/>
                <w:sz w:val="14"/>
              </w:rPr>
              <w:t>Probability, per cent</w:t>
            </w:r>
          </w:p>
        </w:tc>
        <w:tc>
          <w:tcPr>
            <w:tcW w:w="469" w:type="dxa"/>
            <w:tcBorders>
              <w:bottom w:val="single" w:sz="2" w:space="0" w:color="231F20"/>
            </w:tcBorders>
          </w:tcPr>
          <w:p>
            <w:pPr>
              <w:pStyle w:val="TableParagraph"/>
              <w:spacing w:before="9"/>
              <w:rPr>
                <w:sz w:val="23"/>
              </w:rPr>
            </w:pPr>
          </w:p>
          <w:p>
            <w:pPr>
              <w:pStyle w:val="TableParagraph"/>
              <w:spacing w:line="151" w:lineRule="exact"/>
              <w:ind w:left="3"/>
              <w:rPr>
                <w:sz w:val="14"/>
              </w:rPr>
            </w:pPr>
            <w:r>
              <w:rPr>
                <w:color w:val="231F20"/>
                <w:sz w:val="14"/>
              </w:rPr>
              <w:t>Range:</w:t>
            </w:r>
          </w:p>
        </w:tc>
        <w:tc>
          <w:tcPr>
            <w:tcW w:w="2489" w:type="dxa"/>
            <w:gridSpan w:val="5"/>
            <w:tcBorders>
              <w:bottom w:val="single" w:sz="2" w:space="0" w:color="231F20"/>
            </w:tcBorders>
          </w:tcPr>
          <w:p>
            <w:pPr>
              <w:pStyle w:val="TableParagraph"/>
              <w:rPr>
                <w:sz w:val="22"/>
              </w:rPr>
            </w:pPr>
          </w:p>
        </w:tc>
      </w:tr>
      <w:tr>
        <w:trPr>
          <w:trHeight w:val="157" w:hRule="atLeast"/>
        </w:trPr>
        <w:tc>
          <w:tcPr>
            <w:tcW w:w="1431" w:type="dxa"/>
          </w:tcPr>
          <w:p>
            <w:pPr>
              <w:pStyle w:val="TableParagraph"/>
              <w:rPr>
                <w:sz w:val="10"/>
              </w:rPr>
            </w:pPr>
          </w:p>
        </w:tc>
        <w:tc>
          <w:tcPr>
            <w:tcW w:w="469" w:type="dxa"/>
            <w:tcBorders>
              <w:top w:val="single" w:sz="2" w:space="0" w:color="231F20"/>
            </w:tcBorders>
          </w:tcPr>
          <w:p>
            <w:pPr>
              <w:pStyle w:val="TableParagraph"/>
              <w:spacing w:line="133" w:lineRule="exact" w:before="3"/>
              <w:ind w:left="19"/>
              <w:rPr>
                <w:sz w:val="14"/>
              </w:rPr>
            </w:pPr>
            <w:r>
              <w:rPr>
                <w:color w:val="231F20"/>
                <w:sz w:val="14"/>
              </w:rPr>
              <w:t>less</w:t>
            </w:r>
          </w:p>
        </w:tc>
        <w:tc>
          <w:tcPr>
            <w:tcW w:w="515" w:type="dxa"/>
            <w:tcBorders>
              <w:top w:val="single" w:sz="2" w:space="0" w:color="231F20"/>
            </w:tcBorders>
          </w:tcPr>
          <w:p>
            <w:pPr>
              <w:pStyle w:val="TableParagraph"/>
              <w:spacing w:line="133" w:lineRule="exact" w:before="3"/>
              <w:ind w:left="80"/>
              <w:rPr>
                <w:sz w:val="14"/>
              </w:rPr>
            </w:pPr>
            <w:r>
              <w:rPr>
                <w:color w:val="231F20"/>
                <w:sz w:val="14"/>
              </w:rPr>
              <w:t>1.5%</w:t>
            </w:r>
          </w:p>
        </w:tc>
        <w:tc>
          <w:tcPr>
            <w:tcW w:w="530" w:type="dxa"/>
            <w:tcBorders>
              <w:top w:val="single" w:sz="2" w:space="0" w:color="231F20"/>
            </w:tcBorders>
          </w:tcPr>
          <w:p>
            <w:pPr>
              <w:pStyle w:val="TableParagraph"/>
              <w:spacing w:line="133" w:lineRule="exact" w:before="3"/>
              <w:ind w:left="104"/>
              <w:rPr>
                <w:sz w:val="14"/>
              </w:rPr>
            </w:pPr>
            <w:r>
              <w:rPr>
                <w:color w:val="231F20"/>
                <w:sz w:val="14"/>
              </w:rPr>
              <w:t>2.0%</w:t>
            </w:r>
          </w:p>
        </w:tc>
        <w:tc>
          <w:tcPr>
            <w:tcW w:w="502" w:type="dxa"/>
            <w:tcBorders>
              <w:top w:val="single" w:sz="2" w:space="0" w:color="231F20"/>
            </w:tcBorders>
          </w:tcPr>
          <w:p>
            <w:pPr>
              <w:pStyle w:val="TableParagraph"/>
              <w:spacing w:line="133" w:lineRule="exact" w:before="3"/>
              <w:ind w:left="85"/>
              <w:rPr>
                <w:sz w:val="14"/>
              </w:rPr>
            </w:pPr>
            <w:r>
              <w:rPr>
                <w:color w:val="231F20"/>
                <w:sz w:val="14"/>
              </w:rPr>
              <w:t>2.5%</w:t>
            </w:r>
          </w:p>
        </w:tc>
        <w:tc>
          <w:tcPr>
            <w:tcW w:w="479" w:type="dxa"/>
            <w:tcBorders>
              <w:top w:val="single" w:sz="2" w:space="0" w:color="231F20"/>
            </w:tcBorders>
          </w:tcPr>
          <w:p>
            <w:pPr>
              <w:pStyle w:val="TableParagraph"/>
              <w:spacing w:line="133" w:lineRule="exact" w:before="3"/>
              <w:ind w:left="66"/>
              <w:rPr>
                <w:sz w:val="14"/>
              </w:rPr>
            </w:pPr>
            <w:r>
              <w:rPr>
                <w:color w:val="231F20"/>
                <w:sz w:val="14"/>
              </w:rPr>
              <w:t>3.0%</w:t>
            </w:r>
          </w:p>
        </w:tc>
        <w:tc>
          <w:tcPr>
            <w:tcW w:w="463" w:type="dxa"/>
            <w:tcBorders>
              <w:top w:val="single" w:sz="2" w:space="0" w:color="231F20"/>
            </w:tcBorders>
          </w:tcPr>
          <w:p>
            <w:pPr>
              <w:pStyle w:val="TableParagraph"/>
              <w:spacing w:line="133" w:lineRule="exact" w:before="3"/>
              <w:ind w:right="103"/>
              <w:jc w:val="right"/>
              <w:rPr>
                <w:sz w:val="14"/>
              </w:rPr>
            </w:pPr>
            <w:r>
              <w:rPr>
                <w:color w:val="231F20"/>
                <w:sz w:val="14"/>
              </w:rPr>
              <w:t>more</w:t>
            </w:r>
          </w:p>
        </w:tc>
      </w:tr>
      <w:tr>
        <w:trPr>
          <w:trHeight w:val="147" w:hRule="atLeast"/>
        </w:trPr>
        <w:tc>
          <w:tcPr>
            <w:tcW w:w="1431" w:type="dxa"/>
          </w:tcPr>
          <w:p>
            <w:pPr>
              <w:pStyle w:val="TableParagraph"/>
              <w:rPr>
                <w:sz w:val="8"/>
              </w:rPr>
            </w:pPr>
          </w:p>
        </w:tc>
        <w:tc>
          <w:tcPr>
            <w:tcW w:w="469" w:type="dxa"/>
          </w:tcPr>
          <w:p>
            <w:pPr>
              <w:pStyle w:val="TableParagraph"/>
              <w:spacing w:line="128" w:lineRule="exact"/>
              <w:ind w:left="19"/>
              <w:rPr>
                <w:sz w:val="14"/>
              </w:rPr>
            </w:pPr>
            <w:r>
              <w:rPr>
                <w:color w:val="231F20"/>
                <w:sz w:val="14"/>
              </w:rPr>
              <w:t>than</w:t>
            </w:r>
          </w:p>
        </w:tc>
        <w:tc>
          <w:tcPr>
            <w:tcW w:w="515" w:type="dxa"/>
          </w:tcPr>
          <w:p>
            <w:pPr>
              <w:pStyle w:val="TableParagraph"/>
              <w:spacing w:line="128" w:lineRule="exact"/>
              <w:ind w:left="80"/>
              <w:rPr>
                <w:sz w:val="14"/>
              </w:rPr>
            </w:pPr>
            <w:r>
              <w:rPr>
                <w:color w:val="231F20"/>
                <w:sz w:val="14"/>
              </w:rPr>
              <w:t>to</w:t>
            </w:r>
          </w:p>
        </w:tc>
        <w:tc>
          <w:tcPr>
            <w:tcW w:w="530" w:type="dxa"/>
          </w:tcPr>
          <w:p>
            <w:pPr>
              <w:pStyle w:val="TableParagraph"/>
              <w:spacing w:line="128" w:lineRule="exact"/>
              <w:ind w:left="104"/>
              <w:rPr>
                <w:sz w:val="14"/>
              </w:rPr>
            </w:pPr>
            <w:r>
              <w:rPr>
                <w:color w:val="231F20"/>
                <w:sz w:val="14"/>
              </w:rPr>
              <w:t>to</w:t>
            </w:r>
          </w:p>
        </w:tc>
        <w:tc>
          <w:tcPr>
            <w:tcW w:w="502" w:type="dxa"/>
          </w:tcPr>
          <w:p>
            <w:pPr>
              <w:pStyle w:val="TableParagraph"/>
              <w:spacing w:line="128" w:lineRule="exact"/>
              <w:ind w:left="85"/>
              <w:rPr>
                <w:sz w:val="14"/>
              </w:rPr>
            </w:pPr>
            <w:r>
              <w:rPr>
                <w:color w:val="231F20"/>
                <w:sz w:val="14"/>
              </w:rPr>
              <w:t>to</w:t>
            </w:r>
          </w:p>
        </w:tc>
        <w:tc>
          <w:tcPr>
            <w:tcW w:w="479" w:type="dxa"/>
          </w:tcPr>
          <w:p>
            <w:pPr>
              <w:pStyle w:val="TableParagraph"/>
              <w:spacing w:line="128" w:lineRule="exact"/>
              <w:ind w:left="66"/>
              <w:rPr>
                <w:sz w:val="14"/>
              </w:rPr>
            </w:pPr>
            <w:r>
              <w:rPr>
                <w:color w:val="231F20"/>
                <w:sz w:val="14"/>
              </w:rPr>
              <w:t>to</w:t>
            </w:r>
          </w:p>
        </w:tc>
        <w:tc>
          <w:tcPr>
            <w:tcW w:w="463" w:type="dxa"/>
          </w:tcPr>
          <w:p>
            <w:pPr>
              <w:pStyle w:val="TableParagraph"/>
              <w:spacing w:line="128" w:lineRule="exact"/>
              <w:ind w:right="149"/>
              <w:jc w:val="right"/>
              <w:rPr>
                <w:sz w:val="14"/>
              </w:rPr>
            </w:pPr>
            <w:r>
              <w:rPr>
                <w:color w:val="231F20"/>
                <w:sz w:val="14"/>
              </w:rPr>
              <w:t>than</w:t>
            </w:r>
          </w:p>
        </w:tc>
      </w:tr>
      <w:tr>
        <w:trPr>
          <w:trHeight w:val="202" w:hRule="atLeast"/>
        </w:trPr>
        <w:tc>
          <w:tcPr>
            <w:tcW w:w="1431" w:type="dxa"/>
          </w:tcPr>
          <w:p>
            <w:pPr>
              <w:pStyle w:val="TableParagraph"/>
              <w:rPr>
                <w:sz w:val="14"/>
              </w:rPr>
            </w:pPr>
          </w:p>
        </w:tc>
        <w:tc>
          <w:tcPr>
            <w:tcW w:w="469" w:type="dxa"/>
          </w:tcPr>
          <w:p>
            <w:pPr>
              <w:pStyle w:val="TableParagraph"/>
              <w:spacing w:line="155" w:lineRule="exact"/>
              <w:ind w:left="19"/>
              <w:rPr>
                <w:sz w:val="14"/>
              </w:rPr>
            </w:pPr>
            <w:r>
              <w:rPr>
                <w:color w:val="231F20"/>
                <w:sz w:val="14"/>
                <w:u w:val="single" w:color="231F20"/>
              </w:rPr>
              <w:t>1.5% </w:t>
            </w:r>
          </w:p>
        </w:tc>
        <w:tc>
          <w:tcPr>
            <w:tcW w:w="515" w:type="dxa"/>
          </w:tcPr>
          <w:p>
            <w:pPr>
              <w:pStyle w:val="TableParagraph"/>
              <w:spacing w:line="155" w:lineRule="exact"/>
              <w:ind w:left="80"/>
              <w:rPr>
                <w:sz w:val="14"/>
              </w:rPr>
            </w:pPr>
            <w:r>
              <w:rPr>
                <w:color w:val="231F20"/>
                <w:sz w:val="14"/>
                <w:u w:val="single" w:color="231F20"/>
              </w:rPr>
              <w:t>2.0% </w:t>
            </w:r>
          </w:p>
        </w:tc>
        <w:tc>
          <w:tcPr>
            <w:tcW w:w="530" w:type="dxa"/>
          </w:tcPr>
          <w:p>
            <w:pPr>
              <w:pStyle w:val="TableParagraph"/>
              <w:spacing w:line="155" w:lineRule="exact"/>
              <w:ind w:left="104"/>
              <w:rPr>
                <w:sz w:val="14"/>
              </w:rPr>
            </w:pPr>
            <w:r>
              <w:rPr>
                <w:color w:val="231F20"/>
                <w:sz w:val="14"/>
                <w:u w:val="single" w:color="231F20"/>
              </w:rPr>
              <w:t>2.5% </w:t>
            </w:r>
          </w:p>
        </w:tc>
        <w:tc>
          <w:tcPr>
            <w:tcW w:w="502" w:type="dxa"/>
          </w:tcPr>
          <w:p>
            <w:pPr>
              <w:pStyle w:val="TableParagraph"/>
              <w:spacing w:line="155" w:lineRule="exact"/>
              <w:ind w:left="85"/>
              <w:rPr>
                <w:sz w:val="14"/>
              </w:rPr>
            </w:pPr>
            <w:r>
              <w:rPr>
                <w:color w:val="231F20"/>
                <w:sz w:val="14"/>
                <w:u w:val="single" w:color="231F20"/>
              </w:rPr>
              <w:t>3.0% </w:t>
            </w:r>
          </w:p>
        </w:tc>
        <w:tc>
          <w:tcPr>
            <w:tcW w:w="479" w:type="dxa"/>
          </w:tcPr>
          <w:p>
            <w:pPr>
              <w:pStyle w:val="TableParagraph"/>
              <w:spacing w:line="155" w:lineRule="exact"/>
              <w:ind w:left="66"/>
              <w:rPr>
                <w:sz w:val="14"/>
              </w:rPr>
            </w:pPr>
            <w:r>
              <w:rPr>
                <w:color w:val="231F20"/>
                <w:sz w:val="14"/>
                <w:u w:val="single" w:color="231F20"/>
              </w:rPr>
              <w:t>3.5% </w:t>
            </w:r>
          </w:p>
        </w:tc>
        <w:tc>
          <w:tcPr>
            <w:tcW w:w="463" w:type="dxa"/>
          </w:tcPr>
          <w:p>
            <w:pPr>
              <w:pStyle w:val="TableParagraph"/>
              <w:spacing w:line="155" w:lineRule="exact"/>
              <w:ind w:right="56"/>
              <w:jc w:val="right"/>
              <w:rPr>
                <w:sz w:val="14"/>
              </w:rPr>
            </w:pPr>
            <w:r>
              <w:rPr>
                <w:color w:val="231F20"/>
                <w:sz w:val="14"/>
                <w:u w:val="single" w:color="231F20"/>
              </w:rPr>
              <w:t>3.5% </w:t>
            </w:r>
          </w:p>
        </w:tc>
      </w:tr>
      <w:tr>
        <w:trPr>
          <w:trHeight w:val="210" w:hRule="atLeast"/>
        </w:trPr>
        <w:tc>
          <w:tcPr>
            <w:tcW w:w="1431" w:type="dxa"/>
          </w:tcPr>
          <w:p>
            <w:pPr>
              <w:pStyle w:val="TableParagraph"/>
              <w:spacing w:line="133" w:lineRule="exact" w:before="56"/>
              <w:ind w:left="50"/>
              <w:rPr>
                <w:sz w:val="14"/>
              </w:rPr>
            </w:pPr>
            <w:r>
              <w:rPr>
                <w:color w:val="231F20"/>
                <w:sz w:val="14"/>
              </w:rPr>
              <w:t>2000 Q4</w:t>
            </w:r>
          </w:p>
        </w:tc>
        <w:tc>
          <w:tcPr>
            <w:tcW w:w="469" w:type="dxa"/>
          </w:tcPr>
          <w:p>
            <w:pPr>
              <w:pStyle w:val="TableParagraph"/>
              <w:spacing w:line="133" w:lineRule="exact" w:before="56"/>
              <w:ind w:left="39"/>
              <w:rPr>
                <w:sz w:val="14"/>
              </w:rPr>
            </w:pPr>
            <w:r>
              <w:rPr>
                <w:color w:val="231F20"/>
                <w:sz w:val="14"/>
              </w:rPr>
              <w:t>10</w:t>
            </w:r>
          </w:p>
        </w:tc>
        <w:tc>
          <w:tcPr>
            <w:tcW w:w="515" w:type="dxa"/>
          </w:tcPr>
          <w:p>
            <w:pPr>
              <w:pStyle w:val="TableParagraph"/>
              <w:spacing w:line="133" w:lineRule="exact" w:before="56"/>
              <w:ind w:left="120"/>
              <w:rPr>
                <w:sz w:val="14"/>
              </w:rPr>
            </w:pPr>
            <w:r>
              <w:rPr>
                <w:color w:val="231F20"/>
                <w:sz w:val="14"/>
              </w:rPr>
              <w:t>30</w:t>
            </w:r>
          </w:p>
        </w:tc>
        <w:tc>
          <w:tcPr>
            <w:tcW w:w="530" w:type="dxa"/>
          </w:tcPr>
          <w:p>
            <w:pPr>
              <w:pStyle w:val="TableParagraph"/>
              <w:spacing w:line="133" w:lineRule="exact" w:before="56"/>
              <w:ind w:left="125"/>
              <w:rPr>
                <w:sz w:val="14"/>
              </w:rPr>
            </w:pPr>
            <w:r>
              <w:rPr>
                <w:color w:val="231F20"/>
                <w:sz w:val="14"/>
              </w:rPr>
              <w:t>35</w:t>
            </w:r>
          </w:p>
        </w:tc>
        <w:tc>
          <w:tcPr>
            <w:tcW w:w="502" w:type="dxa"/>
          </w:tcPr>
          <w:p>
            <w:pPr>
              <w:pStyle w:val="TableParagraph"/>
              <w:spacing w:line="133" w:lineRule="exact" w:before="56"/>
              <w:ind w:left="125"/>
              <w:rPr>
                <w:sz w:val="14"/>
              </w:rPr>
            </w:pPr>
            <w:r>
              <w:rPr>
                <w:color w:val="231F20"/>
                <w:sz w:val="14"/>
              </w:rPr>
              <w:t>19</w:t>
            </w:r>
          </w:p>
        </w:tc>
        <w:tc>
          <w:tcPr>
            <w:tcW w:w="479" w:type="dxa"/>
          </w:tcPr>
          <w:p>
            <w:pPr>
              <w:pStyle w:val="TableParagraph"/>
              <w:spacing w:line="133" w:lineRule="exact" w:before="56"/>
              <w:ind w:right="20"/>
              <w:jc w:val="center"/>
              <w:rPr>
                <w:sz w:val="14"/>
              </w:rPr>
            </w:pPr>
            <w:r>
              <w:rPr>
                <w:color w:val="231F20"/>
                <w:sz w:val="14"/>
              </w:rPr>
              <w:t>5</w:t>
            </w:r>
          </w:p>
        </w:tc>
        <w:tc>
          <w:tcPr>
            <w:tcW w:w="463" w:type="dxa"/>
          </w:tcPr>
          <w:p>
            <w:pPr>
              <w:pStyle w:val="TableParagraph"/>
              <w:spacing w:line="133" w:lineRule="exact" w:before="56"/>
              <w:ind w:left="134"/>
              <w:rPr>
                <w:sz w:val="14"/>
              </w:rPr>
            </w:pPr>
            <w:r>
              <w:rPr>
                <w:color w:val="231F20"/>
                <w:sz w:val="14"/>
              </w:rPr>
              <w:t>1</w:t>
            </w:r>
          </w:p>
        </w:tc>
      </w:tr>
      <w:tr>
        <w:trPr>
          <w:trHeight w:val="140" w:hRule="atLeast"/>
        </w:trPr>
        <w:tc>
          <w:tcPr>
            <w:tcW w:w="1431" w:type="dxa"/>
          </w:tcPr>
          <w:p>
            <w:pPr>
              <w:pStyle w:val="TableParagraph"/>
              <w:spacing w:line="120" w:lineRule="exact"/>
              <w:ind w:left="50"/>
              <w:rPr>
                <w:sz w:val="14"/>
              </w:rPr>
            </w:pPr>
            <w:r>
              <w:rPr>
                <w:color w:val="231F20"/>
                <w:sz w:val="14"/>
              </w:rPr>
              <w:t>2001 Q4</w:t>
            </w:r>
          </w:p>
        </w:tc>
        <w:tc>
          <w:tcPr>
            <w:tcW w:w="469" w:type="dxa"/>
          </w:tcPr>
          <w:p>
            <w:pPr>
              <w:pStyle w:val="TableParagraph"/>
              <w:spacing w:line="120" w:lineRule="exact"/>
              <w:ind w:left="109"/>
              <w:rPr>
                <w:sz w:val="14"/>
              </w:rPr>
            </w:pPr>
            <w:r>
              <w:rPr>
                <w:color w:val="231F20"/>
                <w:sz w:val="14"/>
              </w:rPr>
              <w:t>5</w:t>
            </w:r>
          </w:p>
        </w:tc>
        <w:tc>
          <w:tcPr>
            <w:tcW w:w="515" w:type="dxa"/>
          </w:tcPr>
          <w:p>
            <w:pPr>
              <w:pStyle w:val="TableParagraph"/>
              <w:spacing w:line="120" w:lineRule="exact"/>
              <w:ind w:left="120"/>
              <w:rPr>
                <w:sz w:val="14"/>
              </w:rPr>
            </w:pPr>
            <w:r>
              <w:rPr>
                <w:color w:val="231F20"/>
                <w:sz w:val="14"/>
              </w:rPr>
              <w:t>12</w:t>
            </w:r>
          </w:p>
        </w:tc>
        <w:tc>
          <w:tcPr>
            <w:tcW w:w="530" w:type="dxa"/>
          </w:tcPr>
          <w:p>
            <w:pPr>
              <w:pStyle w:val="TableParagraph"/>
              <w:spacing w:line="120" w:lineRule="exact"/>
              <w:ind w:left="125"/>
              <w:rPr>
                <w:sz w:val="14"/>
              </w:rPr>
            </w:pPr>
            <w:r>
              <w:rPr>
                <w:color w:val="231F20"/>
                <w:sz w:val="14"/>
              </w:rPr>
              <w:t>24</w:t>
            </w:r>
          </w:p>
        </w:tc>
        <w:tc>
          <w:tcPr>
            <w:tcW w:w="502" w:type="dxa"/>
          </w:tcPr>
          <w:p>
            <w:pPr>
              <w:pStyle w:val="TableParagraph"/>
              <w:spacing w:line="120" w:lineRule="exact"/>
              <w:ind w:left="125"/>
              <w:rPr>
                <w:sz w:val="14"/>
              </w:rPr>
            </w:pPr>
            <w:r>
              <w:rPr>
                <w:color w:val="231F20"/>
                <w:sz w:val="14"/>
              </w:rPr>
              <w:t>26</w:t>
            </w:r>
          </w:p>
        </w:tc>
        <w:tc>
          <w:tcPr>
            <w:tcW w:w="479" w:type="dxa"/>
          </w:tcPr>
          <w:p>
            <w:pPr>
              <w:pStyle w:val="TableParagraph"/>
              <w:spacing w:line="120" w:lineRule="exact"/>
              <w:ind w:left="123"/>
              <w:rPr>
                <w:sz w:val="14"/>
              </w:rPr>
            </w:pPr>
            <w:r>
              <w:rPr>
                <w:color w:val="231F20"/>
                <w:sz w:val="14"/>
              </w:rPr>
              <w:t>19</w:t>
            </w:r>
          </w:p>
        </w:tc>
        <w:tc>
          <w:tcPr>
            <w:tcW w:w="463" w:type="dxa"/>
          </w:tcPr>
          <w:p>
            <w:pPr>
              <w:pStyle w:val="TableParagraph"/>
              <w:spacing w:line="120" w:lineRule="exact"/>
              <w:ind w:left="64"/>
              <w:rPr>
                <w:sz w:val="14"/>
              </w:rPr>
            </w:pPr>
            <w:r>
              <w:rPr>
                <w:color w:val="231F20"/>
                <w:sz w:val="14"/>
              </w:rPr>
              <w:t>14</w:t>
            </w:r>
          </w:p>
        </w:tc>
      </w:tr>
      <w:tr>
        <w:trPr>
          <w:trHeight w:val="210" w:hRule="atLeast"/>
        </w:trPr>
        <w:tc>
          <w:tcPr>
            <w:tcW w:w="1431" w:type="dxa"/>
          </w:tcPr>
          <w:p>
            <w:pPr>
              <w:pStyle w:val="TableParagraph"/>
              <w:spacing w:line="148" w:lineRule="exact"/>
              <w:ind w:left="50"/>
              <w:rPr>
                <w:sz w:val="14"/>
              </w:rPr>
            </w:pPr>
            <w:r>
              <w:rPr>
                <w:color w:val="231F20"/>
                <w:sz w:val="14"/>
              </w:rPr>
              <w:t>2002 Q1</w:t>
            </w:r>
          </w:p>
        </w:tc>
        <w:tc>
          <w:tcPr>
            <w:tcW w:w="469" w:type="dxa"/>
          </w:tcPr>
          <w:p>
            <w:pPr>
              <w:pStyle w:val="TableParagraph"/>
              <w:spacing w:line="148" w:lineRule="exact"/>
              <w:ind w:left="109"/>
              <w:rPr>
                <w:sz w:val="14"/>
              </w:rPr>
            </w:pPr>
            <w:r>
              <w:rPr>
                <w:color w:val="231F20"/>
                <w:sz w:val="14"/>
              </w:rPr>
              <w:t>5</w:t>
            </w:r>
          </w:p>
        </w:tc>
        <w:tc>
          <w:tcPr>
            <w:tcW w:w="515" w:type="dxa"/>
          </w:tcPr>
          <w:p>
            <w:pPr>
              <w:pStyle w:val="TableParagraph"/>
              <w:spacing w:line="148" w:lineRule="exact"/>
              <w:ind w:left="120"/>
              <w:rPr>
                <w:sz w:val="14"/>
              </w:rPr>
            </w:pPr>
            <w:r>
              <w:rPr>
                <w:color w:val="231F20"/>
                <w:sz w:val="14"/>
              </w:rPr>
              <w:t>12</w:t>
            </w:r>
          </w:p>
        </w:tc>
        <w:tc>
          <w:tcPr>
            <w:tcW w:w="530" w:type="dxa"/>
          </w:tcPr>
          <w:p>
            <w:pPr>
              <w:pStyle w:val="TableParagraph"/>
              <w:spacing w:line="148" w:lineRule="exact"/>
              <w:ind w:left="125"/>
              <w:rPr>
                <w:sz w:val="14"/>
              </w:rPr>
            </w:pPr>
            <w:r>
              <w:rPr>
                <w:color w:val="231F20"/>
                <w:sz w:val="14"/>
              </w:rPr>
              <w:t>22</w:t>
            </w:r>
          </w:p>
        </w:tc>
        <w:tc>
          <w:tcPr>
            <w:tcW w:w="502" w:type="dxa"/>
          </w:tcPr>
          <w:p>
            <w:pPr>
              <w:pStyle w:val="TableParagraph"/>
              <w:spacing w:line="148" w:lineRule="exact"/>
              <w:ind w:left="125"/>
              <w:rPr>
                <w:sz w:val="14"/>
              </w:rPr>
            </w:pPr>
            <w:r>
              <w:rPr>
                <w:color w:val="231F20"/>
                <w:sz w:val="14"/>
              </w:rPr>
              <w:t>25</w:t>
            </w:r>
          </w:p>
        </w:tc>
        <w:tc>
          <w:tcPr>
            <w:tcW w:w="479" w:type="dxa"/>
          </w:tcPr>
          <w:p>
            <w:pPr>
              <w:pStyle w:val="TableParagraph"/>
              <w:spacing w:line="148" w:lineRule="exact"/>
              <w:ind w:left="123"/>
              <w:rPr>
                <w:sz w:val="14"/>
              </w:rPr>
            </w:pPr>
            <w:r>
              <w:rPr>
                <w:color w:val="231F20"/>
                <w:sz w:val="14"/>
              </w:rPr>
              <w:t>19</w:t>
            </w:r>
          </w:p>
        </w:tc>
        <w:tc>
          <w:tcPr>
            <w:tcW w:w="463" w:type="dxa"/>
          </w:tcPr>
          <w:p>
            <w:pPr>
              <w:pStyle w:val="TableParagraph"/>
              <w:spacing w:line="148" w:lineRule="exact"/>
              <w:ind w:left="64"/>
              <w:rPr>
                <w:sz w:val="14"/>
              </w:rPr>
            </w:pPr>
            <w:r>
              <w:rPr>
                <w:color w:val="231F20"/>
                <w:sz w:val="14"/>
              </w:rPr>
              <w:t>17</w:t>
            </w:r>
          </w:p>
        </w:tc>
      </w:tr>
      <w:tr>
        <w:trPr>
          <w:trHeight w:val="217" w:hRule="atLeast"/>
        </w:trPr>
        <w:tc>
          <w:tcPr>
            <w:tcW w:w="1431" w:type="dxa"/>
          </w:tcPr>
          <w:p>
            <w:pPr>
              <w:pStyle w:val="TableParagraph"/>
              <w:spacing w:line="141" w:lineRule="exact" w:before="56"/>
              <w:ind w:left="50"/>
              <w:rPr>
                <w:b/>
                <w:sz w:val="14"/>
              </w:rPr>
            </w:pPr>
            <w:r>
              <w:rPr>
                <w:b/>
                <w:color w:val="231F20"/>
                <w:sz w:val="14"/>
              </w:rPr>
              <w:t>GDP growth</w:t>
            </w:r>
          </w:p>
        </w:tc>
        <w:tc>
          <w:tcPr>
            <w:tcW w:w="469" w:type="dxa"/>
          </w:tcPr>
          <w:p>
            <w:pPr>
              <w:pStyle w:val="TableParagraph"/>
              <w:rPr>
                <w:sz w:val="14"/>
              </w:rPr>
            </w:pPr>
          </w:p>
        </w:tc>
        <w:tc>
          <w:tcPr>
            <w:tcW w:w="515" w:type="dxa"/>
          </w:tcPr>
          <w:p>
            <w:pPr>
              <w:pStyle w:val="TableParagraph"/>
              <w:rPr>
                <w:sz w:val="14"/>
              </w:rPr>
            </w:pPr>
          </w:p>
        </w:tc>
        <w:tc>
          <w:tcPr>
            <w:tcW w:w="530" w:type="dxa"/>
          </w:tcPr>
          <w:p>
            <w:pPr>
              <w:pStyle w:val="TableParagraph"/>
              <w:rPr>
                <w:sz w:val="14"/>
              </w:rPr>
            </w:pPr>
          </w:p>
        </w:tc>
        <w:tc>
          <w:tcPr>
            <w:tcW w:w="502" w:type="dxa"/>
          </w:tcPr>
          <w:p>
            <w:pPr>
              <w:pStyle w:val="TableParagraph"/>
              <w:rPr>
                <w:sz w:val="14"/>
              </w:rPr>
            </w:pPr>
          </w:p>
        </w:tc>
        <w:tc>
          <w:tcPr>
            <w:tcW w:w="479" w:type="dxa"/>
          </w:tcPr>
          <w:p>
            <w:pPr>
              <w:pStyle w:val="TableParagraph"/>
              <w:rPr>
                <w:sz w:val="14"/>
              </w:rPr>
            </w:pPr>
          </w:p>
        </w:tc>
        <w:tc>
          <w:tcPr>
            <w:tcW w:w="463" w:type="dxa"/>
          </w:tcPr>
          <w:p>
            <w:pPr>
              <w:pStyle w:val="TableParagraph"/>
              <w:rPr>
                <w:sz w:val="14"/>
              </w:rPr>
            </w:pPr>
          </w:p>
        </w:tc>
      </w:tr>
      <w:tr>
        <w:trPr>
          <w:trHeight w:val="309" w:hRule="atLeast"/>
        </w:trPr>
        <w:tc>
          <w:tcPr>
            <w:tcW w:w="4389" w:type="dxa"/>
            <w:gridSpan w:val="7"/>
          </w:tcPr>
          <w:p>
            <w:pPr>
              <w:pStyle w:val="TableParagraph"/>
              <w:tabs>
                <w:tab w:pos="1434" w:val="left" w:leader="none"/>
                <w:tab w:pos="4305" w:val="left" w:leader="none"/>
              </w:tabs>
              <w:spacing w:before="119"/>
              <w:ind w:left="50"/>
              <w:rPr>
                <w:sz w:val="14"/>
              </w:rPr>
            </w:pPr>
            <w:r>
              <w:rPr>
                <w:color w:val="231F20"/>
                <w:sz w:val="14"/>
              </w:rPr>
              <w:t>Probability, per cent</w:t>
              <w:tab/>
            </w:r>
            <w:r>
              <w:rPr>
                <w:color w:val="231F20"/>
                <w:sz w:val="14"/>
                <w:u w:val="single" w:color="231F20"/>
              </w:rPr>
              <w:t>Range:</w:t>
              <w:tab/>
            </w:r>
          </w:p>
        </w:tc>
      </w:tr>
      <w:tr>
        <w:trPr>
          <w:trHeight w:val="143" w:hRule="atLeast"/>
        </w:trPr>
        <w:tc>
          <w:tcPr>
            <w:tcW w:w="1431" w:type="dxa"/>
          </w:tcPr>
          <w:p>
            <w:pPr>
              <w:pStyle w:val="TableParagraph"/>
              <w:rPr>
                <w:sz w:val="8"/>
              </w:rPr>
            </w:pPr>
          </w:p>
        </w:tc>
        <w:tc>
          <w:tcPr>
            <w:tcW w:w="469" w:type="dxa"/>
          </w:tcPr>
          <w:p>
            <w:pPr>
              <w:pStyle w:val="TableParagraph"/>
              <w:spacing w:line="128" w:lineRule="exact"/>
              <w:ind w:left="28"/>
              <w:rPr>
                <w:sz w:val="14"/>
              </w:rPr>
            </w:pPr>
            <w:r>
              <w:rPr>
                <w:color w:val="231F20"/>
                <w:sz w:val="14"/>
              </w:rPr>
              <w:t>less</w:t>
            </w:r>
          </w:p>
        </w:tc>
        <w:tc>
          <w:tcPr>
            <w:tcW w:w="515" w:type="dxa"/>
          </w:tcPr>
          <w:p>
            <w:pPr>
              <w:pStyle w:val="TableParagraph"/>
              <w:spacing w:line="128" w:lineRule="exact"/>
              <w:ind w:left="101"/>
              <w:rPr>
                <w:sz w:val="14"/>
              </w:rPr>
            </w:pPr>
            <w:r>
              <w:rPr>
                <w:color w:val="231F20"/>
                <w:sz w:val="14"/>
              </w:rPr>
              <w:t>0%</w:t>
            </w:r>
          </w:p>
        </w:tc>
        <w:tc>
          <w:tcPr>
            <w:tcW w:w="530" w:type="dxa"/>
          </w:tcPr>
          <w:p>
            <w:pPr>
              <w:pStyle w:val="TableParagraph"/>
              <w:spacing w:line="128" w:lineRule="exact"/>
              <w:ind w:left="114"/>
              <w:rPr>
                <w:sz w:val="14"/>
              </w:rPr>
            </w:pPr>
            <w:r>
              <w:rPr>
                <w:color w:val="231F20"/>
                <w:sz w:val="14"/>
              </w:rPr>
              <w:t>1%</w:t>
            </w:r>
          </w:p>
        </w:tc>
        <w:tc>
          <w:tcPr>
            <w:tcW w:w="502" w:type="dxa"/>
          </w:tcPr>
          <w:p>
            <w:pPr>
              <w:pStyle w:val="TableParagraph"/>
              <w:spacing w:line="128" w:lineRule="exact"/>
              <w:ind w:left="95"/>
              <w:rPr>
                <w:sz w:val="14"/>
              </w:rPr>
            </w:pPr>
            <w:r>
              <w:rPr>
                <w:color w:val="231F20"/>
                <w:sz w:val="14"/>
              </w:rPr>
              <w:t>2%</w:t>
            </w:r>
          </w:p>
        </w:tc>
        <w:tc>
          <w:tcPr>
            <w:tcW w:w="479" w:type="dxa"/>
          </w:tcPr>
          <w:p>
            <w:pPr>
              <w:pStyle w:val="TableParagraph"/>
              <w:spacing w:line="128" w:lineRule="exact"/>
              <w:ind w:left="104"/>
              <w:rPr>
                <w:sz w:val="14"/>
              </w:rPr>
            </w:pPr>
            <w:r>
              <w:rPr>
                <w:color w:val="231F20"/>
                <w:sz w:val="14"/>
              </w:rPr>
              <w:t>3%</w:t>
            </w:r>
          </w:p>
        </w:tc>
        <w:tc>
          <w:tcPr>
            <w:tcW w:w="463" w:type="dxa"/>
          </w:tcPr>
          <w:p>
            <w:pPr>
              <w:pStyle w:val="TableParagraph"/>
              <w:spacing w:line="128" w:lineRule="exact"/>
              <w:ind w:right="103"/>
              <w:jc w:val="right"/>
              <w:rPr>
                <w:sz w:val="14"/>
              </w:rPr>
            </w:pPr>
            <w:r>
              <w:rPr>
                <w:color w:val="231F20"/>
                <w:sz w:val="14"/>
              </w:rPr>
              <w:t>more</w:t>
            </w:r>
          </w:p>
        </w:tc>
      </w:tr>
      <w:tr>
        <w:trPr>
          <w:trHeight w:val="140" w:hRule="atLeast"/>
        </w:trPr>
        <w:tc>
          <w:tcPr>
            <w:tcW w:w="1431" w:type="dxa"/>
          </w:tcPr>
          <w:p>
            <w:pPr>
              <w:pStyle w:val="TableParagraph"/>
              <w:rPr>
                <w:sz w:val="8"/>
              </w:rPr>
            </w:pPr>
          </w:p>
        </w:tc>
        <w:tc>
          <w:tcPr>
            <w:tcW w:w="469" w:type="dxa"/>
          </w:tcPr>
          <w:p>
            <w:pPr>
              <w:pStyle w:val="TableParagraph"/>
              <w:spacing w:line="120" w:lineRule="exact"/>
              <w:ind w:left="28"/>
              <w:rPr>
                <w:sz w:val="14"/>
              </w:rPr>
            </w:pPr>
            <w:r>
              <w:rPr>
                <w:color w:val="231F20"/>
                <w:sz w:val="14"/>
              </w:rPr>
              <w:t>than</w:t>
            </w:r>
          </w:p>
        </w:tc>
        <w:tc>
          <w:tcPr>
            <w:tcW w:w="515" w:type="dxa"/>
          </w:tcPr>
          <w:p>
            <w:pPr>
              <w:pStyle w:val="TableParagraph"/>
              <w:spacing w:line="120" w:lineRule="exact"/>
              <w:ind w:left="100"/>
              <w:rPr>
                <w:sz w:val="14"/>
              </w:rPr>
            </w:pPr>
            <w:r>
              <w:rPr>
                <w:color w:val="231F20"/>
                <w:sz w:val="14"/>
              </w:rPr>
              <w:t>to</w:t>
            </w:r>
          </w:p>
        </w:tc>
        <w:tc>
          <w:tcPr>
            <w:tcW w:w="530" w:type="dxa"/>
          </w:tcPr>
          <w:p>
            <w:pPr>
              <w:pStyle w:val="TableParagraph"/>
              <w:spacing w:line="120" w:lineRule="exact"/>
              <w:ind w:left="114"/>
              <w:rPr>
                <w:sz w:val="14"/>
              </w:rPr>
            </w:pPr>
            <w:r>
              <w:rPr>
                <w:color w:val="231F20"/>
                <w:sz w:val="14"/>
              </w:rPr>
              <w:t>to</w:t>
            </w:r>
          </w:p>
        </w:tc>
        <w:tc>
          <w:tcPr>
            <w:tcW w:w="502" w:type="dxa"/>
          </w:tcPr>
          <w:p>
            <w:pPr>
              <w:pStyle w:val="TableParagraph"/>
              <w:spacing w:line="120" w:lineRule="exact"/>
              <w:ind w:left="95"/>
              <w:rPr>
                <w:sz w:val="14"/>
              </w:rPr>
            </w:pPr>
            <w:r>
              <w:rPr>
                <w:color w:val="231F20"/>
                <w:sz w:val="14"/>
              </w:rPr>
              <w:t>to</w:t>
            </w:r>
          </w:p>
        </w:tc>
        <w:tc>
          <w:tcPr>
            <w:tcW w:w="479" w:type="dxa"/>
          </w:tcPr>
          <w:p>
            <w:pPr>
              <w:pStyle w:val="TableParagraph"/>
              <w:spacing w:line="120" w:lineRule="exact"/>
              <w:ind w:left="104"/>
              <w:rPr>
                <w:sz w:val="14"/>
              </w:rPr>
            </w:pPr>
            <w:r>
              <w:rPr>
                <w:color w:val="231F20"/>
                <w:sz w:val="14"/>
              </w:rPr>
              <w:t>to</w:t>
            </w:r>
          </w:p>
        </w:tc>
        <w:tc>
          <w:tcPr>
            <w:tcW w:w="463" w:type="dxa"/>
          </w:tcPr>
          <w:p>
            <w:pPr>
              <w:pStyle w:val="TableParagraph"/>
              <w:spacing w:line="120" w:lineRule="exact"/>
              <w:ind w:right="149"/>
              <w:jc w:val="right"/>
              <w:rPr>
                <w:sz w:val="14"/>
              </w:rPr>
            </w:pPr>
            <w:r>
              <w:rPr>
                <w:color w:val="231F20"/>
                <w:sz w:val="14"/>
              </w:rPr>
              <w:t>than</w:t>
            </w:r>
          </w:p>
        </w:tc>
      </w:tr>
      <w:tr>
        <w:trPr>
          <w:trHeight w:val="190" w:hRule="atLeast"/>
        </w:trPr>
        <w:tc>
          <w:tcPr>
            <w:tcW w:w="1431" w:type="dxa"/>
          </w:tcPr>
          <w:p>
            <w:pPr>
              <w:pStyle w:val="TableParagraph"/>
              <w:rPr>
                <w:sz w:val="12"/>
              </w:rPr>
            </w:pPr>
          </w:p>
        </w:tc>
        <w:tc>
          <w:tcPr>
            <w:tcW w:w="469" w:type="dxa"/>
          </w:tcPr>
          <w:p>
            <w:pPr>
              <w:pStyle w:val="TableParagraph"/>
              <w:spacing w:line="148" w:lineRule="exact"/>
              <w:ind w:left="28"/>
              <w:rPr>
                <w:sz w:val="14"/>
              </w:rPr>
            </w:pPr>
            <w:r>
              <w:rPr>
                <w:color w:val="231F20"/>
                <w:sz w:val="14"/>
                <w:u w:val="single" w:color="231F20"/>
              </w:rPr>
              <w:t>0% </w:t>
            </w:r>
          </w:p>
        </w:tc>
        <w:tc>
          <w:tcPr>
            <w:tcW w:w="515" w:type="dxa"/>
          </w:tcPr>
          <w:p>
            <w:pPr>
              <w:pStyle w:val="TableParagraph"/>
              <w:spacing w:line="148" w:lineRule="exact"/>
              <w:ind w:left="68"/>
              <w:rPr>
                <w:sz w:val="14"/>
              </w:rPr>
            </w:pPr>
            <w:r>
              <w:rPr>
                <w:color w:val="231F20"/>
                <w:sz w:val="14"/>
                <w:u w:val="single" w:color="231F20"/>
              </w:rPr>
              <w:t> 1% </w:t>
            </w:r>
          </w:p>
        </w:tc>
        <w:tc>
          <w:tcPr>
            <w:tcW w:w="530" w:type="dxa"/>
          </w:tcPr>
          <w:p>
            <w:pPr>
              <w:pStyle w:val="TableParagraph"/>
              <w:spacing w:line="148" w:lineRule="exact"/>
              <w:ind w:left="114"/>
              <w:rPr>
                <w:sz w:val="14"/>
              </w:rPr>
            </w:pPr>
            <w:r>
              <w:rPr>
                <w:color w:val="231F20"/>
                <w:sz w:val="14"/>
                <w:u w:val="single" w:color="231F20"/>
              </w:rPr>
              <w:t>2% </w:t>
            </w:r>
          </w:p>
        </w:tc>
        <w:tc>
          <w:tcPr>
            <w:tcW w:w="502" w:type="dxa"/>
          </w:tcPr>
          <w:p>
            <w:pPr>
              <w:pStyle w:val="TableParagraph"/>
              <w:spacing w:line="148" w:lineRule="exact"/>
              <w:ind w:left="95"/>
              <w:rPr>
                <w:sz w:val="14"/>
              </w:rPr>
            </w:pPr>
            <w:r>
              <w:rPr>
                <w:color w:val="231F20"/>
                <w:sz w:val="14"/>
                <w:u w:val="single" w:color="231F20"/>
              </w:rPr>
              <w:t>3% </w:t>
            </w:r>
          </w:p>
        </w:tc>
        <w:tc>
          <w:tcPr>
            <w:tcW w:w="479" w:type="dxa"/>
          </w:tcPr>
          <w:p>
            <w:pPr>
              <w:pStyle w:val="TableParagraph"/>
              <w:spacing w:line="148" w:lineRule="exact"/>
              <w:ind w:left="68"/>
              <w:rPr>
                <w:sz w:val="14"/>
              </w:rPr>
            </w:pPr>
            <w:r>
              <w:rPr>
                <w:color w:val="231F20"/>
                <w:sz w:val="14"/>
                <w:u w:val="single" w:color="231F20"/>
              </w:rPr>
              <w:t> 4% </w:t>
            </w:r>
          </w:p>
        </w:tc>
        <w:tc>
          <w:tcPr>
            <w:tcW w:w="463" w:type="dxa"/>
          </w:tcPr>
          <w:p>
            <w:pPr>
              <w:pStyle w:val="TableParagraph"/>
              <w:spacing w:line="148" w:lineRule="exact"/>
              <w:ind w:right="51"/>
              <w:jc w:val="right"/>
              <w:rPr>
                <w:sz w:val="14"/>
              </w:rPr>
            </w:pPr>
            <w:r>
              <w:rPr>
                <w:color w:val="231F20"/>
                <w:sz w:val="14"/>
                <w:u w:val="single" w:color="231F20"/>
              </w:rPr>
              <w:t>4% </w:t>
            </w:r>
          </w:p>
        </w:tc>
      </w:tr>
      <w:tr>
        <w:trPr>
          <w:trHeight w:val="190" w:hRule="atLeast"/>
        </w:trPr>
        <w:tc>
          <w:tcPr>
            <w:tcW w:w="1431" w:type="dxa"/>
          </w:tcPr>
          <w:p>
            <w:pPr>
              <w:pStyle w:val="TableParagraph"/>
              <w:spacing w:line="133" w:lineRule="exact" w:before="36"/>
              <w:ind w:left="50"/>
              <w:rPr>
                <w:sz w:val="14"/>
              </w:rPr>
            </w:pPr>
            <w:r>
              <w:rPr>
                <w:color w:val="231F20"/>
                <w:sz w:val="14"/>
              </w:rPr>
              <w:t>2000 Q4</w:t>
            </w:r>
          </w:p>
        </w:tc>
        <w:tc>
          <w:tcPr>
            <w:tcW w:w="469" w:type="dxa"/>
          </w:tcPr>
          <w:p>
            <w:pPr>
              <w:pStyle w:val="TableParagraph"/>
              <w:spacing w:line="133" w:lineRule="exact" w:before="36"/>
              <w:ind w:left="30"/>
              <w:rPr>
                <w:sz w:val="14"/>
              </w:rPr>
            </w:pPr>
            <w:r>
              <w:rPr>
                <w:color w:val="231F20"/>
                <w:sz w:val="14"/>
              </w:rPr>
              <w:t>&lt;1</w:t>
            </w:r>
          </w:p>
        </w:tc>
        <w:tc>
          <w:tcPr>
            <w:tcW w:w="515" w:type="dxa"/>
          </w:tcPr>
          <w:p>
            <w:pPr>
              <w:pStyle w:val="TableParagraph"/>
              <w:spacing w:line="133" w:lineRule="exact" w:before="36"/>
              <w:ind w:right="62"/>
              <w:jc w:val="center"/>
              <w:rPr>
                <w:sz w:val="14"/>
              </w:rPr>
            </w:pPr>
            <w:r>
              <w:rPr>
                <w:color w:val="231F20"/>
                <w:sz w:val="14"/>
              </w:rPr>
              <w:t>6</w:t>
            </w:r>
          </w:p>
        </w:tc>
        <w:tc>
          <w:tcPr>
            <w:tcW w:w="530" w:type="dxa"/>
          </w:tcPr>
          <w:p>
            <w:pPr>
              <w:pStyle w:val="TableParagraph"/>
              <w:spacing w:line="133" w:lineRule="exact" w:before="36"/>
              <w:ind w:left="125"/>
              <w:rPr>
                <w:sz w:val="14"/>
              </w:rPr>
            </w:pPr>
            <w:r>
              <w:rPr>
                <w:color w:val="231F20"/>
                <w:sz w:val="14"/>
              </w:rPr>
              <w:t>30</w:t>
            </w:r>
          </w:p>
        </w:tc>
        <w:tc>
          <w:tcPr>
            <w:tcW w:w="502" w:type="dxa"/>
          </w:tcPr>
          <w:p>
            <w:pPr>
              <w:pStyle w:val="TableParagraph"/>
              <w:spacing w:line="133" w:lineRule="exact" w:before="36"/>
              <w:ind w:left="125"/>
              <w:rPr>
                <w:sz w:val="14"/>
              </w:rPr>
            </w:pPr>
            <w:r>
              <w:rPr>
                <w:color w:val="231F20"/>
                <w:sz w:val="14"/>
              </w:rPr>
              <w:t>41</w:t>
            </w:r>
          </w:p>
        </w:tc>
        <w:tc>
          <w:tcPr>
            <w:tcW w:w="479" w:type="dxa"/>
          </w:tcPr>
          <w:p>
            <w:pPr>
              <w:pStyle w:val="TableParagraph"/>
              <w:spacing w:line="133" w:lineRule="exact" w:before="36"/>
              <w:ind w:left="113"/>
              <w:rPr>
                <w:sz w:val="14"/>
              </w:rPr>
            </w:pPr>
            <w:r>
              <w:rPr>
                <w:color w:val="231F20"/>
                <w:sz w:val="14"/>
              </w:rPr>
              <w:t>19</w:t>
            </w:r>
          </w:p>
        </w:tc>
        <w:tc>
          <w:tcPr>
            <w:tcW w:w="463" w:type="dxa"/>
          </w:tcPr>
          <w:p>
            <w:pPr>
              <w:pStyle w:val="TableParagraph"/>
              <w:spacing w:line="133" w:lineRule="exact" w:before="36"/>
              <w:ind w:left="134"/>
              <w:rPr>
                <w:sz w:val="14"/>
              </w:rPr>
            </w:pPr>
            <w:r>
              <w:rPr>
                <w:color w:val="231F20"/>
                <w:sz w:val="14"/>
              </w:rPr>
              <w:t>4</w:t>
            </w:r>
          </w:p>
        </w:tc>
      </w:tr>
      <w:tr>
        <w:trPr>
          <w:trHeight w:val="140" w:hRule="atLeast"/>
        </w:trPr>
        <w:tc>
          <w:tcPr>
            <w:tcW w:w="1431" w:type="dxa"/>
          </w:tcPr>
          <w:p>
            <w:pPr>
              <w:pStyle w:val="TableParagraph"/>
              <w:spacing w:line="120" w:lineRule="exact"/>
              <w:ind w:left="50"/>
              <w:rPr>
                <w:sz w:val="14"/>
              </w:rPr>
            </w:pPr>
            <w:r>
              <w:rPr>
                <w:color w:val="231F20"/>
                <w:sz w:val="14"/>
              </w:rPr>
              <w:t>2001 Q4</w:t>
            </w:r>
          </w:p>
        </w:tc>
        <w:tc>
          <w:tcPr>
            <w:tcW w:w="469" w:type="dxa"/>
          </w:tcPr>
          <w:p>
            <w:pPr>
              <w:pStyle w:val="TableParagraph"/>
              <w:spacing w:line="120" w:lineRule="exact"/>
              <w:ind w:left="109"/>
              <w:rPr>
                <w:sz w:val="14"/>
              </w:rPr>
            </w:pPr>
            <w:r>
              <w:rPr>
                <w:color w:val="231F20"/>
                <w:sz w:val="14"/>
              </w:rPr>
              <w:t>2</w:t>
            </w:r>
          </w:p>
        </w:tc>
        <w:tc>
          <w:tcPr>
            <w:tcW w:w="515" w:type="dxa"/>
          </w:tcPr>
          <w:p>
            <w:pPr>
              <w:pStyle w:val="TableParagraph"/>
              <w:spacing w:line="120" w:lineRule="exact"/>
              <w:ind w:left="120"/>
              <w:rPr>
                <w:sz w:val="14"/>
              </w:rPr>
            </w:pPr>
            <w:r>
              <w:rPr>
                <w:color w:val="231F20"/>
                <w:sz w:val="14"/>
              </w:rPr>
              <w:t>10</w:t>
            </w:r>
          </w:p>
        </w:tc>
        <w:tc>
          <w:tcPr>
            <w:tcW w:w="530" w:type="dxa"/>
          </w:tcPr>
          <w:p>
            <w:pPr>
              <w:pStyle w:val="TableParagraph"/>
              <w:spacing w:line="120" w:lineRule="exact"/>
              <w:ind w:left="125"/>
              <w:rPr>
                <w:sz w:val="14"/>
              </w:rPr>
            </w:pPr>
            <w:r>
              <w:rPr>
                <w:color w:val="231F20"/>
                <w:sz w:val="14"/>
              </w:rPr>
              <w:t>27</w:t>
            </w:r>
          </w:p>
        </w:tc>
        <w:tc>
          <w:tcPr>
            <w:tcW w:w="502" w:type="dxa"/>
          </w:tcPr>
          <w:p>
            <w:pPr>
              <w:pStyle w:val="TableParagraph"/>
              <w:spacing w:line="120" w:lineRule="exact"/>
              <w:ind w:left="125"/>
              <w:rPr>
                <w:sz w:val="14"/>
              </w:rPr>
            </w:pPr>
            <w:r>
              <w:rPr>
                <w:color w:val="231F20"/>
                <w:sz w:val="14"/>
              </w:rPr>
              <w:t>36</w:t>
            </w:r>
          </w:p>
        </w:tc>
        <w:tc>
          <w:tcPr>
            <w:tcW w:w="479" w:type="dxa"/>
          </w:tcPr>
          <w:p>
            <w:pPr>
              <w:pStyle w:val="TableParagraph"/>
              <w:spacing w:line="120" w:lineRule="exact"/>
              <w:ind w:left="113"/>
              <w:rPr>
                <w:sz w:val="14"/>
              </w:rPr>
            </w:pPr>
            <w:r>
              <w:rPr>
                <w:color w:val="231F20"/>
                <w:sz w:val="14"/>
              </w:rPr>
              <w:t>20</w:t>
            </w:r>
          </w:p>
        </w:tc>
        <w:tc>
          <w:tcPr>
            <w:tcW w:w="463" w:type="dxa"/>
          </w:tcPr>
          <w:p>
            <w:pPr>
              <w:pStyle w:val="TableParagraph"/>
              <w:spacing w:line="120" w:lineRule="exact"/>
              <w:ind w:left="134"/>
              <w:rPr>
                <w:sz w:val="14"/>
              </w:rPr>
            </w:pPr>
            <w:r>
              <w:rPr>
                <w:color w:val="231F20"/>
                <w:sz w:val="14"/>
              </w:rPr>
              <w:t>5</w:t>
            </w:r>
          </w:p>
        </w:tc>
      </w:tr>
      <w:tr>
        <w:trPr>
          <w:trHeight w:val="147" w:hRule="atLeast"/>
        </w:trPr>
        <w:tc>
          <w:tcPr>
            <w:tcW w:w="1431" w:type="dxa"/>
          </w:tcPr>
          <w:p>
            <w:pPr>
              <w:pStyle w:val="TableParagraph"/>
              <w:spacing w:line="128" w:lineRule="exact"/>
              <w:ind w:left="50"/>
              <w:rPr>
                <w:sz w:val="14"/>
              </w:rPr>
            </w:pPr>
            <w:r>
              <w:rPr>
                <w:color w:val="231F20"/>
                <w:sz w:val="14"/>
              </w:rPr>
              <w:t>2002 Q1</w:t>
            </w:r>
          </w:p>
        </w:tc>
        <w:tc>
          <w:tcPr>
            <w:tcW w:w="469" w:type="dxa"/>
          </w:tcPr>
          <w:p>
            <w:pPr>
              <w:pStyle w:val="TableParagraph"/>
              <w:spacing w:line="128" w:lineRule="exact"/>
              <w:ind w:left="109"/>
              <w:rPr>
                <w:sz w:val="14"/>
              </w:rPr>
            </w:pPr>
            <w:r>
              <w:rPr>
                <w:color w:val="231F20"/>
                <w:sz w:val="14"/>
              </w:rPr>
              <w:t>2</w:t>
            </w:r>
          </w:p>
        </w:tc>
        <w:tc>
          <w:tcPr>
            <w:tcW w:w="515" w:type="dxa"/>
          </w:tcPr>
          <w:p>
            <w:pPr>
              <w:pStyle w:val="TableParagraph"/>
              <w:spacing w:line="128" w:lineRule="exact"/>
              <w:ind w:left="120"/>
              <w:rPr>
                <w:sz w:val="14"/>
              </w:rPr>
            </w:pPr>
            <w:r>
              <w:rPr>
                <w:color w:val="231F20"/>
                <w:sz w:val="14"/>
              </w:rPr>
              <w:t>10</w:t>
            </w:r>
          </w:p>
        </w:tc>
        <w:tc>
          <w:tcPr>
            <w:tcW w:w="530" w:type="dxa"/>
          </w:tcPr>
          <w:p>
            <w:pPr>
              <w:pStyle w:val="TableParagraph"/>
              <w:spacing w:line="128" w:lineRule="exact"/>
              <w:ind w:left="125"/>
              <w:rPr>
                <w:sz w:val="14"/>
              </w:rPr>
            </w:pPr>
            <w:r>
              <w:rPr>
                <w:color w:val="231F20"/>
                <w:sz w:val="14"/>
              </w:rPr>
              <w:t>27</w:t>
            </w:r>
          </w:p>
        </w:tc>
        <w:tc>
          <w:tcPr>
            <w:tcW w:w="502" w:type="dxa"/>
          </w:tcPr>
          <w:p>
            <w:pPr>
              <w:pStyle w:val="TableParagraph"/>
              <w:spacing w:line="128" w:lineRule="exact"/>
              <w:ind w:left="125"/>
              <w:rPr>
                <w:sz w:val="14"/>
              </w:rPr>
            </w:pPr>
            <w:r>
              <w:rPr>
                <w:color w:val="231F20"/>
                <w:sz w:val="14"/>
              </w:rPr>
              <w:t>36</w:t>
            </w:r>
          </w:p>
        </w:tc>
        <w:tc>
          <w:tcPr>
            <w:tcW w:w="479" w:type="dxa"/>
          </w:tcPr>
          <w:p>
            <w:pPr>
              <w:pStyle w:val="TableParagraph"/>
              <w:spacing w:line="128" w:lineRule="exact"/>
              <w:ind w:left="113"/>
              <w:rPr>
                <w:sz w:val="14"/>
              </w:rPr>
            </w:pPr>
            <w:r>
              <w:rPr>
                <w:color w:val="231F20"/>
                <w:sz w:val="14"/>
              </w:rPr>
              <w:t>20</w:t>
            </w:r>
          </w:p>
        </w:tc>
        <w:tc>
          <w:tcPr>
            <w:tcW w:w="463" w:type="dxa"/>
          </w:tcPr>
          <w:p>
            <w:pPr>
              <w:pStyle w:val="TableParagraph"/>
              <w:spacing w:line="128" w:lineRule="exact"/>
              <w:ind w:left="134"/>
              <w:rPr>
                <w:sz w:val="14"/>
              </w:rPr>
            </w:pPr>
            <w:r>
              <w:rPr>
                <w:color w:val="231F20"/>
                <w:sz w:val="14"/>
              </w:rPr>
              <w:t>5</w:t>
            </w:r>
          </w:p>
        </w:tc>
      </w:tr>
      <w:tr>
        <w:trPr>
          <w:trHeight w:val="235" w:hRule="atLeast"/>
        </w:trPr>
        <w:tc>
          <w:tcPr>
            <w:tcW w:w="4389" w:type="dxa"/>
            <w:gridSpan w:val="7"/>
          </w:tcPr>
          <w:p>
            <w:pPr>
              <w:pStyle w:val="TableParagraph"/>
              <w:spacing w:line="118" w:lineRule="exact" w:before="97"/>
              <w:ind w:left="50"/>
              <w:rPr>
                <w:sz w:val="12"/>
              </w:rPr>
            </w:pPr>
            <w:r>
              <w:rPr>
                <w:color w:val="231F20"/>
                <w:sz w:val="12"/>
              </w:rPr>
              <w:t>(a) These figures are from the same distribution as the GDP and inflation fan charts,</w:t>
            </w:r>
          </w:p>
        </w:tc>
      </w:tr>
    </w:tbl>
    <w:p>
      <w:pPr>
        <w:spacing w:before="0"/>
        <w:ind w:left="434" w:right="0" w:firstLine="0"/>
        <w:jc w:val="left"/>
        <w:rPr>
          <w:sz w:val="12"/>
        </w:rPr>
      </w:pPr>
      <w:r>
        <w:rPr>
          <w:color w:val="231F20"/>
          <w:sz w:val="12"/>
        </w:rPr>
        <w:t>Charts 6.1 and 6.2.</w:t>
      </w:r>
    </w:p>
    <w:p>
      <w:pPr>
        <w:pStyle w:val="Heading6"/>
        <w:spacing w:line="242" w:lineRule="auto" w:before="226"/>
        <w:ind w:left="194" w:right="234"/>
      </w:pPr>
      <w:r>
        <w:rPr/>
        <w:br w:type="column"/>
      </w:r>
      <w:r>
        <w:rPr>
          <w:color w:val="231F20"/>
        </w:rPr>
        <w:t>November </w:t>
      </w:r>
      <w:r>
        <w:rPr>
          <w:i/>
          <w:color w:val="231F20"/>
        </w:rPr>
        <w:t>Report</w:t>
      </w:r>
      <w:r>
        <w:rPr>
          <w:color w:val="231F20"/>
        </w:rPr>
        <w:t>, which was based on constant interest rates at 5.5% (see Chart 6.3).</w:t>
      </w:r>
    </w:p>
    <w:p>
      <w:pPr>
        <w:pStyle w:val="BodyText"/>
        <w:spacing w:before="1"/>
        <w:rPr>
          <w:sz w:val="21"/>
        </w:rPr>
      </w:pPr>
    </w:p>
    <w:p>
      <w:pPr>
        <w:spacing w:line="242" w:lineRule="auto" w:before="0"/>
        <w:ind w:left="194" w:right="149" w:firstLine="0"/>
        <w:jc w:val="left"/>
        <w:rPr>
          <w:sz w:val="24"/>
        </w:rPr>
      </w:pPr>
      <w:r>
        <w:rPr>
          <w:color w:val="231F20"/>
          <w:sz w:val="24"/>
        </w:rPr>
        <w:t>There are some changes to the shape of the inflation profile. The central projection is for inflation to edge down a little further over the next few months as pressures on margins intensify and cuts in domestic utilities prices take effect. The recent appreciation of the exchange rate will also press down on prices. Inflation then starts to rise towards the target as pressures from </w:t>
      </w:r>
      <w:r>
        <w:rPr>
          <w:color w:val="231F20"/>
          <w:spacing w:val="-6"/>
          <w:sz w:val="24"/>
        </w:rPr>
        <w:t>the </w:t>
      </w:r>
      <w:r>
        <w:rPr>
          <w:color w:val="231F20"/>
          <w:sz w:val="24"/>
        </w:rPr>
        <w:t>labour market build and as the temporary effects on measured inflation from lower domestic water and electricity prices unwind. Inflation rises to around the target level by the middle of 2001 and then remains at around that level. The trough in inflation is rather shallower and occurs rather earlier than in the November projection, and the rise in inflation from the trough is less steep than before.  A combination of factors accounts for this outcome. In the near term, the impact of higher nominal earnings and unit labour cost growth is partly offset by the higher exchange rate. But by the end of this year, stronger labour cost pressures dominate and put upward pressure on inflation relative to the November projection. The rise is less steep thereafter as activity growth is rather softer, helping to dissipate earnings pressure, and as the effects of structural pressures on profit margins are stronger than assumed in November.</w:t>
      </w:r>
    </w:p>
    <w:p>
      <w:pPr>
        <w:pStyle w:val="BodyText"/>
        <w:spacing w:before="7"/>
        <w:rPr>
          <w:sz w:val="23"/>
        </w:rPr>
      </w:pPr>
    </w:p>
    <w:p>
      <w:pPr>
        <w:spacing w:line="242" w:lineRule="auto" w:before="0"/>
        <w:ind w:left="194" w:right="154" w:firstLine="0"/>
        <w:jc w:val="left"/>
        <w:rPr>
          <w:sz w:val="24"/>
        </w:rPr>
      </w:pPr>
      <w:r>
        <w:rPr>
          <w:color w:val="231F20"/>
          <w:sz w:val="24"/>
        </w:rPr>
        <w:t>Risks around the central projection for activity are weighted slightly to the upside in the first year,</w:t>
      </w:r>
      <w:r>
        <w:rPr>
          <w:color w:val="231F20"/>
          <w:spacing w:val="-26"/>
          <w:sz w:val="24"/>
        </w:rPr>
        <w:t> </w:t>
      </w:r>
      <w:r>
        <w:rPr>
          <w:color w:val="231F20"/>
          <w:sz w:val="24"/>
        </w:rPr>
        <w:t>reflecting the possibilities of faster business investment growth, and of overseas competitors raising their export prices more quickly than projected, which would improve UK export prospects. These more than outweigh the downside risk from a weaker world growth outlook. But the latter risk builds over time, and implies that the overall risk to UK activity growth is weighted slightly to the downside in the second </w:t>
      </w:r>
      <w:r>
        <w:rPr>
          <w:color w:val="231F20"/>
          <w:spacing w:val="-3"/>
          <w:sz w:val="24"/>
        </w:rPr>
        <w:t>year. </w:t>
      </w:r>
      <w:r>
        <w:rPr>
          <w:color w:val="231F20"/>
          <w:sz w:val="24"/>
        </w:rPr>
        <w:t>Inflation risks are weighted slightly to the upside in both years. The prospect of faster activity growth in the first year would push up inflation, and the momentum would tend to </w:t>
      </w:r>
      <w:r>
        <w:rPr>
          <w:color w:val="231F20"/>
          <w:spacing w:val="-4"/>
          <w:sz w:val="24"/>
        </w:rPr>
        <w:t>keep </w:t>
      </w:r>
      <w:r>
        <w:rPr>
          <w:color w:val="231F20"/>
          <w:sz w:val="24"/>
        </w:rPr>
        <w:t>inflation higher in the second year, even though the risks to output growth gradually shift towards the downside.</w:t>
      </w:r>
    </w:p>
    <w:p>
      <w:pPr>
        <w:spacing w:line="242" w:lineRule="auto" w:before="19"/>
        <w:ind w:left="194" w:right="86" w:firstLine="0"/>
        <w:jc w:val="left"/>
        <w:rPr>
          <w:sz w:val="24"/>
        </w:rPr>
      </w:pPr>
      <w:r>
        <w:rPr>
          <w:color w:val="231F20"/>
          <w:sz w:val="24"/>
        </w:rPr>
        <w:t>Charts 6.4 and 6.5 show the overall balance of risks to inflation at the two-year horizon. Table 6.A presents the Committee’s best collective judgment of the probabilities of various outcomes for inflation and GDP growth.</w:t>
      </w:r>
    </w:p>
    <w:p>
      <w:pPr>
        <w:pStyle w:val="BodyText"/>
        <w:spacing w:before="4"/>
        <w:rPr>
          <w:sz w:val="21"/>
        </w:rPr>
      </w:pPr>
    </w:p>
    <w:p>
      <w:pPr>
        <w:spacing w:line="242" w:lineRule="auto" w:before="0"/>
        <w:ind w:left="194" w:right="214" w:firstLine="0"/>
        <w:jc w:val="left"/>
        <w:rPr>
          <w:sz w:val="24"/>
        </w:rPr>
      </w:pPr>
      <w:r>
        <w:rPr>
          <w:color w:val="231F20"/>
          <w:sz w:val="24"/>
        </w:rPr>
        <w:t>There remain a number of major uncertainties in the outlook. On some key issues, certain Committee members prefer to make a different assumption to that</w:t>
      </w:r>
    </w:p>
    <w:p>
      <w:pPr>
        <w:spacing w:after="0" w:line="242" w:lineRule="auto"/>
        <w:jc w:val="left"/>
        <w:rPr>
          <w:sz w:val="24"/>
        </w:rPr>
        <w:sectPr>
          <w:type w:val="continuous"/>
          <w:pgSz w:w="11900" w:h="16840"/>
          <w:pgMar w:top="1220" w:bottom="280" w:left="620" w:right="640"/>
          <w:cols w:num="2" w:equalWidth="0">
            <w:col w:w="4335" w:space="458"/>
            <w:col w:w="5847"/>
          </w:cols>
        </w:sectPr>
      </w:pPr>
    </w:p>
    <w:p>
      <w:pPr>
        <w:pStyle w:val="BodyText"/>
        <w:rPr>
          <w:sz w:val="20"/>
        </w:rPr>
      </w:pPr>
    </w:p>
    <w:p>
      <w:pPr>
        <w:spacing w:after="0"/>
        <w:rPr>
          <w:sz w:val="20"/>
        </w:rPr>
        <w:sectPr>
          <w:pgSz w:w="11900" w:h="16840"/>
          <w:pgMar w:header="584" w:footer="617" w:top="780" w:bottom="800" w:left="620" w:right="640"/>
        </w:sectPr>
      </w:pPr>
    </w:p>
    <w:p>
      <w:pPr>
        <w:pStyle w:val="BodyText"/>
        <w:spacing w:before="6"/>
        <w:rPr>
          <w:sz w:val="20"/>
        </w:rPr>
      </w:pPr>
    </w:p>
    <w:p>
      <w:pPr>
        <w:pStyle w:val="Heading9"/>
        <w:spacing w:before="0"/>
      </w:pPr>
      <w:r>
        <w:rPr>
          <w:color w:val="0093C1"/>
        </w:rPr>
        <w:t>Chart 6.4</w:t>
      </w:r>
    </w:p>
    <w:p>
      <w:pPr>
        <w:spacing w:line="249" w:lineRule="auto" w:before="10"/>
        <w:ind w:left="190" w:right="62" w:firstLine="0"/>
        <w:jc w:val="left"/>
        <w:rPr>
          <w:b/>
          <w:sz w:val="20"/>
        </w:rPr>
      </w:pPr>
      <w:r>
        <w:rPr>
          <w:b/>
          <w:color w:val="0093C1"/>
          <w:sz w:val="20"/>
        </w:rPr>
        <w:t>Current projection for the percentage increase in RPIX in the year to 2002 Q1</w:t>
      </w:r>
    </w:p>
    <w:p>
      <w:pPr>
        <w:spacing w:line="116" w:lineRule="exact" w:before="65"/>
        <w:ind w:left="2844" w:right="0" w:firstLine="0"/>
        <w:jc w:val="left"/>
        <w:rPr>
          <w:sz w:val="12"/>
        </w:rPr>
      </w:pPr>
      <w:r>
        <w:rPr>
          <w:color w:val="231F20"/>
          <w:sz w:val="12"/>
        </w:rPr>
        <w:t>Probability in per cent (a)</w:t>
      </w:r>
    </w:p>
    <w:p>
      <w:pPr>
        <w:spacing w:line="116" w:lineRule="exact" w:before="0"/>
        <w:ind w:left="4153" w:right="0" w:firstLine="0"/>
        <w:jc w:val="left"/>
        <w:rPr>
          <w:sz w:val="12"/>
        </w:rPr>
      </w:pPr>
      <w:r>
        <w:rPr/>
        <w:pict>
          <v:line style="position:absolute;mso-position-horizontal-relative:page;mso-position-vertical-relative:paragraph;z-index:16281600" from="42.487pt,2.737333pt" to="46.237pt,2.737333pt" stroked="true" strokeweight=".5pt" strokecolor="#231f20">
            <v:stroke dashstyle="solid"/>
            <w10:wrap type="none"/>
          </v:line>
        </w:pict>
      </w:r>
      <w:r>
        <w:rPr/>
        <w:pict>
          <v:line style="position:absolute;mso-position-horizontal-relative:page;mso-position-vertical-relative:paragraph;z-index:16282112" from="230.707993pt,2.737333pt" to="234.457993pt,2.737333pt" stroked="true" strokeweight=".5pt" strokecolor="#231f20">
            <v:stroke dashstyle="solid"/>
            <w10:wrap type="none"/>
          </v:line>
        </w:pict>
      </w:r>
      <w:r>
        <w:rPr>
          <w:color w:val="231F20"/>
          <w:sz w:val="12"/>
        </w:rPr>
        <w:t>6</w:t>
      </w:r>
    </w:p>
    <w:p>
      <w:pPr>
        <w:pStyle w:val="BodyText"/>
        <w:spacing w:before="6"/>
        <w:rPr>
          <w:sz w:val="20"/>
        </w:rPr>
      </w:pPr>
      <w:r>
        <w:rPr/>
        <w:br w:type="column"/>
      </w:r>
      <w:r>
        <w:rPr>
          <w:sz w:val="20"/>
        </w:rPr>
      </w:r>
    </w:p>
    <w:p>
      <w:pPr>
        <w:pStyle w:val="Heading9"/>
        <w:spacing w:before="0"/>
      </w:pPr>
      <w:r>
        <w:rPr>
          <w:color w:val="0093C1"/>
        </w:rPr>
        <w:t>Chart 6.5</w:t>
      </w:r>
    </w:p>
    <w:p>
      <w:pPr>
        <w:spacing w:line="249" w:lineRule="auto" w:before="10"/>
        <w:ind w:left="190" w:right="1454" w:firstLine="0"/>
        <w:jc w:val="left"/>
        <w:rPr>
          <w:b/>
          <w:sz w:val="20"/>
        </w:rPr>
      </w:pPr>
      <w:r>
        <w:rPr>
          <w:b/>
          <w:color w:val="0093C1"/>
          <w:sz w:val="20"/>
        </w:rPr>
        <w:t>November projection for the percentage increase in RPIX in the year to 2001 Q4</w:t>
      </w:r>
    </w:p>
    <w:p>
      <w:pPr>
        <w:spacing w:line="131" w:lineRule="exact" w:before="56"/>
        <w:ind w:left="2872" w:right="0" w:firstLine="0"/>
        <w:jc w:val="left"/>
        <w:rPr>
          <w:sz w:val="12"/>
        </w:rPr>
      </w:pPr>
      <w:r>
        <w:rPr>
          <w:color w:val="231F20"/>
          <w:sz w:val="12"/>
        </w:rPr>
        <w:t>Probability in per cent (a)</w:t>
      </w:r>
    </w:p>
    <w:p>
      <w:pPr>
        <w:spacing w:line="131" w:lineRule="exact" w:before="0"/>
        <w:ind w:left="4168" w:right="0" w:firstLine="0"/>
        <w:jc w:val="left"/>
        <w:rPr>
          <w:sz w:val="12"/>
        </w:rPr>
      </w:pPr>
      <w:r>
        <w:rPr/>
        <w:pict>
          <v:line style="position:absolute;mso-position-horizontal-relative:page;mso-position-vertical-relative:paragraph;z-index:16286720" from="285.464989pt,3.266859pt" to="281.131989pt,3.266859pt" stroked="true" strokeweight=".5pt" strokecolor="#000000">
            <v:stroke dashstyle="solid"/>
            <w10:wrap type="none"/>
          </v:line>
        </w:pict>
      </w:r>
      <w:r>
        <w:rPr/>
        <w:pict>
          <v:line style="position:absolute;mso-position-horizontal-relative:page;mso-position-vertical-relative:paragraph;z-index:16287232" from="475.833pt,3.266859pt" to="471.5pt,3.266859pt" stroked="true" strokeweight=".5pt" strokecolor="#000000">
            <v:stroke dashstyle="solid"/>
            <w10:wrap type="none"/>
          </v:line>
        </w:pict>
      </w:r>
      <w:r>
        <w:rPr>
          <w:color w:val="231F20"/>
          <w:sz w:val="12"/>
        </w:rPr>
        <w:t>6</w:t>
      </w:r>
    </w:p>
    <w:p>
      <w:pPr>
        <w:spacing w:after="0" w:line="131" w:lineRule="exact"/>
        <w:jc w:val="left"/>
        <w:rPr>
          <w:sz w:val="12"/>
        </w:rPr>
        <w:sectPr>
          <w:type w:val="continuous"/>
          <w:pgSz w:w="11900" w:h="16840"/>
          <w:pgMar w:top="1220" w:bottom="280" w:left="620" w:right="640"/>
          <w:cols w:num="2" w:equalWidth="0">
            <w:col w:w="4254" w:space="551"/>
            <w:col w:w="5835"/>
          </w:cols>
        </w:sectPr>
      </w:pPr>
    </w:p>
    <w:p>
      <w:pPr>
        <w:pStyle w:val="BodyText"/>
        <w:rPr>
          <w:sz w:val="21"/>
        </w:rPr>
      </w:pPr>
    </w:p>
    <w:p>
      <w:pPr>
        <w:tabs>
          <w:tab w:pos="8973" w:val="left" w:leader="none"/>
        </w:tabs>
        <w:spacing w:before="96"/>
        <w:ind w:left="4153" w:right="0" w:firstLine="0"/>
        <w:jc w:val="left"/>
        <w:rPr>
          <w:sz w:val="12"/>
        </w:rPr>
      </w:pPr>
      <w:r>
        <w:rPr/>
        <w:pict>
          <v:group style="position:absolute;margin-left:42.487pt;margin-top:4.248534pt;width:192pt;height:131.35pt;mso-position-horizontal-relative:page;mso-position-vertical-relative:paragraph;z-index:16281088" coordorigin="850,85" coordsize="3840,2627">
            <v:shape style="position:absolute;left:2109;top:101;width:1127;height:2549" coordorigin="2109,102" coordsize="1127,2549" path="m2608,102l2596,102,2569,114,2541,139,2517,191,2473,307,2437,447,2406,554,2382,658,2339,865,2298,1088,2274,1204,2245,1317,2227,1412,2207,1527,2185,1630,2164,1735,2123,1910,2109,1953,2109,2646,3231,2650,3231,1980,3230,1973,3236,1985,3229,1967,3187,1845,3162,1775,3136,1695,3115,1615,3095,1527,3054,1357,3013,1189,2987,1100,2961,1006,2920,840,2879,670,2853,593,2783,386,2762,316,2737,264,2692,178,2651,126,2630,107,2608,102xe" filled="true" fillcolor="#e6e7e8" stroked="false">
              <v:path arrowok="t"/>
              <v:fill type="solid"/>
            </v:shape>
            <v:shape style="position:absolute;left:1003;top:94;width:3560;height:2542" coordorigin="1003,95" coordsize="3560,2542" path="m1003,2635l1042,2636,1070,2635,1094,2635,1138,2636,1178,2636,1205,2635,1231,2635,1272,2636,1354,2636,1383,2633,1406,2633,1454,2632,1481,2631,1507,2631,1534,2629,1559,2627,1591,2627,1622,2624,1655,2619,1682,2612,1711,2601,1730,2596,1806,2548,1850,2507,1894,2455,1934,2392,1985,2297,2026,2195,2069,2067,2093,1985,2119,1903,2160,1728,2181,1623,2203,1521,2223,1405,2242,1311,2270,1197,2294,1081,2335,859,2378,651,2402,547,2433,440,2470,300,2513,184,2537,132,2566,107,2592,95,2604,95,2668,144,2712,211,2733,257,2758,309,2779,379,2822,508,2849,587,2875,663,2916,834,2957,999,2983,1093,3010,1182,3050,1350,3091,1521,3111,1608,3132,1689,3158,1768,3183,1838,3226,1961,3269,2079,3293,2131,3319,2183,3360,2272,3401,2349,3452,2418,3494,2467,3578,2531,3674,2577,3710,2596,3737,2601,3766,2608,3803,2615,3845,2624,3874,2627,3901,2627,3931,2630,3949,2631,3986,2633,4020,2636,4049,2635,4075,2635,4116,2636,4154,2636,4183,2635,4210,2635,4250,2636,4330,2636,4358,2635,4385,2635,4426,2636,4453,2636,4493,2635,4562,2635e" filled="false" stroked="true" strokeweight="1pt" strokecolor="#ed1b2d">
              <v:path arrowok="t"/>
              <v:stroke dashstyle="solid"/>
            </v:shape>
            <v:shape style="position:absolute;left:849;top:164;width:3840;height:2481" coordorigin="850,165" coordsize="3840,2481" path="m850,653l925,653m850,2645l925,2645m850,1654l925,1654m850,1165l925,1165m850,2151l925,2151m850,165l925,165m4614,653l4689,653m4614,2645l4689,2645m4614,1654l4689,1654m4614,1165l4689,1165m4614,2151l4689,2151m4614,165l4689,165e" filled="false" stroked="true" strokeweight=".5pt" strokecolor="#231f20">
              <v:path arrowok="t"/>
              <v:stroke dashstyle="solid"/>
            </v:shape>
            <v:line style="position:absolute" from="1001,2645" to="4556,2645" stroked="true" strokeweight=".5pt" strokecolor="#231f20">
              <v:stroke dashstyle="solid"/>
            </v:line>
            <v:shape style="position:absolute;left:1000;top:2641;width:3561;height:70" coordorigin="1000,2641" coordsize="3561,70" path="m1000,2641l1000,2708m1894,2645l1894,2711m3227,2643l3227,2710m4561,2643l4561,2710m1449,2643l1449,2710m2337,2645l2337,2711m2780,2643l2780,2710m3671,2645l3671,2711m4117,2645l4117,2711e" filled="false" stroked="true" strokeweight=".5pt" strokecolor="#231f20">
              <v:path arrowok="t"/>
              <v:stroke dashstyle="solid"/>
            </v:shape>
            <v:line style="position:absolute" from="3214,360" to="2714,841" stroked="true" strokeweight=".5pt" strokecolor="#000000">
              <v:stroke dashstyle="solid"/>
            </v:line>
            <v:shape style="position:absolute;left:2660;top:803;width:83;height:90" coordorigin="2661,804" coordsize="83,90" path="m2712,804l2681,863,2661,893,2668,888,2743,853,2712,804xe" filled="true" fillcolor="#000000" stroked="false">
              <v:path arrowok="t"/>
              <v:fill type="solid"/>
            </v:shape>
            <v:shape style="position:absolute;left:3134;top:202;width:967;height:133" type="#_x0000_t202" filled="false" stroked="false">
              <v:textbox inset="0,0,0,0">
                <w:txbxContent>
                  <w:p>
                    <w:pPr>
                      <w:spacing w:line="133" w:lineRule="exact" w:before="0"/>
                      <w:ind w:left="0" w:right="0" w:firstLine="0"/>
                      <w:jc w:val="left"/>
                      <w:rPr>
                        <w:sz w:val="12"/>
                      </w:rPr>
                    </w:pPr>
                    <w:r>
                      <w:rPr>
                        <w:color w:val="231F20"/>
                        <w:sz w:val="12"/>
                      </w:rPr>
                      <w:t>90% probability (b)</w:t>
                    </w:r>
                  </w:p>
                </w:txbxContent>
              </v:textbox>
              <w10:wrap type="none"/>
            </v:shape>
            <w10:wrap type="none"/>
          </v:group>
        </w:pict>
      </w:r>
      <w:r>
        <w:rPr/>
        <w:pict>
          <v:group style="position:absolute;margin-left:289.153015pt;margin-top:8.701533pt;width:186.7pt;height:125.25pt;mso-position-horizontal-relative:page;mso-position-vertical-relative:paragraph;z-index:-21861888" coordorigin="5783,174" coordsize="3734,2505">
            <v:shape style="position:absolute;left:6626;top:220;width:1251;height:2410" coordorigin="6626,221" coordsize="1251,2410" path="m7375,221l7356,221,7334,225,7265,286,7222,359,7198,403,7176,447,7157,503,7133,556,7109,617,7087,681,7063,746,7044,819,6998,965,6977,1036,6950,1111,6910,1265,6866,1411,6821,1557,6799,1630,6773,1698,6732,1822,6689,1941,6665,1995,6638,2044,6626,2073,6626,2630,7877,2630,7877,2075,7877,2084,7867,2056,7843,1978,7822,1895,7802,1805,7781,1713,7759,1610,7735,1511,7711,1406,7687,1296,7625,970,7603,863,7582,758,7558,659,7534,569,7510,486,7488,415,7469,354,7447,298,7399,230,7375,221xe" filled="true" fillcolor="#e6e7e8" stroked="false">
              <v:path arrowok="t"/>
              <v:fill type="solid"/>
            </v:shape>
            <v:shape style="position:absolute;left:5788;top:2624;width:3572;height:55" coordorigin="5788,2624" coordsize="3572,55" path="m5791,2625l9360,2625m5788,2624l5788,2678m6681,2624l6681,2678m8021,2624l8021,2678m8914,2624l8914,2678m6235,2624l6235,2678m7128,2624l7128,2678m9360,2624l9360,2678m7574,2624l7574,2678m8467,2624l8467,2678e" filled="false" stroked="true" strokeweight=".5pt" strokecolor="#000000">
              <v:path arrowok="t"/>
              <v:stroke dashstyle="solid"/>
            </v:shape>
            <v:shape style="position:absolute;left:5793;top:221;width:3569;height:2403" coordorigin="5793,222" coordsize="3569,2403" path="m5793,2619l5887,2619,5908,2612,5928,2612,5973,2614m5973,2612l6016,2607,6040,2607,6064,2600,6105,2590,6151,2578,6175,2573,6199,2563,6242,2549,6285,2522,6328,2498,6352,2481,6420,2412,6439,2390,6463,2361,6487,2330,6511,2296,6554,2225,6595,2140,6638,2045,6664,1996,6688,1943,6732,1823,6772,1699,6799,1631,6820,1558,6866,1412,6909,1266,6950,1113,6976,1037,6998,967,7044,821,7063,748,7087,682,7108,619,7132,558,7156,504,7176,448,7197,404,7221,361,7240,322,7264,288,7288,261,7310,244,7334,227,7356,222,7375,222,7387,227,7399,232,7423,261,7447,300,7468,356,7488,417,7509,487,7533,570,7557,660,7581,760,7603,864,7624,971,7665,1186,7687,1298,7711,1407,7735,1512,7759,1612,7780,1714,7802,1806,7821,1896,7843,1979,7867,2057,7891,2125,7915,2191,7936,2247,7956,2296,7980,2347,7999,2386,8020,2427,8044,2451,8068,2478,8114,2522,8155,2558,8179,2568,8203,2578,8246,2595,8292,2607,8332,2612,8356,2619,8445,2619,8469,2624,9362,2624e" filled="false" stroked="true" strokeweight="1pt" strokecolor="#ed1b2d">
              <v:path arrowok="t"/>
              <v:stroke dashstyle="solid"/>
            </v:shape>
            <v:shape style="position:absolute;left:9430;top:179;width:87;height:2446" coordorigin="9430,179" coordsize="87,2446" path="m9517,668l9430,668m9517,1647l9430,1647m9517,2625l9430,2625m9517,179l9430,179m9517,1157l9430,1157m9517,2136l9430,2136e" filled="false" stroked="true" strokeweight=".5pt" strokecolor="#000000">
              <v:path arrowok="t"/>
              <v:stroke dashstyle="solid"/>
            </v:shape>
            <v:line style="position:absolute" from="8007,886" to="7507,1278" stroked="true" strokeweight=".5pt" strokecolor="#000000">
              <v:stroke dashstyle="solid"/>
            </v:line>
            <v:shape style="position:absolute;left:7453;top:1247;width:83;height:73" coordorigin="7453,1247" coordsize="83,73" path="m7505,1247l7466,1305,7453,1320,7461,1316,7535,1288,7505,1247xe" filled="true" fillcolor="#000000" stroked="false">
              <v:path arrowok="t"/>
              <v:fill type="solid"/>
            </v:shape>
            <v:shape style="position:absolute;left:7806;top:738;width:967;height:133" type="#_x0000_t202" filled="false" stroked="false">
              <v:textbox inset="0,0,0,0">
                <w:txbxContent>
                  <w:p>
                    <w:pPr>
                      <w:spacing w:line="133" w:lineRule="exact" w:before="0"/>
                      <w:ind w:left="0" w:right="0" w:firstLine="0"/>
                      <w:jc w:val="left"/>
                      <w:rPr>
                        <w:sz w:val="12"/>
                      </w:rPr>
                    </w:pPr>
                    <w:r>
                      <w:rPr>
                        <w:color w:val="231F20"/>
                        <w:sz w:val="12"/>
                      </w:rPr>
                      <w:t>90% probability (b)</w:t>
                    </w:r>
                  </w:p>
                </w:txbxContent>
              </v:textbox>
              <w10:wrap type="none"/>
            </v:shape>
            <w10:wrap type="none"/>
          </v:group>
        </w:pict>
      </w:r>
      <w:r>
        <w:rPr/>
        <w:pict>
          <v:line style="position:absolute;mso-position-horizontal-relative:page;mso-position-vertical-relative:paragraph;z-index:-21859840" from="285.464989pt,8.951533pt" to="281.131989pt,8.951533pt" stroked="true" strokeweight=".5pt" strokecolor="#000000">
            <v:stroke dashstyle="solid"/>
            <w10:wrap type="none"/>
          </v:line>
        </w:pict>
      </w:r>
      <w:r>
        <w:rPr>
          <w:color w:val="231F20"/>
          <w:position w:val="1"/>
          <w:sz w:val="12"/>
        </w:rPr>
        <w:t>5</w:t>
        <w:tab/>
      </w:r>
      <w:r>
        <w:rPr>
          <w:sz w:val="12"/>
        </w:rPr>
        <w:t>5</w:t>
      </w:r>
    </w:p>
    <w:p>
      <w:pPr>
        <w:pStyle w:val="BodyText"/>
        <w:spacing w:before="7"/>
        <w:rPr>
          <w:sz w:val="21"/>
        </w:rPr>
      </w:pPr>
    </w:p>
    <w:p>
      <w:pPr>
        <w:tabs>
          <w:tab w:pos="8973" w:val="left" w:leader="none"/>
        </w:tabs>
        <w:spacing w:before="93"/>
        <w:ind w:left="4153" w:right="0" w:firstLine="0"/>
        <w:jc w:val="left"/>
        <w:rPr>
          <w:sz w:val="12"/>
        </w:rPr>
      </w:pPr>
      <w:r>
        <w:rPr/>
        <w:pict>
          <v:line style="position:absolute;mso-position-horizontal-relative:page;mso-position-vertical-relative:paragraph;z-index:-21861376" from="285.464989pt,8.799169pt" to="281.131989pt,8.799169pt" stroked="true" strokeweight=".5pt" strokecolor="#000000">
            <v:stroke dashstyle="solid"/>
            <w10:wrap type="none"/>
          </v:line>
        </w:pict>
      </w:r>
      <w:r>
        <w:rPr>
          <w:color w:val="231F20"/>
          <w:position w:val="1"/>
          <w:sz w:val="12"/>
        </w:rPr>
        <w:t>4</w:t>
        <w:tab/>
      </w:r>
      <w:r>
        <w:rPr>
          <w:sz w:val="12"/>
        </w:rPr>
        <w:t>4</w:t>
      </w:r>
    </w:p>
    <w:p>
      <w:pPr>
        <w:pStyle w:val="BodyText"/>
        <w:spacing w:before="5"/>
        <w:rPr>
          <w:sz w:val="22"/>
        </w:rPr>
      </w:pPr>
    </w:p>
    <w:p>
      <w:pPr>
        <w:tabs>
          <w:tab w:pos="8973" w:val="left" w:leader="none"/>
        </w:tabs>
        <w:spacing w:before="92"/>
        <w:ind w:left="4153" w:right="0" w:firstLine="0"/>
        <w:jc w:val="left"/>
        <w:rPr>
          <w:sz w:val="12"/>
        </w:rPr>
      </w:pPr>
      <w:r>
        <w:rPr/>
        <w:pict>
          <v:line style="position:absolute;mso-position-horizontal-relative:page;mso-position-vertical-relative:paragraph;z-index:-21859328" from="285.464989pt,8.266542pt" to="281.131989pt,8.266542pt" stroked="true" strokeweight=".5pt" strokecolor="#000000">
            <v:stroke dashstyle="solid"/>
            <w10:wrap type="none"/>
          </v:line>
        </w:pict>
      </w:r>
      <w:r>
        <w:rPr>
          <w:color w:val="231F20"/>
          <w:sz w:val="12"/>
        </w:rPr>
        <w:t>3</w:t>
        <w:tab/>
      </w:r>
      <w:r>
        <w:rPr>
          <w:position w:val="1"/>
          <w:sz w:val="12"/>
        </w:rPr>
        <w:t>3</w:t>
      </w:r>
    </w:p>
    <w:p>
      <w:pPr>
        <w:pStyle w:val="BodyText"/>
        <w:spacing w:before="10"/>
        <w:rPr>
          <w:sz w:val="21"/>
        </w:rPr>
      </w:pPr>
    </w:p>
    <w:p>
      <w:pPr>
        <w:tabs>
          <w:tab w:pos="8973" w:val="left" w:leader="none"/>
        </w:tabs>
        <w:spacing w:before="93"/>
        <w:ind w:left="4153" w:right="0" w:firstLine="0"/>
        <w:jc w:val="left"/>
        <w:rPr>
          <w:sz w:val="12"/>
        </w:rPr>
      </w:pPr>
      <w:r>
        <w:rPr/>
        <w:pict>
          <v:line style="position:absolute;mso-position-horizontal-relative:page;mso-position-vertical-relative:paragraph;z-index:-21860864" from="285.464989pt,8.188750pt" to="281.131989pt,8.188750pt" stroked="true" strokeweight=".5pt" strokecolor="#000000">
            <v:stroke dashstyle="solid"/>
            <w10:wrap type="none"/>
          </v:line>
        </w:pict>
      </w:r>
      <w:r>
        <w:rPr>
          <w:color w:val="231F20"/>
          <w:sz w:val="12"/>
        </w:rPr>
        <w:t>2</w:t>
        <w:tab/>
      </w:r>
      <w:r>
        <w:rPr>
          <w:position w:val="1"/>
          <w:sz w:val="12"/>
        </w:rPr>
        <w:t>2</w:t>
      </w:r>
    </w:p>
    <w:p>
      <w:pPr>
        <w:pStyle w:val="BodyText"/>
        <w:spacing w:before="5"/>
        <w:rPr>
          <w:sz w:val="21"/>
        </w:rPr>
      </w:pPr>
    </w:p>
    <w:p>
      <w:pPr>
        <w:tabs>
          <w:tab w:pos="8973" w:val="left" w:leader="none"/>
        </w:tabs>
        <w:spacing w:before="97"/>
        <w:ind w:left="4153" w:right="0" w:firstLine="0"/>
        <w:jc w:val="left"/>
        <w:rPr>
          <w:sz w:val="12"/>
        </w:rPr>
      </w:pPr>
      <w:r>
        <w:rPr/>
        <w:pict>
          <v:line style="position:absolute;mso-position-horizontal-relative:page;mso-position-vertical-relative:paragraph;z-index:-21858816" from="285.464989pt,8.260958pt" to="281.131989pt,8.260958pt" stroked="true" strokeweight=".5pt" strokecolor="#000000">
            <v:stroke dashstyle="solid"/>
            <w10:wrap type="none"/>
          </v:line>
        </w:pict>
      </w:r>
      <w:r>
        <w:rPr>
          <w:color w:val="231F20"/>
          <w:sz w:val="12"/>
        </w:rPr>
        <w:t>1</w:t>
        <w:tab/>
      </w:r>
      <w:r>
        <w:rPr>
          <w:position w:val="1"/>
          <w:sz w:val="12"/>
        </w:rPr>
        <w:t>1</w:t>
      </w:r>
    </w:p>
    <w:p>
      <w:pPr>
        <w:pStyle w:val="BodyText"/>
        <w:rPr>
          <w:sz w:val="21"/>
        </w:rPr>
      </w:pPr>
    </w:p>
    <w:p>
      <w:pPr>
        <w:spacing w:after="0"/>
        <w:rPr>
          <w:sz w:val="21"/>
        </w:rPr>
        <w:sectPr>
          <w:type w:val="continuous"/>
          <w:pgSz w:w="11900" w:h="16840"/>
          <w:pgMar w:top="1220" w:bottom="280" w:left="620" w:right="640"/>
        </w:sectPr>
      </w:pPr>
    </w:p>
    <w:p>
      <w:pPr>
        <w:pStyle w:val="BodyText"/>
        <w:spacing w:before="11"/>
        <w:rPr>
          <w:sz w:val="9"/>
        </w:rPr>
      </w:pPr>
    </w:p>
    <w:p>
      <w:pPr>
        <w:spacing w:before="0"/>
        <w:ind w:left="0" w:right="38" w:firstLine="0"/>
        <w:jc w:val="right"/>
        <w:rPr>
          <w:sz w:val="12"/>
        </w:rPr>
      </w:pPr>
      <w:r>
        <w:rPr>
          <w:color w:val="231F20"/>
          <w:sz w:val="12"/>
        </w:rPr>
        <w:t>0</w:t>
      </w:r>
    </w:p>
    <w:p>
      <w:pPr>
        <w:tabs>
          <w:tab w:pos="512" w:val="left" w:leader="none"/>
          <w:tab w:pos="956" w:val="left" w:leader="none"/>
          <w:tab w:pos="1400" w:val="left" w:leader="none"/>
          <w:tab w:pos="1826" w:val="left" w:leader="none"/>
          <w:tab w:pos="2270" w:val="left" w:leader="none"/>
          <w:tab w:pos="2717" w:val="left" w:leader="none"/>
          <w:tab w:pos="3161" w:val="left" w:leader="none"/>
          <w:tab w:pos="3605" w:val="left" w:leader="none"/>
        </w:tabs>
        <w:spacing w:line="130" w:lineRule="exact" w:before="70"/>
        <w:ind w:left="21" w:right="0" w:firstLine="0"/>
        <w:jc w:val="center"/>
        <w:rPr>
          <w:sz w:val="12"/>
        </w:rPr>
      </w:pPr>
      <w:r>
        <w:rPr>
          <w:color w:val="231F20"/>
          <w:sz w:val="12"/>
        </w:rPr>
        <w:t>-1</w:t>
        <w:tab/>
        <w:t>0</w:t>
        <w:tab/>
        <w:t>1</w:t>
        <w:tab/>
        <w:t>2</w:t>
        <w:tab/>
        <w:t>3</w:t>
        <w:tab/>
        <w:t>4</w:t>
        <w:tab/>
        <w:t>5</w:t>
        <w:tab/>
        <w:t>6</w:t>
        <w:tab/>
        <w:t>7</w:t>
      </w:r>
    </w:p>
    <w:p>
      <w:pPr>
        <w:spacing w:line="130" w:lineRule="exact" w:before="0"/>
        <w:ind w:left="41" w:right="0" w:firstLine="0"/>
        <w:jc w:val="center"/>
        <w:rPr>
          <w:sz w:val="12"/>
        </w:rPr>
      </w:pPr>
      <w:r>
        <w:rPr>
          <w:color w:val="231F20"/>
          <w:sz w:val="12"/>
        </w:rPr>
        <w:t>Inflation</w:t>
      </w:r>
    </w:p>
    <w:p>
      <w:pPr>
        <w:spacing w:before="95"/>
        <w:ind w:left="4098" w:right="1546" w:firstLine="0"/>
        <w:jc w:val="center"/>
        <w:rPr>
          <w:sz w:val="12"/>
        </w:rPr>
      </w:pPr>
      <w:r>
        <w:rPr/>
        <w:br w:type="column"/>
      </w:r>
      <w:r>
        <w:rPr>
          <w:sz w:val="12"/>
        </w:rPr>
        <w:t>0</w:t>
      </w:r>
    </w:p>
    <w:p>
      <w:pPr>
        <w:tabs>
          <w:tab w:pos="463" w:val="left" w:leader="none"/>
          <w:tab w:pos="914" w:val="left" w:leader="none"/>
          <w:tab w:pos="1358" w:val="left" w:leader="none"/>
          <w:tab w:pos="1802" w:val="left" w:leader="none"/>
          <w:tab w:pos="2248" w:val="left" w:leader="none"/>
          <w:tab w:pos="2690" w:val="left" w:leader="none"/>
          <w:tab w:pos="3139" w:val="left" w:leader="none"/>
          <w:tab w:pos="3585" w:val="left" w:leader="none"/>
        </w:tabs>
        <w:spacing w:before="34"/>
        <w:ind w:left="0" w:right="1546" w:firstLine="0"/>
        <w:jc w:val="center"/>
        <w:rPr>
          <w:sz w:val="12"/>
        </w:rPr>
      </w:pPr>
      <w:r>
        <w:rPr/>
        <w:pict>
          <v:line style="position:absolute;mso-position-horizontal-relative:page;mso-position-vertical-relative:paragraph;z-index:16284672" from="285.464989pt,-3.258266pt" to="281.131989pt,-3.258266pt" stroked="true" strokeweight=".5pt" strokecolor="#000000">
            <v:stroke dashstyle="solid"/>
            <w10:wrap type="none"/>
          </v:line>
        </w:pict>
      </w:r>
      <w:r>
        <w:rPr>
          <w:sz w:val="12"/>
        </w:rPr>
        <w:t>-1</w:t>
        <w:tab/>
        <w:t>0</w:t>
        <w:tab/>
        <w:t>1</w:t>
        <w:tab/>
        <w:t>2</w:t>
        <w:tab/>
        <w:t>3</w:t>
        <w:tab/>
        <w:t>4</w:t>
        <w:tab/>
        <w:t>5</w:t>
        <w:tab/>
        <w:t>6</w:t>
        <w:tab/>
        <w:t>7</w:t>
      </w:r>
    </w:p>
    <w:p>
      <w:pPr>
        <w:spacing w:before="7"/>
        <w:ind w:left="0" w:right="1492" w:firstLine="0"/>
        <w:jc w:val="center"/>
        <w:rPr>
          <w:sz w:val="12"/>
        </w:rPr>
      </w:pPr>
      <w:r>
        <w:rPr>
          <w:color w:val="231F20"/>
          <w:sz w:val="12"/>
        </w:rPr>
        <w:t>Inflation</w:t>
      </w:r>
    </w:p>
    <w:p>
      <w:pPr>
        <w:spacing w:after="0"/>
        <w:jc w:val="center"/>
        <w:rPr>
          <w:sz w:val="12"/>
        </w:rPr>
        <w:sectPr>
          <w:type w:val="continuous"/>
          <w:pgSz w:w="11900" w:h="16840"/>
          <w:pgMar w:top="1220" w:bottom="280" w:left="620" w:right="640"/>
          <w:cols w:num="2" w:equalWidth="0">
            <w:col w:w="4254" w:space="560"/>
            <w:col w:w="5826"/>
          </w:cols>
        </w:sectPr>
      </w:pPr>
    </w:p>
    <w:p>
      <w:pPr>
        <w:pStyle w:val="BodyText"/>
        <w:rPr>
          <w:sz w:val="20"/>
        </w:rPr>
      </w:pPr>
    </w:p>
    <w:p>
      <w:pPr>
        <w:spacing w:before="94"/>
        <w:ind w:left="220" w:right="0" w:firstLine="0"/>
        <w:jc w:val="left"/>
        <w:rPr>
          <w:sz w:val="16"/>
        </w:rPr>
      </w:pPr>
      <w:r>
        <w:rPr>
          <w:color w:val="231F20"/>
          <w:sz w:val="16"/>
        </w:rPr>
        <w:t>Source: Bank of England.</w:t>
      </w:r>
    </w:p>
    <w:p>
      <w:pPr>
        <w:pStyle w:val="ListParagraph"/>
        <w:numPr>
          <w:ilvl w:val="0"/>
          <w:numId w:val="38"/>
        </w:numPr>
        <w:tabs>
          <w:tab w:pos="461" w:val="left" w:leader="none"/>
        </w:tabs>
        <w:spacing w:line="208" w:lineRule="auto" w:before="155" w:after="0"/>
        <w:ind w:left="460" w:right="1377" w:hanging="240"/>
        <w:jc w:val="left"/>
        <w:rPr>
          <w:sz w:val="16"/>
        </w:rPr>
      </w:pPr>
      <w:r>
        <w:rPr>
          <w:color w:val="231F20"/>
          <w:sz w:val="16"/>
        </w:rPr>
        <w:t>Probability of inflation being within ±0.05 percentage points of any given inflation rate, specified to one decimal place. For example, </w:t>
      </w:r>
      <w:r>
        <w:rPr>
          <w:color w:val="231F20"/>
          <w:spacing w:val="-6"/>
          <w:sz w:val="16"/>
        </w:rPr>
        <w:t>the </w:t>
      </w:r>
      <w:r>
        <w:rPr>
          <w:color w:val="231F20"/>
          <w:sz w:val="16"/>
        </w:rPr>
        <w:t>probability of inflation being 2.5% (between 2.45% and 2.55%) in the current projection is around 5%.</w:t>
      </w:r>
    </w:p>
    <w:p>
      <w:pPr>
        <w:pStyle w:val="ListParagraph"/>
        <w:numPr>
          <w:ilvl w:val="0"/>
          <w:numId w:val="38"/>
        </w:numPr>
        <w:tabs>
          <w:tab w:pos="461" w:val="left" w:leader="none"/>
        </w:tabs>
        <w:spacing w:line="208" w:lineRule="auto" w:before="0" w:after="0"/>
        <w:ind w:left="459" w:right="1292" w:hanging="240"/>
        <w:jc w:val="left"/>
        <w:rPr>
          <w:sz w:val="16"/>
        </w:rPr>
      </w:pPr>
      <w:r>
        <w:rPr>
          <w:color w:val="231F20"/>
          <w:sz w:val="16"/>
        </w:rPr>
        <w:t>The areas shaded light grey contain 90% of the probability, and are consistent with the widest bands shown in Charts 6.2 and 6.3. For further details see ‘The </w:t>
      </w:r>
      <w:r>
        <w:rPr>
          <w:i/>
          <w:color w:val="231F20"/>
          <w:sz w:val="16"/>
        </w:rPr>
        <w:t>Inflation Report </w:t>
      </w:r>
      <w:r>
        <w:rPr>
          <w:color w:val="231F20"/>
          <w:sz w:val="16"/>
        </w:rPr>
        <w:t>projections: understanding the fan chart’, February 1998 </w:t>
      </w:r>
      <w:r>
        <w:rPr>
          <w:i/>
          <w:color w:val="231F20"/>
          <w:sz w:val="16"/>
        </w:rPr>
        <w:t>Quarterly Bulletin</w:t>
      </w:r>
      <w:r>
        <w:rPr>
          <w:color w:val="231F20"/>
          <w:sz w:val="16"/>
        </w:rPr>
        <w:t>, pages 30–37, and </w:t>
      </w:r>
      <w:r>
        <w:rPr>
          <w:color w:val="231F20"/>
          <w:spacing w:val="-5"/>
          <w:sz w:val="16"/>
        </w:rPr>
        <w:t>the </w:t>
      </w:r>
      <w:r>
        <w:rPr>
          <w:color w:val="231F20"/>
          <w:sz w:val="16"/>
        </w:rPr>
        <w:t>box on page 52 of the February 1999</w:t>
      </w:r>
      <w:r>
        <w:rPr>
          <w:color w:val="231F20"/>
          <w:spacing w:val="-2"/>
          <w:sz w:val="16"/>
        </w:rPr>
        <w:t> </w:t>
      </w:r>
      <w:r>
        <w:rPr>
          <w:i/>
          <w:color w:val="231F20"/>
          <w:sz w:val="16"/>
        </w:rPr>
        <w:t>Report</w:t>
      </w:r>
      <w:r>
        <w:rPr>
          <w:color w:val="231F20"/>
          <w:sz w:val="16"/>
        </w:rPr>
        <w:t>.</w:t>
      </w:r>
    </w:p>
    <w:p>
      <w:pPr>
        <w:pStyle w:val="BodyText"/>
        <w:spacing w:before="9"/>
        <w:rPr>
          <w:sz w:val="14"/>
        </w:rPr>
      </w:pPr>
    </w:p>
    <w:p>
      <w:pPr>
        <w:spacing w:after="0"/>
        <w:rPr>
          <w:sz w:val="14"/>
        </w:rPr>
        <w:sectPr>
          <w:type w:val="continuous"/>
          <w:pgSz w:w="11900" w:h="16840"/>
          <w:pgMar w:top="1220" w:bottom="280" w:left="620" w:right="640"/>
        </w:sectPr>
      </w:pPr>
    </w:p>
    <w:p>
      <w:pPr>
        <w:pStyle w:val="Heading9"/>
        <w:spacing w:before="110"/>
      </w:pPr>
      <w:r>
        <w:rPr>
          <w:color w:val="0093C1"/>
        </w:rPr>
        <w:t>Table 6.B</w:t>
      </w:r>
    </w:p>
    <w:p>
      <w:pPr>
        <w:spacing w:line="249" w:lineRule="auto" w:before="10"/>
        <w:ind w:left="190" w:right="436" w:firstLine="0"/>
        <w:jc w:val="left"/>
        <w:rPr>
          <w:b/>
          <w:sz w:val="20"/>
        </w:rPr>
      </w:pPr>
      <w:r>
        <w:rPr>
          <w:b/>
          <w:color w:val="0093C1"/>
          <w:sz w:val="20"/>
        </w:rPr>
        <w:t>Possible effects on RPIX inflation and GDP growth of the alternative</w:t>
      </w:r>
      <w:r>
        <w:rPr>
          <w:b/>
          <w:color w:val="0093C1"/>
          <w:spacing w:val="-17"/>
          <w:sz w:val="20"/>
        </w:rPr>
        <w:t> </w:t>
      </w:r>
      <w:r>
        <w:rPr>
          <w:b/>
          <w:color w:val="0093C1"/>
          <w:sz w:val="20"/>
        </w:rPr>
        <w:t>assumptions</w:t>
      </w:r>
    </w:p>
    <w:p>
      <w:pPr>
        <w:spacing w:before="98"/>
        <w:ind w:left="190" w:right="0" w:firstLine="0"/>
        <w:jc w:val="left"/>
        <w:rPr>
          <w:sz w:val="14"/>
        </w:rPr>
      </w:pPr>
      <w:r>
        <w:rPr>
          <w:color w:val="231F20"/>
          <w:sz w:val="14"/>
        </w:rPr>
        <w:t>Difference from central projection, percentage points</w:t>
      </w:r>
    </w:p>
    <w:p>
      <w:pPr>
        <w:spacing w:before="119"/>
        <w:ind w:left="190" w:right="0" w:firstLine="0"/>
        <w:jc w:val="left"/>
        <w:rPr>
          <w:b/>
          <w:sz w:val="14"/>
        </w:rPr>
      </w:pPr>
      <w:r>
        <w:rPr>
          <w:b/>
          <w:color w:val="231F20"/>
          <w:sz w:val="14"/>
        </w:rPr>
        <w:t>RPIX inflation</w:t>
      </w:r>
    </w:p>
    <w:p>
      <w:pPr>
        <w:tabs>
          <w:tab w:pos="2109" w:val="left" w:leader="none"/>
          <w:tab w:pos="2829" w:val="left" w:leader="none"/>
          <w:tab w:pos="3600" w:val="left" w:leader="none"/>
        </w:tabs>
        <w:spacing w:line="208" w:lineRule="auto" w:before="136"/>
        <w:ind w:left="1389" w:right="139" w:firstLine="0"/>
        <w:jc w:val="left"/>
        <w:rPr>
          <w:sz w:val="14"/>
        </w:rPr>
      </w:pPr>
      <w:r>
        <w:rPr>
          <w:color w:val="231F20"/>
          <w:sz w:val="14"/>
        </w:rPr>
        <w:t>Constant</w:t>
        <w:tab/>
        <w:t>UIP</w:t>
        <w:tab/>
        <w:t>Additional Weaker exchange   exchange   downward    downward rate</w:t>
        <w:tab/>
        <w:t>rate </w:t>
      </w:r>
      <w:r>
        <w:rPr>
          <w:color w:val="231F20"/>
          <w:sz w:val="12"/>
        </w:rPr>
        <w:t>(a)</w:t>
        <w:tab/>
      </w:r>
      <w:r>
        <w:rPr>
          <w:color w:val="231F20"/>
          <w:sz w:val="14"/>
        </w:rPr>
        <w:t>pressure</w:t>
        <w:tab/>
        <w:t>pressure</w:t>
      </w:r>
    </w:p>
    <w:p>
      <w:pPr>
        <w:spacing w:line="144" w:lineRule="exact" w:before="0"/>
        <w:ind w:left="2830" w:right="0" w:firstLine="0"/>
        <w:jc w:val="left"/>
        <w:rPr>
          <w:sz w:val="14"/>
        </w:rPr>
      </w:pPr>
      <w:r>
        <w:rPr/>
        <w:pict>
          <v:line style="position:absolute;mso-position-horizontal-relative:page;mso-position-vertical-relative:paragraph;z-index:16287744" from="100.5pt,8.336874pt" to="128.5pt,8.336874pt" stroked="true" strokeweight=".125pt" strokecolor="#231f20">
            <v:stroke dashstyle="solid"/>
            <w10:wrap type="none"/>
          </v:line>
        </w:pict>
      </w:r>
      <w:r>
        <w:rPr/>
        <w:pict>
          <v:line style="position:absolute;mso-position-horizontal-relative:page;mso-position-vertical-relative:paragraph;z-index:16288256" from="137pt,8.336874pt" to="163pt,8.336874pt" stroked="true" strokeweight=".125pt" strokecolor="#231f20">
            <v:stroke dashstyle="solid"/>
            <w10:wrap type="none"/>
          </v:line>
        </w:pict>
      </w:r>
      <w:r>
        <w:rPr/>
        <w:pict>
          <v:line style="position:absolute;mso-position-horizontal-relative:page;mso-position-vertical-relative:paragraph;z-index:16288768" from="172.5pt,8.336874pt" to="204.25pt,8.336874pt" stroked="true" strokeweight=".125pt" strokecolor="#231f20">
            <v:stroke dashstyle="solid"/>
            <w10:wrap type="none"/>
          </v:line>
        </w:pict>
      </w:r>
      <w:r>
        <w:rPr/>
        <w:pict>
          <v:line style="position:absolute;mso-position-horizontal-relative:page;mso-position-vertical-relative:paragraph;z-index:16289280" from="211pt,8.336874pt" to="243.25pt,8.336874pt" stroked="true" strokeweight=".125pt" strokecolor="#231f20">
            <v:stroke dashstyle="solid"/>
            <w10:wrap type="none"/>
          </v:line>
        </w:pict>
      </w:r>
      <w:r>
        <w:rPr>
          <w:color w:val="231F20"/>
          <w:sz w:val="14"/>
        </w:rPr>
        <w:t>on margins on margins</w:t>
      </w:r>
    </w:p>
    <w:p>
      <w:pPr>
        <w:tabs>
          <w:tab w:pos="1443" w:val="left" w:leader="none"/>
          <w:tab w:pos="2189" w:val="left" w:leader="none"/>
          <w:tab w:pos="2953" w:val="left" w:leader="none"/>
          <w:tab w:pos="3925" w:val="right" w:leader="none"/>
        </w:tabs>
        <w:spacing w:line="150" w:lineRule="exact" w:before="119"/>
        <w:ind w:left="190" w:right="0" w:firstLine="0"/>
        <w:jc w:val="left"/>
        <w:rPr>
          <w:sz w:val="14"/>
        </w:rPr>
      </w:pPr>
      <w:r>
        <w:rPr>
          <w:color w:val="231F20"/>
          <w:sz w:val="14"/>
        </w:rPr>
        <w:t>2001 Q1</w:t>
        <w:tab/>
        <w:t>-0.1</w:t>
        <w:tab/>
        <w:t>0.1</w:t>
        <w:tab/>
        <w:t>-0.2</w:t>
        <w:tab/>
        <w:t>0.1</w:t>
      </w:r>
    </w:p>
    <w:p>
      <w:pPr>
        <w:tabs>
          <w:tab w:pos="1443" w:val="left" w:leader="none"/>
          <w:tab w:pos="2189" w:val="left" w:leader="none"/>
          <w:tab w:pos="2953" w:val="left" w:leader="none"/>
          <w:tab w:pos="3925" w:val="right" w:leader="none"/>
        </w:tabs>
        <w:spacing w:line="150" w:lineRule="exact" w:before="0"/>
        <w:ind w:left="190" w:right="0" w:firstLine="0"/>
        <w:jc w:val="left"/>
        <w:rPr>
          <w:sz w:val="14"/>
        </w:rPr>
      </w:pPr>
      <w:r>
        <w:rPr>
          <w:color w:val="231F20"/>
          <w:sz w:val="14"/>
        </w:rPr>
        <w:t>2002 Q1</w:t>
        <w:tab/>
        <w:t>-0.3</w:t>
        <w:tab/>
        <w:t>0.3</w:t>
        <w:tab/>
        <w:t>-0.4</w:t>
        <w:tab/>
        <w:t>0.3</w:t>
      </w:r>
    </w:p>
    <w:p>
      <w:pPr>
        <w:spacing w:before="119"/>
        <w:ind w:left="190" w:right="0" w:firstLine="0"/>
        <w:jc w:val="left"/>
        <w:rPr>
          <w:b/>
          <w:sz w:val="14"/>
        </w:rPr>
      </w:pPr>
      <w:r>
        <w:rPr>
          <w:b/>
          <w:color w:val="231F20"/>
          <w:sz w:val="14"/>
        </w:rPr>
        <w:t>GDP growth</w:t>
      </w:r>
    </w:p>
    <w:p>
      <w:pPr>
        <w:tabs>
          <w:tab w:pos="2109" w:val="left" w:leader="none"/>
          <w:tab w:pos="2829" w:val="left" w:leader="none"/>
          <w:tab w:pos="3589" w:val="left" w:leader="none"/>
        </w:tabs>
        <w:spacing w:line="208" w:lineRule="auto" w:before="136"/>
        <w:ind w:left="1390" w:right="139" w:firstLine="0"/>
        <w:jc w:val="left"/>
        <w:rPr>
          <w:sz w:val="14"/>
        </w:rPr>
      </w:pPr>
      <w:r>
        <w:rPr>
          <w:color w:val="231F20"/>
          <w:sz w:val="14"/>
        </w:rPr>
        <w:t>Constant</w:t>
        <w:tab/>
        <w:t>UIP</w:t>
        <w:tab/>
        <w:t>Additional Weaker exchange   exchange   downward   </w:t>
      </w:r>
      <w:r>
        <w:rPr>
          <w:color w:val="231F20"/>
          <w:spacing w:val="-3"/>
          <w:sz w:val="14"/>
        </w:rPr>
        <w:t>downward  </w:t>
      </w:r>
      <w:r>
        <w:rPr>
          <w:color w:val="231F20"/>
          <w:sz w:val="14"/>
        </w:rPr>
        <w:t>rate</w:t>
        <w:tab/>
        <w:t>rate </w:t>
      </w:r>
      <w:r>
        <w:rPr>
          <w:color w:val="231F20"/>
          <w:sz w:val="12"/>
        </w:rPr>
        <w:t>(a)</w:t>
        <w:tab/>
      </w:r>
      <w:r>
        <w:rPr>
          <w:color w:val="231F20"/>
          <w:sz w:val="14"/>
        </w:rPr>
        <w:t>pressure</w:t>
        <w:tab/>
        <w:t>pressure</w:t>
      </w:r>
    </w:p>
    <w:p>
      <w:pPr>
        <w:spacing w:line="144" w:lineRule="exact" w:before="0"/>
        <w:ind w:left="2830" w:right="0" w:firstLine="0"/>
        <w:jc w:val="left"/>
        <w:rPr>
          <w:sz w:val="14"/>
        </w:rPr>
      </w:pPr>
      <w:r>
        <w:rPr>
          <w:color w:val="231F20"/>
          <w:sz w:val="14"/>
        </w:rPr>
        <w:t>on margins    on</w:t>
      </w:r>
      <w:r>
        <w:rPr>
          <w:color w:val="231F20"/>
          <w:spacing w:val="-7"/>
          <w:sz w:val="14"/>
        </w:rPr>
        <w:t> </w:t>
      </w:r>
      <w:r>
        <w:rPr>
          <w:color w:val="231F20"/>
          <w:sz w:val="14"/>
        </w:rPr>
        <w:t>margins</w:t>
      </w:r>
    </w:p>
    <w:p>
      <w:pPr>
        <w:pStyle w:val="BodyText"/>
        <w:spacing w:before="1"/>
        <w:rPr>
          <w:sz w:val="3"/>
        </w:rPr>
      </w:pPr>
    </w:p>
    <w:p>
      <w:pPr>
        <w:pStyle w:val="BodyText"/>
        <w:spacing w:line="20" w:lineRule="exact"/>
        <w:ind w:left="1373"/>
        <w:rPr>
          <w:sz w:val="2"/>
        </w:rPr>
      </w:pPr>
      <w:r>
        <w:rPr>
          <w:sz w:val="2"/>
        </w:rPr>
        <w:pict>
          <v:group style="width:29pt;height:.15pt;mso-position-horizontal-relative:char;mso-position-vertical-relative:line" coordorigin="0,0" coordsize="580,3">
            <v:line style="position:absolute" from="0,1" to="580,1" stroked="true" strokeweight=".125pt" strokecolor="#231f20">
              <v:stroke dashstyle="solid"/>
            </v:line>
          </v:group>
        </w:pict>
      </w:r>
      <w:r>
        <w:rPr>
          <w:sz w:val="2"/>
        </w:rPr>
      </w:r>
      <w:r>
        <w:rPr>
          <w:spacing w:val="127"/>
          <w:sz w:val="2"/>
        </w:rPr>
        <w:t> </w:t>
      </w:r>
      <w:r>
        <w:rPr>
          <w:spacing w:val="127"/>
          <w:sz w:val="2"/>
        </w:rPr>
        <w:pict>
          <v:group style="width:27pt;height:.15pt;mso-position-horizontal-relative:char;mso-position-vertical-relative:line" coordorigin="0,0" coordsize="540,3">
            <v:line style="position:absolute" from="0,1" to="540,1" stroked="true" strokeweight=".125pt" strokecolor="#231f20">
              <v:stroke dashstyle="solid"/>
            </v:line>
          </v:group>
        </w:pict>
      </w:r>
      <w:r>
        <w:rPr>
          <w:spacing w:val="127"/>
          <w:sz w:val="2"/>
        </w:rPr>
      </w:r>
      <w:r>
        <w:rPr>
          <w:spacing w:val="137"/>
          <w:sz w:val="2"/>
        </w:rPr>
        <w:t> </w:t>
      </w:r>
      <w:r>
        <w:rPr>
          <w:spacing w:val="137"/>
          <w:sz w:val="2"/>
        </w:rPr>
        <w:pict>
          <v:group style="width:32.5pt;height:.15pt;mso-position-horizontal-relative:char;mso-position-vertical-relative:line" coordorigin="0,0" coordsize="650,3">
            <v:line style="position:absolute" from="0,1" to="650,1" stroked="true" strokeweight=".125pt" strokecolor="#231f20">
              <v:stroke dashstyle="solid"/>
            </v:line>
          </v:group>
        </w:pict>
      </w:r>
      <w:r>
        <w:rPr>
          <w:spacing w:val="137"/>
          <w:sz w:val="2"/>
        </w:rPr>
      </w:r>
      <w:r>
        <w:rPr>
          <w:spacing w:val="92"/>
          <w:sz w:val="2"/>
        </w:rPr>
        <w:t> </w:t>
      </w:r>
      <w:r>
        <w:rPr>
          <w:spacing w:val="92"/>
          <w:sz w:val="2"/>
        </w:rPr>
        <w:pict>
          <v:group style="width:31.5pt;height:.15pt;mso-position-horizontal-relative:char;mso-position-vertical-relative:line" coordorigin="0,0" coordsize="630,3">
            <v:line style="position:absolute" from="0,1" to="630,1" stroked="true" strokeweight=".125pt" strokecolor="#231f20">
              <v:stroke dashstyle="solid"/>
            </v:line>
          </v:group>
        </w:pict>
      </w:r>
      <w:r>
        <w:rPr>
          <w:spacing w:val="92"/>
          <w:sz w:val="2"/>
        </w:rPr>
      </w:r>
    </w:p>
    <w:p>
      <w:pPr>
        <w:tabs>
          <w:tab w:pos="1443" w:val="left" w:leader="none"/>
          <w:tab w:pos="2189" w:val="left" w:leader="none"/>
          <w:tab w:pos="3000" w:val="left" w:leader="none"/>
          <w:tab w:pos="3750" w:val="left" w:leader="none"/>
        </w:tabs>
        <w:spacing w:line="150" w:lineRule="exact" w:before="64"/>
        <w:ind w:left="190" w:right="0" w:firstLine="0"/>
        <w:jc w:val="left"/>
        <w:rPr>
          <w:sz w:val="14"/>
        </w:rPr>
      </w:pPr>
      <w:r>
        <w:rPr>
          <w:color w:val="231F20"/>
          <w:sz w:val="14"/>
        </w:rPr>
        <w:t>2001 Q1</w:t>
        <w:tab/>
        <w:t>-0.1</w:t>
        <w:tab/>
        <w:t>0.1</w:t>
        <w:tab/>
        <w:t>0.0</w:t>
        <w:tab/>
        <w:t>0.0</w:t>
      </w:r>
    </w:p>
    <w:p>
      <w:pPr>
        <w:tabs>
          <w:tab w:pos="1443" w:val="left" w:leader="none"/>
          <w:tab w:pos="2189" w:val="left" w:leader="none"/>
          <w:tab w:pos="3000" w:val="left" w:leader="none"/>
          <w:tab w:pos="3703" w:val="left" w:leader="none"/>
        </w:tabs>
        <w:spacing w:line="150" w:lineRule="exact" w:before="0"/>
        <w:ind w:left="190" w:right="0" w:firstLine="0"/>
        <w:jc w:val="left"/>
        <w:rPr>
          <w:sz w:val="14"/>
        </w:rPr>
      </w:pPr>
      <w:r>
        <w:rPr>
          <w:color w:val="231F20"/>
          <w:sz w:val="14"/>
        </w:rPr>
        <w:t>2002 Q1</w:t>
        <w:tab/>
        <w:t>-0.2</w:t>
        <w:tab/>
        <w:t>0.2</w:t>
        <w:tab/>
        <w:t>0.1</w:t>
        <w:tab/>
        <w:t>-0.1</w:t>
      </w:r>
    </w:p>
    <w:p>
      <w:pPr>
        <w:spacing w:line="120" w:lineRule="exact" w:before="133"/>
        <w:ind w:left="430" w:right="20" w:hanging="240"/>
        <w:jc w:val="left"/>
        <w:rPr>
          <w:sz w:val="12"/>
        </w:rPr>
      </w:pPr>
      <w:r>
        <w:rPr>
          <w:color w:val="231F20"/>
          <w:sz w:val="12"/>
        </w:rPr>
        <w:t>(a) Assumes the exchange rate moves in line with interest rate differentials (uncovered interest parity), adjusted for the conditioning assumption of constant interest rates in the United Kingdom.</w:t>
      </w:r>
    </w:p>
    <w:p>
      <w:pPr>
        <w:pStyle w:val="Heading6"/>
        <w:spacing w:line="242" w:lineRule="auto" w:before="90"/>
        <w:ind w:right="475"/>
      </w:pPr>
      <w:r>
        <w:rPr/>
        <w:br w:type="column"/>
      </w:r>
      <w:r>
        <w:rPr>
          <w:color w:val="231F20"/>
        </w:rPr>
        <w:t>incorporated in the central projection in forming their best estimate of the most likely outcome. These judgments are not incorporated explicitly in the fan charts or in Table 6.A, but are shown in Table 6.B, which presents illustrative calibrations of the possible effects of the alternative assumptions.</w:t>
      </w:r>
    </w:p>
    <w:p>
      <w:pPr>
        <w:pStyle w:val="BodyText"/>
        <w:rPr>
          <w:sz w:val="25"/>
        </w:rPr>
      </w:pPr>
    </w:p>
    <w:p>
      <w:pPr>
        <w:spacing w:line="242" w:lineRule="auto" w:before="1"/>
        <w:ind w:left="190" w:right="211" w:firstLine="0"/>
        <w:jc w:val="left"/>
        <w:rPr>
          <w:sz w:val="24"/>
        </w:rPr>
      </w:pPr>
      <w:r>
        <w:rPr>
          <w:color w:val="231F20"/>
          <w:sz w:val="24"/>
        </w:rPr>
        <w:t>The alternative assumptions shown in Table 6.B are viewed by the Committee as a series of separate judgments. The net effect of the alternative assumptions preferred by different Committee members leads to a range of views about inflation prospects, emphasising the uncertainties and difficulties in forming judgments on the outlook. These varying assumptions could either raise or lower the inflation profile at the two-year</w:t>
      </w:r>
    </w:p>
    <w:p>
      <w:pPr>
        <w:spacing w:line="20" w:lineRule="exact" w:before="20"/>
        <w:ind w:left="0" w:right="1791" w:firstLine="0"/>
        <w:jc w:val="center"/>
        <w:rPr>
          <w:sz w:val="12"/>
        </w:rPr>
      </w:pPr>
      <w:r>
        <w:rPr>
          <w:color w:val="231F20"/>
          <w:sz w:val="12"/>
        </w:rPr>
        <w:t>1</w:t>
      </w:r>
    </w:p>
    <w:p>
      <w:pPr>
        <w:spacing w:after="0" w:line="20" w:lineRule="exact"/>
        <w:jc w:val="center"/>
        <w:rPr>
          <w:sz w:val="12"/>
        </w:rPr>
        <w:sectPr>
          <w:type w:val="continuous"/>
          <w:pgSz w:w="11900" w:h="16840"/>
          <w:pgMar w:top="1220" w:bottom="280" w:left="620" w:right="640"/>
          <w:cols w:num="2" w:equalWidth="0">
            <w:col w:w="4323" w:space="473"/>
            <w:col w:w="5844"/>
          </w:cols>
        </w:sectPr>
      </w:pPr>
    </w:p>
    <w:p>
      <w:pPr>
        <w:pStyle w:val="Heading6"/>
        <w:spacing w:line="186" w:lineRule="exact"/>
        <w:ind w:left="4985"/>
      </w:pPr>
      <w:r>
        <w:rPr>
          <w:color w:val="231F20"/>
        </w:rPr>
        <w:t>horizon by up to a /</w:t>
      </w:r>
      <w:r>
        <w:rPr>
          <w:color w:val="231F20"/>
          <w:sz w:val="12"/>
        </w:rPr>
        <w:t>2 </w:t>
      </w:r>
      <w:r>
        <w:rPr>
          <w:color w:val="231F20"/>
        </w:rPr>
        <w:t>percentage point.</w:t>
      </w:r>
    </w:p>
    <w:p>
      <w:pPr>
        <w:pStyle w:val="BodyText"/>
        <w:spacing w:before="1"/>
        <w:rPr>
          <w:sz w:val="15"/>
        </w:rPr>
      </w:pPr>
    </w:p>
    <w:p>
      <w:pPr>
        <w:spacing w:after="0"/>
        <w:rPr>
          <w:sz w:val="15"/>
        </w:rPr>
        <w:sectPr>
          <w:type w:val="continuous"/>
          <w:pgSz w:w="11900" w:h="16840"/>
          <w:pgMar w:top="1220" w:bottom="280" w:left="620" w:right="640"/>
        </w:sectPr>
      </w:pPr>
    </w:p>
    <w:p>
      <w:pPr>
        <w:pStyle w:val="BodyText"/>
        <w:spacing w:before="11"/>
        <w:rPr>
          <w:sz w:val="26"/>
        </w:rPr>
      </w:pPr>
    </w:p>
    <w:p>
      <w:pPr>
        <w:pStyle w:val="Heading9"/>
        <w:spacing w:before="0"/>
        <w:ind w:left="185"/>
      </w:pPr>
      <w:r>
        <w:rPr>
          <w:color w:val="0093C1"/>
        </w:rPr>
        <w:t>Table 6.C</w:t>
      </w:r>
    </w:p>
    <w:p>
      <w:pPr>
        <w:spacing w:line="249" w:lineRule="auto" w:before="10"/>
        <w:ind w:left="185" w:right="683" w:firstLine="0"/>
        <w:jc w:val="left"/>
        <w:rPr>
          <w:sz w:val="12"/>
        </w:rPr>
      </w:pPr>
      <w:r>
        <w:rPr>
          <w:b/>
          <w:color w:val="0093C1"/>
          <w:sz w:val="20"/>
        </w:rPr>
        <w:t>Market expectations of the Bank’s official interest rate</w:t>
      </w:r>
      <w:r>
        <w:rPr>
          <w:color w:val="231F20"/>
          <w:position w:val="4"/>
          <w:sz w:val="12"/>
        </w:rPr>
        <w:t>(a)</w:t>
      </w:r>
    </w:p>
    <w:p>
      <w:pPr>
        <w:spacing w:before="98"/>
        <w:ind w:left="185" w:right="0" w:firstLine="0"/>
        <w:jc w:val="left"/>
        <w:rPr>
          <w:sz w:val="14"/>
        </w:rPr>
      </w:pPr>
      <w:r>
        <w:rPr>
          <w:color w:val="231F20"/>
          <w:sz w:val="14"/>
        </w:rPr>
        <w:t>Per cent</w:t>
      </w:r>
    </w:p>
    <w:p>
      <w:pPr>
        <w:tabs>
          <w:tab w:pos="1909" w:val="left" w:leader="none"/>
          <w:tab w:pos="2235" w:val="left" w:leader="none"/>
          <w:tab w:pos="3849" w:val="left" w:leader="none"/>
          <w:tab w:pos="4085" w:val="left" w:leader="none"/>
        </w:tabs>
        <w:spacing w:line="150" w:lineRule="exact" w:before="119"/>
        <w:ind w:left="160" w:right="0" w:firstLine="0"/>
        <w:jc w:val="left"/>
        <w:rPr>
          <w:sz w:val="14"/>
        </w:rPr>
      </w:pPr>
      <w:r>
        <w:rPr>
          <w:color w:val="231F20"/>
          <w:spacing w:val="-10"/>
          <w:sz w:val="14"/>
          <w:u w:val="single" w:color="231F20"/>
        </w:rPr>
        <w:t> </w:t>
      </w:r>
      <w:r>
        <w:rPr>
          <w:color w:val="231F20"/>
          <w:sz w:val="14"/>
          <w:u w:val="single" w:color="231F20"/>
        </w:rPr>
        <w:t>2000</w:t>
        <w:tab/>
      </w:r>
      <w:r>
        <w:rPr>
          <w:color w:val="231F20"/>
          <w:sz w:val="14"/>
        </w:rPr>
        <w:tab/>
      </w:r>
      <w:r>
        <w:rPr>
          <w:color w:val="231F20"/>
          <w:sz w:val="14"/>
          <w:u w:val="single" w:color="231F20"/>
        </w:rPr>
        <w:t>2001</w:t>
        <w:tab/>
      </w:r>
      <w:r>
        <w:rPr>
          <w:color w:val="231F20"/>
          <w:sz w:val="14"/>
        </w:rPr>
        <w:tab/>
      </w:r>
      <w:r>
        <w:rPr>
          <w:color w:val="231F20"/>
          <w:sz w:val="14"/>
          <w:u w:val="single" w:color="231F20"/>
        </w:rPr>
        <w:t>2002</w:t>
      </w:r>
      <w:r>
        <w:rPr>
          <w:color w:val="231F20"/>
          <w:spacing w:val="-16"/>
          <w:sz w:val="14"/>
          <w:u w:val="single" w:color="231F20"/>
        </w:rPr>
        <w:t> </w:t>
      </w:r>
    </w:p>
    <w:p>
      <w:pPr>
        <w:tabs>
          <w:tab w:pos="695" w:val="left" w:leader="none"/>
          <w:tab w:pos="1235" w:val="left" w:leader="none"/>
          <w:tab w:pos="1735" w:val="left" w:leader="none"/>
          <w:tab w:pos="2235" w:val="left" w:leader="none"/>
          <w:tab w:pos="2725" w:val="left" w:leader="none"/>
          <w:tab w:pos="3225" w:val="left" w:leader="none"/>
          <w:tab w:pos="3655" w:val="left" w:leader="none"/>
          <w:tab w:pos="4085" w:val="left" w:leader="none"/>
        </w:tabs>
        <w:spacing w:line="150" w:lineRule="exact" w:before="0"/>
        <w:ind w:left="160" w:right="0" w:firstLine="0"/>
        <w:jc w:val="left"/>
        <w:rPr>
          <w:sz w:val="14"/>
        </w:rPr>
      </w:pPr>
      <w:r>
        <w:rPr>
          <w:color w:val="231F20"/>
          <w:spacing w:val="-10"/>
          <w:sz w:val="14"/>
          <w:u w:val="single" w:color="231F20"/>
        </w:rPr>
        <w:t> </w:t>
      </w:r>
      <w:r>
        <w:rPr>
          <w:color w:val="231F20"/>
          <w:sz w:val="14"/>
          <w:u w:val="single" w:color="231F20"/>
        </w:rPr>
        <w:t>Q1</w:t>
      </w:r>
      <w:r>
        <w:rPr>
          <w:color w:val="231F20"/>
          <w:sz w:val="14"/>
        </w:rPr>
        <w:tab/>
      </w:r>
      <w:r>
        <w:rPr>
          <w:color w:val="231F20"/>
          <w:sz w:val="14"/>
          <w:u w:val="single" w:color="231F20"/>
        </w:rPr>
        <w:t>Q2</w:t>
      </w:r>
      <w:r>
        <w:rPr>
          <w:color w:val="231F20"/>
          <w:sz w:val="14"/>
        </w:rPr>
        <w:tab/>
      </w:r>
      <w:r>
        <w:rPr>
          <w:color w:val="231F20"/>
          <w:sz w:val="14"/>
          <w:u w:val="single" w:color="231F20"/>
        </w:rPr>
        <w:t>Q3</w:t>
      </w:r>
      <w:r>
        <w:rPr>
          <w:color w:val="231F20"/>
          <w:sz w:val="14"/>
        </w:rPr>
        <w:tab/>
      </w:r>
      <w:r>
        <w:rPr>
          <w:color w:val="231F20"/>
          <w:sz w:val="14"/>
          <w:u w:val="single" w:color="231F20"/>
        </w:rPr>
        <w:t>Q4</w:t>
      </w:r>
      <w:r>
        <w:rPr>
          <w:color w:val="231F20"/>
          <w:sz w:val="14"/>
        </w:rPr>
        <w:tab/>
      </w:r>
      <w:r>
        <w:rPr>
          <w:color w:val="231F20"/>
          <w:sz w:val="14"/>
          <w:u w:val="single" w:color="231F20"/>
        </w:rPr>
        <w:t>Q1</w:t>
      </w:r>
      <w:r>
        <w:rPr>
          <w:color w:val="231F20"/>
          <w:sz w:val="14"/>
        </w:rPr>
        <w:tab/>
      </w:r>
      <w:r>
        <w:rPr>
          <w:color w:val="231F20"/>
          <w:sz w:val="14"/>
          <w:u w:val="single" w:color="231F20"/>
        </w:rPr>
        <w:t>Q2</w:t>
      </w:r>
      <w:r>
        <w:rPr>
          <w:color w:val="231F20"/>
          <w:sz w:val="14"/>
        </w:rPr>
        <w:tab/>
      </w:r>
      <w:r>
        <w:rPr>
          <w:color w:val="231F20"/>
          <w:sz w:val="14"/>
          <w:u w:val="single" w:color="231F20"/>
        </w:rPr>
        <w:t>Q3</w:t>
      </w:r>
      <w:r>
        <w:rPr>
          <w:color w:val="231F20"/>
          <w:sz w:val="14"/>
        </w:rPr>
        <w:tab/>
      </w:r>
      <w:r>
        <w:rPr>
          <w:color w:val="231F20"/>
          <w:sz w:val="14"/>
          <w:u w:val="single" w:color="231F20"/>
        </w:rPr>
        <w:t>Q4</w:t>
      </w:r>
      <w:r>
        <w:rPr>
          <w:color w:val="231F20"/>
          <w:sz w:val="14"/>
        </w:rPr>
        <w:tab/>
      </w:r>
      <w:r>
        <w:rPr>
          <w:color w:val="231F20"/>
          <w:sz w:val="14"/>
          <w:u w:val="single" w:color="231F20"/>
        </w:rPr>
        <w:t>Q1</w:t>
      </w:r>
      <w:r>
        <w:rPr>
          <w:color w:val="231F20"/>
          <w:spacing w:val="13"/>
          <w:sz w:val="14"/>
          <w:u w:val="single" w:color="231F20"/>
        </w:rPr>
        <w:t> </w:t>
      </w:r>
    </w:p>
    <w:p>
      <w:pPr>
        <w:tabs>
          <w:tab w:pos="695" w:val="left" w:leader="none"/>
          <w:tab w:pos="1235" w:val="left" w:leader="none"/>
          <w:tab w:pos="1735" w:val="left" w:leader="none"/>
          <w:tab w:pos="2235" w:val="left" w:leader="none"/>
          <w:tab w:pos="2725" w:val="left" w:leader="none"/>
          <w:tab w:pos="3225" w:val="left" w:leader="none"/>
          <w:tab w:pos="3655" w:val="left" w:leader="none"/>
          <w:tab w:pos="4085" w:val="left" w:leader="none"/>
        </w:tabs>
        <w:spacing w:before="119"/>
        <w:ind w:left="185" w:right="0" w:firstLine="0"/>
        <w:jc w:val="left"/>
        <w:rPr>
          <w:sz w:val="14"/>
        </w:rPr>
      </w:pPr>
      <w:r>
        <w:rPr>
          <w:color w:val="231F20"/>
          <w:sz w:val="14"/>
        </w:rPr>
        <w:t>5.9</w:t>
        <w:tab/>
        <w:t>6.3</w:t>
        <w:tab/>
        <w:t>6.6</w:t>
        <w:tab/>
        <w:t>6.8</w:t>
        <w:tab/>
        <w:t>6.8</w:t>
        <w:tab/>
        <w:t>6.8</w:t>
        <w:tab/>
        <w:t>6.8</w:t>
        <w:tab/>
        <w:t>6.7</w:t>
        <w:tab/>
        <w:t>6.7</w:t>
      </w:r>
    </w:p>
    <w:p>
      <w:pPr>
        <w:spacing w:line="208" w:lineRule="auto" w:before="132"/>
        <w:ind w:left="405" w:right="0" w:hanging="220"/>
        <w:jc w:val="left"/>
        <w:rPr>
          <w:sz w:val="12"/>
        </w:rPr>
      </w:pPr>
      <w:r>
        <w:rPr>
          <w:color w:val="231F20"/>
          <w:sz w:val="12"/>
        </w:rPr>
        <w:t>(a) Based on the interest rate available on gilt-edged securities, including those used as collateral in short-term repurchase contracts, plus a small upward adjustment to allow for the average difference between this rate and the Bank’s official interest rate. The data are 15-day averages to 9 February.</w:t>
      </w:r>
    </w:p>
    <w:p>
      <w:pPr>
        <w:pStyle w:val="Heading6"/>
        <w:spacing w:line="242" w:lineRule="auto" w:before="90"/>
        <w:ind w:left="160"/>
      </w:pPr>
      <w:r>
        <w:rPr/>
        <w:br w:type="column"/>
      </w:r>
      <w:r>
        <w:rPr>
          <w:color w:val="231F20"/>
        </w:rPr>
        <w:t>Market expectations of the likely future path of official interest rates are a little higher than in November.</w:t>
      </w:r>
    </w:p>
    <w:p>
      <w:pPr>
        <w:spacing w:line="242" w:lineRule="auto" w:before="3"/>
        <w:ind w:left="160" w:right="241" w:firstLine="0"/>
        <w:jc w:val="left"/>
        <w:rPr>
          <w:sz w:val="24"/>
        </w:rPr>
      </w:pPr>
      <w:r>
        <w:rPr>
          <w:color w:val="231F20"/>
          <w:sz w:val="24"/>
        </w:rPr>
        <w:t>Estimates of prospective official rates based on the government bond and gilt repo curve indicate that market expectations are for official rates to rise over the next year to a peak of around 6</w:t>
      </w:r>
      <w:r>
        <w:rPr>
          <w:color w:val="231F20"/>
          <w:position w:val="8"/>
          <w:sz w:val="12"/>
        </w:rPr>
        <w:t>3</w:t>
      </w:r>
      <w:r>
        <w:rPr>
          <w:color w:val="231F20"/>
          <w:sz w:val="24"/>
        </w:rPr>
        <w:t>/</w:t>
      </w:r>
      <w:r>
        <w:rPr>
          <w:color w:val="231F20"/>
          <w:sz w:val="12"/>
        </w:rPr>
        <w:t>4</w:t>
      </w:r>
      <w:r>
        <w:rPr>
          <w:color w:val="231F20"/>
          <w:sz w:val="24"/>
        </w:rPr>
        <w:t>% before drifting </w:t>
      </w:r>
      <w:r>
        <w:rPr>
          <w:color w:val="231F20"/>
          <w:spacing w:val="-5"/>
          <w:sz w:val="24"/>
        </w:rPr>
        <w:t>down </w:t>
      </w:r>
      <w:r>
        <w:rPr>
          <w:color w:val="231F20"/>
          <w:sz w:val="24"/>
        </w:rPr>
        <w:t>slightly (see </w:t>
      </w:r>
      <w:r>
        <w:rPr>
          <w:color w:val="231F20"/>
          <w:spacing w:val="-4"/>
          <w:sz w:val="24"/>
        </w:rPr>
        <w:t>Table </w:t>
      </w:r>
      <w:r>
        <w:rPr>
          <w:color w:val="231F20"/>
          <w:sz w:val="24"/>
        </w:rPr>
        <w:t>6.C). As a consequence, the Committee’s projections based on the assumption that official rates move in line with market expectations are for significantly weaker output growth and lower inflation than in the projections based on constant nominal rates (see Charts 6.6 and 6.7). These projections are based on the assumption that, relative to</w:t>
      </w:r>
    </w:p>
    <w:p>
      <w:pPr>
        <w:spacing w:after="0" w:line="242" w:lineRule="auto"/>
        <w:jc w:val="left"/>
        <w:rPr>
          <w:sz w:val="24"/>
        </w:rPr>
        <w:sectPr>
          <w:type w:val="continuous"/>
          <w:pgSz w:w="11900" w:h="16840"/>
          <w:pgMar w:top="1220" w:bottom="280" w:left="620" w:right="640"/>
          <w:cols w:num="2" w:equalWidth="0">
            <w:col w:w="4460" w:space="365"/>
            <w:col w:w="5815"/>
          </w:cols>
        </w:sectPr>
      </w:pPr>
    </w:p>
    <w:p>
      <w:pPr>
        <w:pStyle w:val="BodyText"/>
        <w:rPr>
          <w:sz w:val="20"/>
        </w:rPr>
      </w:pPr>
    </w:p>
    <w:p>
      <w:pPr>
        <w:spacing w:after="0"/>
        <w:rPr>
          <w:sz w:val="20"/>
        </w:rPr>
        <w:sectPr>
          <w:pgSz w:w="11900" w:h="16840"/>
          <w:pgMar w:header="584" w:footer="597" w:top="780" w:bottom="780" w:left="620" w:right="640"/>
        </w:sectPr>
      </w:pPr>
    </w:p>
    <w:p>
      <w:pPr>
        <w:pStyle w:val="BodyText"/>
        <w:spacing w:before="6"/>
        <w:rPr>
          <w:sz w:val="20"/>
        </w:rPr>
      </w:pPr>
    </w:p>
    <w:p>
      <w:pPr>
        <w:pStyle w:val="Heading9"/>
        <w:spacing w:before="0"/>
        <w:ind w:left="194"/>
      </w:pPr>
      <w:bookmarkStart w:name="Other forecasts" w:id="77"/>
      <w:bookmarkEnd w:id="77"/>
      <w:r>
        <w:rPr>
          <w:b w:val="0"/>
        </w:rPr>
      </w:r>
      <w:bookmarkStart w:name="_bookmark32" w:id="78"/>
      <w:bookmarkEnd w:id="78"/>
      <w:r>
        <w:rPr>
          <w:b w:val="0"/>
        </w:rPr>
      </w:r>
      <w:r>
        <w:rPr>
          <w:color w:val="0093C1"/>
        </w:rPr>
        <w:t>Chart 6.6</w:t>
      </w:r>
    </w:p>
    <w:p>
      <w:pPr>
        <w:spacing w:line="249" w:lineRule="auto" w:before="10"/>
        <w:ind w:left="194" w:right="204" w:firstLine="0"/>
        <w:jc w:val="left"/>
        <w:rPr>
          <w:b/>
          <w:sz w:val="20"/>
        </w:rPr>
      </w:pPr>
      <w:r>
        <w:rPr>
          <w:b/>
          <w:color w:val="0093C1"/>
          <w:sz w:val="20"/>
        </w:rPr>
        <w:t>Current RPIX inflation projection based on market interest rate expectations</w:t>
      </w:r>
    </w:p>
    <w:p>
      <w:pPr>
        <w:spacing w:before="162"/>
        <w:ind w:left="1803" w:right="0" w:firstLine="0"/>
        <w:jc w:val="left"/>
        <w:rPr>
          <w:sz w:val="12"/>
        </w:rPr>
      </w:pPr>
      <w:r>
        <w:rPr/>
        <w:pict>
          <v:line style="position:absolute;mso-position-horizontal-relative:page;mso-position-vertical-relative:paragraph;z-index:16294400" from="47.512001pt,15.701563pt" to="43.012001pt,15.701563pt" stroked="true" strokeweight=".5pt" strokecolor="#000000">
            <v:stroke dashstyle="solid"/>
            <w10:wrap type="none"/>
          </v:line>
        </w:pict>
      </w:r>
      <w:r>
        <w:rPr>
          <w:color w:val="231F20"/>
          <w:sz w:val="12"/>
        </w:rPr>
        <w:t>Percentage increase in prices on a year earl</w:t>
      </w:r>
      <w:r>
        <w:rPr>
          <w:color w:val="231F20"/>
          <w:sz w:val="12"/>
          <w:u w:val="single" w:color="000000"/>
        </w:rPr>
        <w:t>ier</w:t>
      </w:r>
      <w:r>
        <w:rPr>
          <w:color w:val="231F20"/>
          <w:sz w:val="12"/>
        </w:rPr>
        <w:t> </w:t>
      </w:r>
      <w:r>
        <w:rPr>
          <w:color w:val="231F20"/>
          <w:position w:val="-7"/>
          <w:sz w:val="12"/>
        </w:rPr>
        <w:t>5</w:t>
      </w:r>
    </w:p>
    <w:p>
      <w:pPr>
        <w:pStyle w:val="BodyText"/>
        <w:spacing w:before="6"/>
        <w:rPr>
          <w:sz w:val="20"/>
        </w:rPr>
      </w:pPr>
      <w:r>
        <w:rPr/>
        <w:br w:type="column"/>
      </w:r>
      <w:r>
        <w:rPr>
          <w:sz w:val="20"/>
        </w:rPr>
      </w:r>
    </w:p>
    <w:p>
      <w:pPr>
        <w:pStyle w:val="Heading9"/>
        <w:spacing w:before="0"/>
        <w:ind w:left="194"/>
      </w:pPr>
      <w:r>
        <w:rPr>
          <w:color w:val="0093C1"/>
        </w:rPr>
        <w:t>Chart 6.7</w:t>
      </w:r>
    </w:p>
    <w:p>
      <w:pPr>
        <w:spacing w:line="249" w:lineRule="auto" w:before="10"/>
        <w:ind w:left="194" w:right="1360" w:firstLine="0"/>
        <w:jc w:val="left"/>
        <w:rPr>
          <w:b/>
          <w:sz w:val="20"/>
        </w:rPr>
      </w:pPr>
      <w:r>
        <w:rPr>
          <w:b/>
          <w:color w:val="0093C1"/>
          <w:sz w:val="20"/>
        </w:rPr>
        <w:t>Current GDP projection based on market interest rate expectations</w:t>
      </w:r>
    </w:p>
    <w:p>
      <w:pPr>
        <w:spacing w:line="124" w:lineRule="exact" w:before="145"/>
        <w:ind w:left="0" w:right="1762" w:firstLine="0"/>
        <w:jc w:val="right"/>
        <w:rPr>
          <w:sz w:val="12"/>
        </w:rPr>
      </w:pPr>
      <w:r>
        <w:rPr>
          <w:color w:val="231F20"/>
          <w:sz w:val="12"/>
        </w:rPr>
        <w:t>Percentage increase in output on a year earlier</w:t>
      </w:r>
    </w:p>
    <w:p>
      <w:pPr>
        <w:spacing w:line="124" w:lineRule="exact" w:before="0"/>
        <w:ind w:left="0" w:right="1671" w:firstLine="0"/>
        <w:jc w:val="right"/>
        <w:rPr>
          <w:sz w:val="12"/>
        </w:rPr>
      </w:pPr>
      <w:r>
        <w:rPr/>
        <w:pict>
          <v:line style="position:absolute;mso-position-horizontal-relative:page;mso-position-vertical-relative:paragraph;z-index:16299008" from="290.345001pt,2.73526pt" to="285.845001pt,2.73526pt" stroked="true" strokeweight=".5pt" strokecolor="#000000">
            <v:stroke dashstyle="solid"/>
            <w10:wrap type="none"/>
          </v:line>
        </w:pict>
      </w:r>
      <w:r>
        <w:rPr/>
        <w:pict>
          <v:line style="position:absolute;mso-position-horizontal-relative:page;mso-position-vertical-relative:paragraph;z-index:16300032" from="470.345001pt,2.73526pt" to="474.845001pt,2.73526pt" stroked="true" strokeweight=".5pt" strokecolor="#000000">
            <v:stroke dashstyle="solid"/>
            <w10:wrap type="none"/>
          </v:line>
        </w:pict>
      </w:r>
      <w:r>
        <w:rPr>
          <w:color w:val="231F20"/>
          <w:sz w:val="12"/>
        </w:rPr>
        <w:t>6</w:t>
      </w:r>
    </w:p>
    <w:p>
      <w:pPr>
        <w:spacing w:after="0" w:line="124" w:lineRule="exact"/>
        <w:jc w:val="right"/>
        <w:rPr>
          <w:sz w:val="12"/>
        </w:rPr>
        <w:sectPr>
          <w:type w:val="continuous"/>
          <w:pgSz w:w="11900" w:h="16840"/>
          <w:pgMar w:top="1220" w:bottom="280" w:left="620" w:right="640"/>
          <w:cols w:num="2" w:equalWidth="0">
            <w:col w:w="4157" w:space="643"/>
            <w:col w:w="5840"/>
          </w:cols>
        </w:sectPr>
      </w:pPr>
    </w:p>
    <w:p>
      <w:pPr>
        <w:pStyle w:val="BodyText"/>
        <w:spacing w:before="6"/>
        <w:rPr>
          <w:sz w:val="15"/>
        </w:rPr>
      </w:pPr>
    </w:p>
    <w:p>
      <w:pPr>
        <w:spacing w:line="136" w:lineRule="exact" w:before="95"/>
        <w:ind w:left="7232" w:right="0" w:firstLine="0"/>
        <w:jc w:val="center"/>
        <w:rPr>
          <w:sz w:val="12"/>
        </w:rPr>
      </w:pPr>
      <w:r>
        <w:rPr/>
        <w:pict>
          <v:line style="position:absolute;mso-position-horizontal-relative:page;mso-position-vertical-relative:paragraph;z-index:16298496" from="285.845001pt,8.184587pt" to="290.345001pt,8.184587pt" stroked="true" strokeweight=".5pt" strokecolor="#000000">
            <v:stroke dashstyle="solid"/>
            <w10:wrap type="none"/>
          </v:line>
        </w:pict>
      </w:r>
      <w:r>
        <w:rPr/>
        <w:pict>
          <v:line style="position:absolute;mso-position-horizontal-relative:page;mso-position-vertical-relative:paragraph;z-index:16299520" from="470.011993pt,8.184587pt" to="474.511993pt,8.184587pt" stroked="true" strokeweight=".5pt" strokecolor="#000000">
            <v:stroke dashstyle="solid"/>
            <w10:wrap type="none"/>
          </v:line>
        </w:pict>
      </w:r>
      <w:r>
        <w:rPr>
          <w:color w:val="231F20"/>
          <w:sz w:val="12"/>
        </w:rPr>
        <w:t>5</w:t>
      </w:r>
    </w:p>
    <w:p>
      <w:pPr>
        <w:spacing w:line="136" w:lineRule="exact" w:before="0"/>
        <w:ind w:left="0" w:right="2465" w:firstLine="0"/>
        <w:jc w:val="center"/>
        <w:rPr>
          <w:sz w:val="12"/>
        </w:rPr>
      </w:pPr>
      <w:r>
        <w:rPr/>
        <w:pict>
          <v:line style="position:absolute;mso-position-horizontal-relative:page;mso-position-vertical-relative:paragraph;z-index:16293888" from="43.012001pt,4.350965pt" to="47.512001pt,4.350965pt" stroked="true" strokeweight=".5pt" strokecolor="#000000">
            <v:stroke dashstyle="solid"/>
            <w10:wrap type="none"/>
          </v:line>
        </w:pict>
      </w:r>
      <w:r>
        <w:rPr/>
        <w:pict>
          <v:line style="position:absolute;mso-position-horizontal-relative:page;mso-position-vertical-relative:paragraph;z-index:16295424" from="231.011993pt,4.350965pt" to="226.511993pt,4.350965pt" stroked="true" strokeweight=".5pt" strokecolor="#000000">
            <v:stroke dashstyle="solid"/>
            <w10:wrap type="none"/>
          </v:line>
        </w:pict>
      </w:r>
      <w:r>
        <w:rPr>
          <w:color w:val="231F20"/>
          <w:sz w:val="12"/>
        </w:rPr>
        <w:t>4</w:t>
      </w:r>
    </w:p>
    <w:p>
      <w:pPr>
        <w:pStyle w:val="BodyText"/>
        <w:spacing w:before="1"/>
        <w:rPr>
          <w:sz w:val="12"/>
        </w:rPr>
      </w:pPr>
    </w:p>
    <w:p>
      <w:pPr>
        <w:spacing w:before="0"/>
        <w:ind w:left="0" w:right="1671" w:firstLine="0"/>
        <w:jc w:val="right"/>
        <w:rPr>
          <w:sz w:val="12"/>
        </w:rPr>
      </w:pPr>
      <w:r>
        <w:rPr/>
        <w:pict>
          <v:group style="position:absolute;margin-left:42.887001pt;margin-top:-1.632458pt;width:188.15pt;height:74.05pt;mso-position-horizontal-relative:page;mso-position-vertical-relative:paragraph;z-index:16291328" coordorigin="858,-33" coordsize="3763,1481">
            <v:shape style="position:absolute;left:3362;top:-33;width:1118;height:1481" coordorigin="3363,-33" coordsize="1118,1481" path="m4356,-33l4232,20,4108,89,3984,205,3859,418,3735,584,3611,680,3487,826,3363,871,3487,1151,3611,1221,3735,1342,3859,1392,3984,1288,4108,1251,4232,1298,4356,1364,4480,1448,4480,-27,4356,-33xe" filled="true" fillcolor="#fee7de" stroked="false">
              <v:path arrowok="t"/>
              <v:fill type="solid"/>
            </v:shape>
            <v:shape style="position:absolute;left:3362;top:140;width:1118;height:1170" coordorigin="3363,140" coordsize="1118,1170" path="m4356,140l4232,175,4108,228,3984,331,3859,532,3735,673,3611,743,3487,864,3363,871,3487,1118,3611,1167,3735,1266,3859,1294,3984,1178,4108,1135,4232,1175,4356,1231,4480,1309,4480,157,4356,140xe" filled="true" fillcolor="#fcd3c4" stroked="false">
              <v:path arrowok="t"/>
              <v:fill type="solid"/>
            </v:shape>
            <v:shape style="position:absolute;left:3362;top:255;width:1118;height:977" coordorigin="3363,256" coordsize="1118,977" path="m4356,256l4232,282,4108,326,3984,424,3859,615,3735,738,3611,790,3487,892,3363,872,3487,1098,3611,1132,3735,1218,3859,1232,3984,1109,4108,1061,4232,1092,4356,1139,4480,1212,4480,279,4356,256xe" filled="true" fillcolor="#fabeac" stroked="false">
              <v:path arrowok="t"/>
              <v:fill type="solid"/>
            </v:shape>
            <v:shape style="position:absolute;left:3362;top:352;width:1118;height:828" coordorigin="3363,353" coordsize="1118,828" path="m4356,353l4232,369,4108,402,3984,493,3859,677,3735,786,3611,824,3487,913,3363,872,3487,1081,3611,1104,3735,1177,3859,1180,3984,1052,4108,1000,4232,1025,4356,1068,4480,1137,4480,383,4356,353xe" filled="true" fillcolor="#f8aa95" stroked="false">
              <v:path arrowok="t"/>
              <v:fill type="solid"/>
            </v:shape>
            <v:shape style="position:absolute;left:3362;top:430;width:1118;height:712" coordorigin="3363,431" coordsize="1118,712" path="m4356,431l4232,442,4108,470,3984,558,3859,736,3735,832,3611,857,3487,933,3363,873,3487,1066,3611,1079,3735,1142,3859,1135,3984,1001,4108,946,4232,966,4356,1003,4480,1069,4480,464,4356,431xe" filled="true" fillcolor="#f69780" stroked="false">
              <v:path arrowok="t"/>
              <v:fill type="solid"/>
            </v:shape>
            <v:shape style="position:absolute;left:3362;top:503;width:1118;height:612" coordorigin="3363,504" coordsize="1118,612" path="m4356,504l4232,510,4108,533,3984,617,3859,789,3735,874,3611,887,3487,952,3363,874,3487,1056,3611,1060,3735,1115,3859,1100,3984,962,4108,903,4232,918,4356,951,4480,1013,4480,541,4356,504xe" filled="true" fillcolor="#f5846d" stroked="false">
              <v:path arrowok="t"/>
              <v:fill type="solid"/>
            </v:shape>
            <v:shape style="position:absolute;left:3362;top:568;width:1118;height:518" coordorigin="3363,568" coordsize="1118,518" path="m4356,568l4232,569,4108,587,3984,667,3859,834,3735,909,3611,912,3487,966,3363,873,3487,1042,3611,1039,3735,1086,3859,1062,3984,921,4108,858,4232,868,4356,895,4480,954,4480,609,4356,568xe" filled="true" fillcolor="#f3715b" stroked="false">
              <v:path arrowok="t"/>
              <v:fill type="solid"/>
            </v:shape>
            <v:shape style="position:absolute;left:3362;top:627;width:1118;height:432" coordorigin="3363,627" coordsize="1118,432" path="m4232,627l4108,638,3984,714,3859,876,3735,942,3611,936,3487,981,3363,874,3487,1031,3611,1019,3735,1058,3859,1027,3984,881,4108,818,4232,826,4356,851,4480,909,4480,678,4356,633,4232,627xe" filled="true" fillcolor="#f15b4a" stroked="false">
              <v:path arrowok="t"/>
              <v:fill type="solid"/>
            </v:shape>
            <v:shape style="position:absolute;left:3362;top:680;width:1118;height:353" coordorigin="3363,680" coordsize="1118,353" path="m4232,680l4108,686,3984,759,3859,916,3735,972,3611,957,3487,993,3363,872,3487,1019,3611,1000,3735,1033,3859,994,3984,845,4108,778,4232,781,4356,801,4480,855,4480,740,4356,692,4232,680xe" filled="true" fillcolor="#ed1b2d" stroked="false">
              <v:path arrowok="t"/>
              <v:fill type="solid"/>
            </v:shape>
            <v:shape style="position:absolute;left:4530;top:387;width:90;height:577" coordorigin="4530,388" coordsize="90,577" path="m4620,964l4530,964m4530,388l4620,388e" filled="false" stroked="true" strokeweight=".5pt" strokecolor="#000000">
              <v:path arrowok="t"/>
              <v:stroke dashstyle="solid"/>
            </v:shape>
            <v:shape style="position:absolute;left:1002;top:425;width:249;height:107" coordorigin="1002,426" coordsize="249,107" path="m1002,507l1126,532m1251,426l1126,532e" filled="false" stroked="true" strokeweight="1pt" strokecolor="#ed1b2d">
              <v:path arrowok="t"/>
              <v:stroke dashstyle="solid"/>
            </v:shape>
            <v:line style="position:absolute" from="1241,429" to="1385,429" stroked="true" strokeweight="1.311pt" strokecolor="#ed1b2d">
              <v:stroke dashstyle="solid"/>
            </v:line>
            <v:shape style="position:absolute;left:1374;top:260;width:1490;height:398" coordorigin="1375,261" coordsize="1490,398" path="m1499,485l1375,432m1623,510l1499,485m1747,461l1623,510m1871,261l1747,461m1871,261l1995,466m1995,466l2120,642m2120,642l2244,482m2368,531l2244,482m2368,531l2492,649m2492,649l2616,396m2740,637l2616,396m2864,659l2740,637e" filled="false" stroked="true" strokeweight="1pt" strokecolor="#ed1b2d">
              <v:path arrowok="t"/>
              <v:stroke dashstyle="solid"/>
            </v:shape>
            <v:line style="position:absolute" from="2854,661" to="2999,661" stroked="true" strokeweight="1.289pt" strokecolor="#ed1b2d">
              <v:stroke dashstyle="solid"/>
            </v:line>
            <v:shape style="position:absolute;left:2988;top:664;width:249;height:202" coordorigin="2989,664" coordsize="249,202" path="m2989,664l3113,791m3237,866l3113,791e" filled="false" stroked="true" strokeweight="1pt" strokecolor="#ed1b2d">
              <v:path arrowok="t"/>
              <v:stroke dashstyle="solid"/>
            </v:shape>
            <v:line style="position:absolute" from="3227,869" to="3371,869" stroked="true" strokeweight="1.288pt" strokecolor="#ed1b2d">
              <v:stroke dashstyle="solid"/>
            </v:line>
            <v:shape style="position:absolute;left:857;top:662;width:3760;height:2" coordorigin="858,663" coordsize="3760,0" path="m858,663l948,663m4618,663l4528,663m997,663l4477,663e" filled="false" stroked="true" strokeweight=".5pt" strokecolor="#231f20">
              <v:path arrowok="t"/>
              <v:stroke dashstyle="solid"/>
            </v:shape>
            <w10:wrap type="none"/>
          </v:group>
        </w:pict>
      </w:r>
      <w:r>
        <w:rPr/>
        <w:pict>
          <v:group style="position:absolute;margin-left:285.845001pt;margin-top:2.491541pt;width:188.7pt;height:75.25pt;mso-position-horizontal-relative:page;mso-position-vertical-relative:paragraph;z-index:-21849088" coordorigin="5717,50" coordsize="3774,1505">
            <v:shape style="position:absolute;left:8218;top:125;width:1118;height:1429" coordorigin="8218,125" coordsize="1118,1429" path="m8963,125l8839,143,8715,173,8591,166,8467,193,8342,306,8218,608,8342,694,8467,970,8591,1202,8715,1404,8839,1439,8963,1457,9087,1515,9211,1554,9336,1554,9336,139,9211,139,9087,135,8963,125xe" filled="true" fillcolor="#dbeae4" stroked="false">
              <v:path arrowok="t"/>
              <v:fill type="solid"/>
            </v:shape>
            <v:shape style="position:absolute;left:8218;top:276;width:1118;height:1118" coordorigin="8218,276" coordsize="1118,1118" path="m8963,276l8839,295,8715,317,8591,287,8467,284,8342,351,8218,607,8342,655,8467,891,8591,1097,8715,1279,8839,1307,8963,1317,9087,1363,9211,1393,9336,1393,9336,286,9211,286,9087,284,8963,276xe" filled="true" fillcolor="#bfdbcf" stroked="false">
              <v:path arrowok="t"/>
              <v:fill type="solid"/>
            </v:shape>
            <v:shape style="position:absolute;left:8218;top:343;width:1118;height:933" coordorigin="8218,343" coordsize="1118,933" path="m8467,343l8342,380,8218,605,8342,625,8467,835,8591,1022,8715,1191,8839,1214,8963,1217,9087,1253,9211,1276,9336,1276,9336,383,9211,383,9087,382,8963,376,8839,395,8715,413,8591,367,8467,343xe" filled="true" fillcolor="#a4cdbd" stroked="false">
              <v:path arrowok="t"/>
              <v:fill type="solid"/>
            </v:shape>
            <v:shape style="position:absolute;left:8218;top:393;width:1118;height:797" coordorigin="8218,394" coordsize="1118,797" path="m8467,394l8342,405,8218,606,8342,604,8467,791,8591,964,8715,1121,8839,1141,8963,1140,9087,1171,9211,1190,9336,1190,9336,462,9211,462,9087,463,8963,458,8839,479,8715,492,8591,434,8467,394xe" filled="true" fillcolor="#8abfab" stroked="false">
              <v:path arrowok="t"/>
              <v:fill type="solid"/>
            </v:shape>
            <v:shape style="position:absolute;left:8218;top:426;width:1118;height:686" coordorigin="8218,427" coordsize="1118,686" path="m8342,427l8218,606,8342,586,8467,755,8591,915,8715,1063,8839,1080,8963,1073,9087,1098,9211,1113,9336,1113,9336,528,9211,528,9087,530,8963,527,8839,549,8715,559,8591,490,8467,436,8342,427xe" filled="true" fillcolor="#6fb39a" stroked="false">
              <v:path arrowok="t"/>
              <v:fill type="solid"/>
            </v:shape>
            <v:shape style="position:absolute;left:8218;top:445;width:1118;height:598" coordorigin="8218,446" coordsize="1118,598" path="m8342,446l8218,607,8342,571,8467,723,8591,873,8715,1013,8839,1027,8963,1016,9087,1034,9211,1043,9336,1043,9336,591,9211,591,9087,592,8963,589,8839,611,8715,618,8591,541,8467,474,8342,446xe" filled="true" fillcolor="#53a78b" stroked="false">
              <v:path arrowok="t"/>
              <v:fill type="solid"/>
            </v:shape>
            <v:shape style="position:absolute;left:8218;top:466;width:1118;height:518" coordorigin="8218,466" coordsize="1118,518" path="m8342,466l8218,609,8342,557,8467,695,8591,835,8715,968,8839,979,8963,964,9087,977,9211,983,9336,983,9336,650,9211,650,9087,653,8963,651,8839,675,8715,679,8591,592,8467,513,8342,466xe" filled="true" fillcolor="#309d7d" stroked="false">
              <v:path arrowok="t"/>
              <v:fill type="solid"/>
            </v:shape>
            <v:shape style="position:absolute;left:8218;top:480;width:1118;height:448" coordorigin="8218,481" coordsize="1118,448" path="m8342,481l8218,608,8342,541,8467,664,8591,794,8715,920,8839,928,8963,910,9087,918,9211,920,9336,920,9336,702,9211,702,9087,705,8963,703,8839,727,8715,728,8591,633,8467,543,8342,481xe" filled="true" fillcolor="#00936f" stroked="false">
              <v:path arrowok="t"/>
              <v:fill type="solid"/>
            </v:shape>
            <v:shape style="position:absolute;left:8218;top:493;width:1118;height:387" coordorigin="8218,494" coordsize="1118,387" path="m8342,494l8218,605,8342,525,8467,634,8591,755,8715,874,8839,880,8963,858,9087,861,9211,860,9336,860,9336,749,9211,749,9087,753,8963,753,8839,777,8715,776,8591,673,8467,573,8342,494xe" filled="true" fillcolor="#008256" stroked="false">
              <v:path arrowok="t"/>
              <v:fill type="solid"/>
            </v:shape>
            <v:shape style="position:absolute;left:5716;top:68;width:3774;height:1235" coordorigin="5717,69" coordsize="3774,1235" path="m9400,1303l9490,1303m9400,892l9490,892m9490,480l9400,480m9490,69l9400,69m5807,480l5717,480m5807,69l5717,69e" filled="false" stroked="true" strokeweight=".5pt" strokecolor="#000000">
              <v:path arrowok="t"/>
              <v:stroke dashstyle="solid"/>
            </v:shape>
            <v:shape style="position:absolute;left:5858;top:59;width:2359;height:1068" coordorigin="5859,60" coordsize="2359,1068" path="m5859,60l5983,429m6107,832l5983,429m6231,920l6107,832m6356,772l6231,920m6480,711l6356,772m6604,642l6480,711m6604,642l6728,527m6852,406l6728,527m6852,406l6976,264m7100,112l6976,264m7100,112l7224,297m7224,297l7349,579m7349,579l7473,700m7597,917l7473,700m7721,1099l7597,917m7845,1127l7721,1099m7969,1057l7845,1127m7969,1057l8093,932m8093,932l8218,608e" filled="false" stroked="true" strokeweight="1pt" strokecolor="#008256">
              <v:path arrowok="t"/>
              <v:stroke dashstyle="solid"/>
            </v:shape>
            <w10:wrap type="none"/>
          </v:group>
        </w:pict>
      </w:r>
      <w:r>
        <w:rPr>
          <w:color w:val="231F20"/>
          <w:sz w:val="12"/>
        </w:rPr>
        <w:t>4</w:t>
      </w:r>
    </w:p>
    <w:p>
      <w:pPr>
        <w:pStyle w:val="BodyText"/>
        <w:spacing w:before="8"/>
        <w:rPr>
          <w:sz w:val="15"/>
        </w:rPr>
      </w:pPr>
    </w:p>
    <w:p>
      <w:pPr>
        <w:spacing w:line="115" w:lineRule="exact" w:before="1"/>
        <w:ind w:left="0" w:right="2465" w:firstLine="0"/>
        <w:jc w:val="center"/>
        <w:rPr>
          <w:sz w:val="12"/>
        </w:rPr>
      </w:pPr>
      <w:r>
        <w:rPr/>
        <w:pict>
          <v:line style="position:absolute;mso-position-horizontal-relative:page;mso-position-vertical-relative:paragraph;z-index:16293376" from="43.012001pt,3.487135pt" to="47.512001pt,3.487135pt" stroked="true" strokeweight=".5pt" strokecolor="#000000">
            <v:stroke dashstyle="solid"/>
            <w10:wrap type="none"/>
          </v:line>
        </w:pict>
      </w:r>
      <w:r>
        <w:rPr>
          <w:color w:val="231F20"/>
          <w:sz w:val="12"/>
        </w:rPr>
        <w:t>3</w:t>
      </w:r>
    </w:p>
    <w:p>
      <w:pPr>
        <w:spacing w:line="115" w:lineRule="exact" w:before="0"/>
        <w:ind w:left="7232" w:right="0" w:firstLine="0"/>
        <w:jc w:val="center"/>
        <w:rPr>
          <w:sz w:val="12"/>
        </w:rPr>
      </w:pPr>
      <w:r>
        <w:rPr>
          <w:color w:val="231F20"/>
          <w:sz w:val="12"/>
        </w:rPr>
        <w:t>3</w:t>
      </w:r>
    </w:p>
    <w:p>
      <w:pPr>
        <w:spacing w:before="49"/>
        <w:ind w:left="1495" w:right="3887" w:firstLine="0"/>
        <w:jc w:val="center"/>
        <w:rPr>
          <w:sz w:val="12"/>
        </w:rPr>
      </w:pPr>
      <w:r>
        <w:rPr>
          <w:color w:val="231F20"/>
          <w:sz w:val="12"/>
        </w:rPr>
        <w:t>2.5</w:t>
      </w:r>
    </w:p>
    <w:p>
      <w:pPr>
        <w:tabs>
          <w:tab w:pos="8906" w:val="left" w:leader="none"/>
        </w:tabs>
        <w:spacing w:before="86"/>
        <w:ind w:left="4056" w:right="0" w:firstLine="0"/>
        <w:jc w:val="left"/>
        <w:rPr>
          <w:sz w:val="12"/>
        </w:rPr>
      </w:pPr>
      <w:r>
        <w:rPr/>
        <w:pict>
          <v:line style="position:absolute;mso-position-horizontal-relative:page;mso-position-vertical-relative:paragraph;z-index:16292864" from="47.512001pt,11.351574pt" to="43.012001pt,11.351574pt" stroked="true" strokeweight=".5pt" strokecolor="#000000">
            <v:stroke dashstyle="solid"/>
            <w10:wrap type="none"/>
          </v:line>
        </w:pict>
      </w:r>
      <w:r>
        <w:rPr/>
        <w:pict>
          <v:line style="position:absolute;mso-position-horizontal-relative:page;mso-position-vertical-relative:paragraph;z-index:-21847040" from="285.845001pt,7.735574pt" to="290.345001pt,7.735574pt" stroked="true" strokeweight=".5pt" strokecolor="#000000">
            <v:stroke dashstyle="solid"/>
            <w10:wrap type="none"/>
          </v:line>
        </w:pict>
      </w:r>
      <w:r>
        <w:rPr>
          <w:color w:val="231F20"/>
          <w:position w:val="-4"/>
          <w:sz w:val="12"/>
        </w:rPr>
        <w:t>2</w:t>
        <w:tab/>
      </w:r>
      <w:r>
        <w:rPr>
          <w:color w:val="231F20"/>
          <w:sz w:val="12"/>
        </w:rPr>
        <w:t>2</w:t>
      </w:r>
    </w:p>
    <w:p>
      <w:pPr>
        <w:pStyle w:val="BodyText"/>
        <w:spacing w:before="2"/>
        <w:rPr>
          <w:sz w:val="11"/>
        </w:rPr>
      </w:pPr>
    </w:p>
    <w:p>
      <w:pPr>
        <w:spacing w:after="0"/>
        <w:rPr>
          <w:sz w:val="11"/>
        </w:rPr>
        <w:sectPr>
          <w:type w:val="continuous"/>
          <w:pgSz w:w="11900" w:h="16840"/>
          <w:pgMar w:top="1220" w:bottom="280" w:left="620" w:right="640"/>
        </w:sectPr>
      </w:pPr>
    </w:p>
    <w:p>
      <w:pPr>
        <w:pStyle w:val="BodyText"/>
        <w:rPr>
          <w:sz w:val="12"/>
        </w:rPr>
      </w:pPr>
    </w:p>
    <w:p>
      <w:pPr>
        <w:pStyle w:val="BodyText"/>
        <w:spacing w:before="10"/>
        <w:rPr>
          <w:sz w:val="16"/>
        </w:rPr>
      </w:pPr>
    </w:p>
    <w:p>
      <w:pPr>
        <w:spacing w:before="0"/>
        <w:ind w:left="4056" w:right="0" w:firstLine="0"/>
        <w:jc w:val="left"/>
        <w:rPr>
          <w:sz w:val="12"/>
        </w:rPr>
      </w:pPr>
      <w:r>
        <w:rPr/>
        <w:pict>
          <v:line style="position:absolute;mso-position-horizontal-relative:page;mso-position-vertical-relative:paragraph;z-index:16292352" from="47.512001pt,3.436939pt" to="43.012001pt,3.436939pt" stroked="true" strokeweight=".5pt" strokecolor="#000000">
            <v:stroke dashstyle="solid"/>
            <w10:wrap type="none"/>
          </v:line>
        </w:pict>
      </w:r>
      <w:r>
        <w:rPr/>
        <w:pict>
          <v:line style="position:absolute;mso-position-horizontal-relative:page;mso-position-vertical-relative:paragraph;z-index:16294912" from="226.511993pt,3.436939pt" to="231.011993pt,3.436939pt" stroked="true" strokeweight=".5pt" strokecolor="#000000">
            <v:stroke dashstyle="solid"/>
            <w10:wrap type="none"/>
          </v:line>
        </w:pict>
      </w:r>
      <w:r>
        <w:rPr>
          <w:color w:val="231F20"/>
          <w:sz w:val="12"/>
        </w:rPr>
        <w:t>1</w:t>
      </w:r>
    </w:p>
    <w:p>
      <w:pPr>
        <w:pStyle w:val="BodyText"/>
        <w:rPr>
          <w:sz w:val="12"/>
        </w:rPr>
      </w:pPr>
    </w:p>
    <w:p>
      <w:pPr>
        <w:pStyle w:val="BodyText"/>
        <w:rPr>
          <w:sz w:val="12"/>
        </w:rPr>
      </w:pPr>
    </w:p>
    <w:p>
      <w:pPr>
        <w:pStyle w:val="BodyText"/>
        <w:spacing w:before="1"/>
        <w:rPr>
          <w:sz w:val="14"/>
        </w:rPr>
      </w:pPr>
    </w:p>
    <w:p>
      <w:pPr>
        <w:spacing w:line="124" w:lineRule="exact" w:before="0"/>
        <w:ind w:left="4056" w:right="0" w:firstLine="0"/>
        <w:jc w:val="left"/>
        <w:rPr>
          <w:sz w:val="12"/>
        </w:rPr>
      </w:pPr>
      <w:r>
        <w:rPr/>
        <w:pict>
          <v:shape style="position:absolute;margin-left:43.012001pt;margin-top:-2.312439pt;width:188pt;height:5.75pt;mso-position-horizontal-relative:page;mso-position-vertical-relative:paragraph;z-index:16291840" coordorigin="860,-46" coordsize="3760,115" path="m4477,69l997,69m1002,-45l1002,66m1126,-3l1126,69m1251,69l1251,-3m1375,69l1375,-3m1499,66l1499,-45m1623,69l1623,-3m1747,69l1747,-3m1871,-3l1871,69m1995,-45l1995,64m2120,-3l2120,69m2244,69l2244,-3m2368,-3l2368,69m2492,-45l2492,66m2616,-3l2616,69m2740,69l2740,-3m2864,69l2864,-3m2989,-45l2989,66m3113,-3l3113,69m3237,69l3237,-3m3361,69l3361,-3m3485,66l3485,-45m3609,69l3609,-3m3733,-3l3733,69m3857,-3l3857,69m3982,66l3982,-45m4106,-3l4106,69m4230,69l4230,-3m4354,69l4354,-3m4478,69l4478,-46m950,69l860,69m4530,69l4620,69e" filled="false" stroked="true" strokeweight=".5pt" strokecolor="#000000">
            <v:path arrowok="t"/>
            <v:stroke dashstyle="solid"/>
            <w10:wrap type="none"/>
          </v:shape>
        </w:pict>
      </w:r>
      <w:r>
        <w:rPr>
          <w:color w:val="231F20"/>
          <w:sz w:val="12"/>
        </w:rPr>
        <w:t>0</w:t>
      </w:r>
    </w:p>
    <w:p>
      <w:pPr>
        <w:tabs>
          <w:tab w:pos="1056" w:val="left" w:leader="none"/>
          <w:tab w:pos="1570" w:val="left" w:leader="none"/>
          <w:tab w:pos="2056" w:val="left" w:leader="none"/>
          <w:tab w:pos="2556" w:val="left" w:leader="none"/>
          <w:tab w:pos="2976" w:val="left" w:leader="none"/>
          <w:tab w:pos="3550" w:val="left" w:leader="none"/>
        </w:tabs>
        <w:spacing w:line="124" w:lineRule="exact" w:before="0"/>
        <w:ind w:left="496" w:right="0" w:firstLine="0"/>
        <w:jc w:val="left"/>
        <w:rPr>
          <w:sz w:val="12"/>
        </w:rPr>
      </w:pPr>
      <w:r>
        <w:rPr>
          <w:color w:val="231F20"/>
          <w:sz w:val="12"/>
        </w:rPr>
        <w:t>1995</w:t>
        <w:tab/>
        <w:t>96</w:t>
        <w:tab/>
        <w:t>97</w:t>
        <w:tab/>
        <w:t>98</w:t>
        <w:tab/>
        <w:t>99</w:t>
        <w:tab/>
        <w:t>2000</w:t>
        <w:tab/>
        <w:t>01</w:t>
      </w:r>
      <w:r>
        <w:rPr>
          <w:color w:val="231F20"/>
          <w:spacing w:val="2"/>
          <w:sz w:val="12"/>
        </w:rPr>
        <w:t> </w:t>
      </w:r>
      <w:r>
        <w:rPr>
          <w:color w:val="231F20"/>
          <w:sz w:val="12"/>
        </w:rPr>
        <w:t>02</w:t>
      </w:r>
    </w:p>
    <w:p>
      <w:pPr>
        <w:spacing w:before="95"/>
        <w:ind w:left="4036" w:right="0" w:firstLine="0"/>
        <w:jc w:val="left"/>
        <w:rPr>
          <w:sz w:val="12"/>
        </w:rPr>
      </w:pPr>
      <w:r>
        <w:rPr/>
        <w:br w:type="column"/>
      </w:r>
      <w:r>
        <w:rPr>
          <w:color w:val="231F20"/>
          <w:sz w:val="12"/>
        </w:rPr>
        <w:t>1</w:t>
      </w:r>
    </w:p>
    <w:p>
      <w:pPr>
        <w:spacing w:before="35"/>
        <w:ind w:left="4003" w:right="0" w:firstLine="0"/>
        <w:jc w:val="left"/>
        <w:rPr>
          <w:sz w:val="16"/>
        </w:rPr>
      </w:pPr>
      <w:r>
        <w:rPr/>
        <w:pict>
          <v:line style="position:absolute;mso-position-horizontal-relative:page;mso-position-vertical-relative:paragraph;z-index:16297472" from="285.845001pt,-3.467242pt" to="290.345001pt,-3.467242pt" stroked="true" strokeweight=".5pt" strokecolor="#000000">
            <v:stroke dashstyle="solid"/>
            <w10:wrap type="none"/>
          </v:line>
        </w:pict>
      </w:r>
      <w:r>
        <w:rPr>
          <w:color w:val="231F20"/>
          <w:sz w:val="16"/>
        </w:rPr>
        <w:t>+</w:t>
      </w:r>
    </w:p>
    <w:p>
      <w:pPr>
        <w:spacing w:before="55"/>
        <w:ind w:left="4036" w:right="0" w:firstLine="0"/>
        <w:jc w:val="left"/>
        <w:rPr>
          <w:sz w:val="12"/>
        </w:rPr>
      </w:pPr>
      <w:r>
        <w:rPr/>
        <w:pict>
          <v:group style="position:absolute;margin-left:285.845001pt;margin-top:5.841545pt;width:188.7pt;height:.6pt;mso-position-horizontal-relative:page;mso-position-vertical-relative:paragraph;z-index:16296960" coordorigin="5717,117" coordsize="3774,12">
            <v:shape style="position:absolute;left:5716;top:123;width:3774;height:2" coordorigin="5717,124" coordsize="3774,0" path="m5807,124l5717,124m9490,124l9400,124e" filled="false" stroked="true" strokeweight=".5pt" strokecolor="#000000">
              <v:path arrowok="t"/>
              <v:stroke dashstyle="solid"/>
            </v:shape>
            <v:line style="position:absolute" from="5854,122" to="9334,122" stroked="true" strokeweight=".5pt" strokecolor="#231f20">
              <v:stroke dashstyle="solid"/>
            </v:line>
            <w10:wrap type="none"/>
          </v:group>
        </w:pict>
      </w:r>
      <w:r>
        <w:rPr>
          <w:color w:val="231F20"/>
          <w:sz w:val="12"/>
        </w:rPr>
        <w:t>0</w:t>
      </w:r>
    </w:p>
    <w:p>
      <w:pPr>
        <w:spacing w:before="3"/>
        <w:ind w:left="4013" w:right="0" w:firstLine="0"/>
        <w:jc w:val="left"/>
        <w:rPr>
          <w:sz w:val="16"/>
        </w:rPr>
      </w:pPr>
      <w:r>
        <w:rPr/>
        <w:pict>
          <v:shape style="position:absolute;margin-left:285.78299pt;margin-top:11.326757pt;width:188.9pt;height:5.85pt;mso-position-horizontal-relative:page;mso-position-vertical-relative:paragraph;z-index:16296448" coordorigin="5716,227" coordsize="3778,117" path="m5854,342l9334,342m5859,342l5859,227m5983,270l5983,342m6107,270l6107,342m6231,270l6231,342m6355,228l6355,342m6480,342l6480,270m6604,342l6604,270m6728,342l6728,270m6852,342l6852,228m6976,342l6976,270m7100,342l7100,270m7224,270l7224,342m7349,228l7349,342m7473,270l7473,342m7597,270l7597,342m7721,342l7721,270m7845,342l7845,228m7969,270l7969,342m8093,342l8093,270m8218,342l8218,270m8342,342l8342,228m8466,342l8466,270m8590,342l8590,270m8714,342l8714,270m8838,342l8838,228m8962,270l8962,342m9087,270l9087,342m9211,342l9211,270m9335,342l9335,227m5806,343l5716,343m9399,342l9494,342e" filled="false" stroked="true" strokeweight=".5pt" strokecolor="#000000">
            <v:path arrowok="t"/>
            <v:stroke dashstyle="solid"/>
            <w10:wrap type="none"/>
          </v:shape>
        </w:pict>
      </w:r>
      <w:r>
        <w:rPr>
          <w:color w:val="231F20"/>
          <w:sz w:val="16"/>
        </w:rPr>
        <w:t>–</w:t>
      </w:r>
    </w:p>
    <w:p>
      <w:pPr>
        <w:spacing w:line="121" w:lineRule="exact" w:before="86"/>
        <w:ind w:left="4036" w:right="0" w:firstLine="0"/>
        <w:jc w:val="left"/>
        <w:rPr>
          <w:sz w:val="12"/>
        </w:rPr>
      </w:pPr>
      <w:r>
        <w:rPr>
          <w:color w:val="231F20"/>
          <w:sz w:val="12"/>
        </w:rPr>
        <w:t>1</w:t>
      </w:r>
    </w:p>
    <w:p>
      <w:pPr>
        <w:tabs>
          <w:tab w:pos="1056" w:val="left" w:leader="none"/>
          <w:tab w:pos="1556" w:val="left" w:leader="none"/>
          <w:tab w:pos="2050" w:val="left" w:leader="none"/>
          <w:tab w:pos="2536" w:val="left" w:leader="none"/>
          <w:tab w:pos="2970" w:val="left" w:leader="none"/>
          <w:tab w:pos="3523" w:val="left" w:leader="none"/>
        </w:tabs>
        <w:spacing w:line="121" w:lineRule="exact" w:before="0"/>
        <w:ind w:left="496" w:right="0" w:firstLine="0"/>
        <w:jc w:val="left"/>
        <w:rPr>
          <w:sz w:val="12"/>
        </w:rPr>
      </w:pPr>
      <w:r>
        <w:rPr>
          <w:color w:val="231F20"/>
          <w:sz w:val="12"/>
        </w:rPr>
        <w:t>1995</w:t>
        <w:tab/>
        <w:t>96</w:t>
        <w:tab/>
        <w:t>97</w:t>
        <w:tab/>
        <w:t>98</w:t>
        <w:tab/>
        <w:t>99</w:t>
        <w:tab/>
        <w:t>2000</w:t>
        <w:tab/>
        <w:t>01</w:t>
      </w:r>
      <w:r>
        <w:rPr>
          <w:color w:val="231F20"/>
          <w:spacing w:val="14"/>
          <w:sz w:val="12"/>
        </w:rPr>
        <w:t> </w:t>
      </w:r>
      <w:r>
        <w:rPr>
          <w:color w:val="231F20"/>
          <w:sz w:val="12"/>
        </w:rPr>
        <w:t>02</w:t>
      </w:r>
    </w:p>
    <w:p>
      <w:pPr>
        <w:spacing w:after="0" w:line="121" w:lineRule="exact"/>
        <w:jc w:val="left"/>
        <w:rPr>
          <w:sz w:val="12"/>
        </w:rPr>
        <w:sectPr>
          <w:type w:val="continuous"/>
          <w:pgSz w:w="11900" w:h="16840"/>
          <w:pgMar w:top="1220" w:bottom="280" w:left="620" w:right="640"/>
          <w:cols w:num="2" w:equalWidth="0">
            <w:col w:w="4157" w:space="713"/>
            <w:col w:w="5770"/>
          </w:cols>
        </w:sectPr>
      </w:pPr>
    </w:p>
    <w:p>
      <w:pPr>
        <w:pStyle w:val="BodyText"/>
        <w:rPr>
          <w:sz w:val="20"/>
        </w:rPr>
      </w:pPr>
    </w:p>
    <w:p>
      <w:pPr>
        <w:spacing w:after="0"/>
        <w:rPr>
          <w:sz w:val="20"/>
        </w:rPr>
        <w:sectPr>
          <w:type w:val="continuous"/>
          <w:pgSz w:w="11900" w:h="16840"/>
          <w:pgMar w:top="1220" w:bottom="280" w:left="620" w:right="640"/>
        </w:sectPr>
      </w:pPr>
    </w:p>
    <w:p>
      <w:pPr>
        <w:pStyle w:val="BodyText"/>
        <w:spacing w:before="8"/>
      </w:pPr>
    </w:p>
    <w:p>
      <w:pPr>
        <w:pStyle w:val="Heading9"/>
        <w:spacing w:before="0"/>
        <w:ind w:left="194"/>
      </w:pPr>
      <w:r>
        <w:rPr>
          <w:color w:val="0093C1"/>
        </w:rPr>
        <w:t>Chart 6.8</w:t>
      </w:r>
    </w:p>
    <w:p>
      <w:pPr>
        <w:spacing w:line="249" w:lineRule="auto" w:before="10"/>
        <w:ind w:left="194" w:right="21" w:firstLine="0"/>
        <w:jc w:val="left"/>
        <w:rPr>
          <w:b/>
          <w:sz w:val="20"/>
        </w:rPr>
      </w:pPr>
      <w:r>
        <w:rPr>
          <w:b/>
          <w:color w:val="0093C1"/>
          <w:sz w:val="20"/>
        </w:rPr>
        <w:t>Distribution of RPIX inflation forecasts for 2002 Q1</w:t>
      </w:r>
    </w:p>
    <w:p>
      <w:pPr>
        <w:spacing w:line="39" w:lineRule="exact" w:before="83"/>
        <w:ind w:left="0" w:right="209" w:firstLine="0"/>
        <w:jc w:val="right"/>
        <w:rPr>
          <w:sz w:val="12"/>
        </w:rPr>
      </w:pPr>
      <w:r>
        <w:rPr>
          <w:color w:val="231F20"/>
          <w:sz w:val="12"/>
        </w:rPr>
        <w:t>Number of forecasts</w:t>
      </w:r>
    </w:p>
    <w:p>
      <w:pPr>
        <w:pStyle w:val="Heading6"/>
        <w:spacing w:line="242" w:lineRule="auto" w:before="205"/>
        <w:ind w:left="194" w:right="472"/>
        <w:jc w:val="both"/>
      </w:pPr>
      <w:r>
        <w:rPr/>
        <w:br w:type="column"/>
      </w:r>
      <w:r>
        <w:rPr>
          <w:color w:val="231F20"/>
        </w:rPr>
        <w:t>the constant interest rate projection, the exchange rate changes fully in line with the revised path for interest rate differentials. That is uncertain. Should the</w:t>
      </w:r>
    </w:p>
    <w:p>
      <w:pPr>
        <w:spacing w:after="0" w:line="242" w:lineRule="auto"/>
        <w:jc w:val="both"/>
        <w:sectPr>
          <w:type w:val="continuous"/>
          <w:pgSz w:w="11900" w:h="16840"/>
          <w:pgMar w:top="1220" w:bottom="280" w:left="620" w:right="640"/>
          <w:cols w:num="2" w:equalWidth="0">
            <w:col w:w="3613" w:space="1187"/>
            <w:col w:w="5840"/>
          </w:cols>
        </w:sectPr>
      </w:pPr>
    </w:p>
    <w:p>
      <w:pPr>
        <w:tabs>
          <w:tab w:pos="4994" w:val="left" w:leader="none"/>
        </w:tabs>
        <w:spacing w:line="266" w:lineRule="exact" w:before="0"/>
        <w:ind w:left="3426" w:right="0" w:firstLine="0"/>
        <w:jc w:val="left"/>
        <w:rPr>
          <w:sz w:val="24"/>
        </w:rPr>
      </w:pPr>
      <w:r>
        <w:rPr/>
        <w:pict>
          <v:line style="position:absolute;mso-position-horizontal-relative:page;mso-position-vertical-relative:paragraph;z-index:16303104" from="42.637001pt,6.910338pt" to="46.387001pt,6.910338pt" stroked="true" strokeweight=".5pt" strokecolor="#231f20">
            <v:stroke dashstyle="solid"/>
            <w10:wrap type="none"/>
          </v:line>
        </w:pict>
      </w:r>
      <w:r>
        <w:rPr/>
        <w:pict>
          <v:line style="position:absolute;mso-position-horizontal-relative:page;mso-position-vertical-relative:paragraph;z-index:16307200" from="197.845001pt,6.910338pt" to="201.595001pt,6.910338pt" stroked="true" strokeweight=".5pt" strokecolor="#231f20">
            <v:stroke dashstyle="solid"/>
            <w10:wrap type="none"/>
          </v:line>
        </w:pict>
      </w:r>
      <w:r>
        <w:rPr>
          <w:color w:val="231F20"/>
          <w:position w:val="4"/>
          <w:sz w:val="12"/>
        </w:rPr>
        <w:t>16</w:t>
        <w:tab/>
      </w:r>
      <w:r>
        <w:rPr>
          <w:color w:val="231F20"/>
          <w:sz w:val="24"/>
        </w:rPr>
        <w:t>exchange rate move by less, as some Committee</w:t>
      </w:r>
    </w:p>
    <w:p>
      <w:pPr>
        <w:tabs>
          <w:tab w:pos="4994" w:val="left" w:leader="none"/>
        </w:tabs>
        <w:spacing w:line="242" w:lineRule="auto" w:before="4"/>
        <w:ind w:left="4994" w:right="266" w:hanging="1569"/>
        <w:jc w:val="left"/>
        <w:rPr>
          <w:sz w:val="24"/>
        </w:rPr>
      </w:pPr>
      <w:r>
        <w:rPr/>
        <w:pict>
          <v:line style="position:absolute;mso-position-horizontal-relative:page;mso-position-vertical-relative:paragraph;z-index:16300544" from="42.637001pt,11.212516pt" to="46.387001pt,11.212516pt" stroked="true" strokeweight=".5pt" strokecolor="#231f20">
            <v:stroke dashstyle="solid"/>
            <w10:wrap type="none"/>
          </v:line>
        </w:pict>
      </w:r>
      <w:r>
        <w:rPr/>
        <w:pict>
          <v:group style="position:absolute;margin-left:42.637001pt;margin-top:19.441517pt;width:159pt;height:120.75pt;mso-position-horizontal-relative:page;mso-position-vertical-relative:paragraph;z-index:-21843968" coordorigin="853,389" coordsize="3180,2415">
            <v:shape style="position:absolute;left:852;top:2746;width:834;height:53" coordorigin="853,2747" coordsize="834,53" path="m853,2752l928,2752m1000,2799l1000,2747m1279,2799l1279,2747m1686,2799l1686,2747m1141,2799l1141,2747m1546,2799l1546,2747m1419,2799l1419,2747e" filled="false" stroked="true" strokeweight=".5pt" strokecolor="#231f20">
              <v:path arrowok="t"/>
              <v:stroke dashstyle="solid"/>
            </v:shape>
            <v:line style="position:absolute" from="999,2748" to="1965,2748" stroked="true" strokeweight=".167pt" strokecolor="#231f20">
              <v:stroke dashstyle="solid"/>
            </v:line>
            <v:shape style="position:absolute;left:2511;top:2746;width:1521;height:53" coordorigin="2511,2747" coordsize="1521,53" path="m3957,2752l4032,2752m3891,2799l3891,2747m2789,2799l2789,2747m2649,2799l2649,2747m2511,2799l2511,2747m3206,2799l3206,2747m3066,2799l3066,2747m2929,2799l2929,2747m3474,2799l3474,2747m3344,2799l3344,2747m3751,2799l3751,2747m3611,2799l3611,2747e" filled="false" stroked="true" strokeweight=".5pt" strokecolor="#231f20">
              <v:path arrowok="t"/>
              <v:stroke dashstyle="solid"/>
            </v:shape>
            <v:shape style="position:absolute;left:2097;top:2748;width:1788;height:2" coordorigin="2097,2748" coordsize="1788,0" path="m2375,2748l3884,2748m2097,2748l2245,2748e" filled="false" stroked="true" strokeweight=".167pt" strokecolor="#231f20">
              <v:path arrowok="t"/>
              <v:stroke dashstyle="solid"/>
            </v:shape>
            <v:line style="position:absolute" from="999,2753" to="3884,2753" stroked="true" strokeweight=".167pt" strokecolor="#231f20">
              <v:stroke dashstyle="solid"/>
            </v:line>
            <v:shape style="position:absolute;left:1825;top:2750;width:548;height:54" coordorigin="1826,2750" coordsize="548,54" path="m1959,2804l1959,2751m2373,2803l2373,2750m1826,2803l1826,2750m2238,2803l2238,2750m2099,2803l2099,2750e" filled="false" stroked="true" strokeweight=".5pt" strokecolor="#231f20">
              <v:path arrowok="t"/>
              <v:stroke dashstyle="solid"/>
            </v:shape>
            <v:rect style="position:absolute;left:1827;top:2392;width:130;height:358" filled="true" fillcolor="#ed1b2d" stroked="false">
              <v:fill type="solid"/>
            </v:rect>
            <v:rect style="position:absolute;left:1827;top:2392;width:130;height:358" filled="false" stroked="true" strokeweight=".5pt" strokecolor="#231f20">
              <v:stroke dashstyle="solid"/>
            </v:rect>
            <v:rect style="position:absolute;left:1964;top:1125;width:133;height:1625" filled="true" fillcolor="#ed1b2d" stroked="false">
              <v:fill type="solid"/>
            </v:rect>
            <v:rect style="position:absolute;left:1964;top:1125;width:133;height:1625" filled="false" stroked="true" strokeweight=".5pt" strokecolor="#231f20">
              <v:stroke dashstyle="solid"/>
            </v:rect>
            <v:rect style="position:absolute;left:2104;top:393;width:130;height:2353" filled="true" fillcolor="#ed1b2d" stroked="false">
              <v:fill type="solid"/>
            </v:rect>
            <v:rect style="position:absolute;left:2104;top:393;width:130;height:2353" filled="false" stroked="true" strokeweight=".5pt" strokecolor="#231f20">
              <v:stroke dashstyle="solid"/>
            </v:rect>
            <v:rect style="position:absolute;left:2244;top:2392;width:130;height:358" filled="true" fillcolor="#ed1b2d" stroked="false">
              <v:fill type="solid"/>
            </v:rect>
            <v:rect style="position:absolute;left:2244;top:2392;width:130;height:358" filled="false" stroked="true" strokeweight=".5pt" strokecolor="#231f20">
              <v:stroke dashstyle="solid"/>
            </v:rect>
            <w10:wrap type="none"/>
          </v:group>
        </w:pict>
      </w:r>
      <w:r>
        <w:rPr/>
        <w:pict>
          <v:line style="position:absolute;mso-position-horizontal-relative:page;mso-position-vertical-relative:paragraph;z-index:16302592" from="42.637001pt,29.837517pt" to="46.387001pt,29.837517pt" stroked="true" strokeweight=".5pt" strokecolor="#231f20">
            <v:stroke dashstyle="solid"/>
            <w10:wrap type="none"/>
          </v:line>
        </w:pict>
      </w:r>
      <w:r>
        <w:rPr/>
        <w:pict>
          <v:line style="position:absolute;mso-position-horizontal-relative:page;mso-position-vertical-relative:paragraph;z-index:16303616" from="197.845001pt,11.212516pt" to="201.595001pt,11.212516pt" stroked="true" strokeweight=".5pt" strokecolor="#231f20">
            <v:stroke dashstyle="solid"/>
            <w10:wrap type="none"/>
          </v:line>
        </w:pict>
      </w:r>
      <w:r>
        <w:rPr/>
        <w:pict>
          <v:line style="position:absolute;mso-position-horizontal-relative:page;mso-position-vertical-relative:paragraph;z-index:16306688" from="197.845001pt,29.837517pt" to="201.595001pt,29.837517pt" stroked="true" strokeweight=".5pt" strokecolor="#231f20">
            <v:stroke dashstyle="solid"/>
            <w10:wrap type="none"/>
          </v:line>
        </w:pict>
      </w:r>
      <w:r>
        <w:rPr/>
        <w:pict>
          <v:shape style="position:absolute;margin-left:202.302795pt;margin-top:26.245815pt;width:6pt;height:6.65pt;mso-position-horizontal-relative:page;mso-position-vertical-relative:paragraph;z-index:-21837312" type="#_x0000_t202" filled="false" stroked="false">
            <v:textbox inset="0,0,0,0">
              <w:txbxContent>
                <w:p>
                  <w:pPr>
                    <w:spacing w:line="133" w:lineRule="exact" w:before="0"/>
                    <w:ind w:left="0" w:right="0" w:firstLine="0"/>
                    <w:jc w:val="left"/>
                    <w:rPr>
                      <w:sz w:val="12"/>
                    </w:rPr>
                  </w:pPr>
                  <w:r>
                    <w:rPr>
                      <w:color w:val="231F20"/>
                      <w:sz w:val="12"/>
                    </w:rPr>
                    <w:t>12</w:t>
                  </w:r>
                </w:p>
              </w:txbxContent>
            </v:textbox>
            <w10:wrap type="none"/>
          </v:shape>
        </w:pict>
      </w:r>
      <w:r>
        <w:rPr>
          <w:color w:val="231F20"/>
          <w:position w:val="-2"/>
          <w:sz w:val="12"/>
        </w:rPr>
        <w:t>14</w:t>
        <w:tab/>
      </w:r>
      <w:r>
        <w:rPr>
          <w:color w:val="231F20"/>
          <w:sz w:val="24"/>
        </w:rPr>
        <w:t>members judged more </w:t>
      </w:r>
      <w:r>
        <w:rPr>
          <w:color w:val="231F20"/>
          <w:spacing w:val="-3"/>
          <w:sz w:val="24"/>
        </w:rPr>
        <w:t>likely, </w:t>
      </w:r>
      <w:r>
        <w:rPr>
          <w:color w:val="231F20"/>
          <w:sz w:val="24"/>
        </w:rPr>
        <w:t>the path for output </w:t>
      </w:r>
      <w:r>
        <w:rPr>
          <w:color w:val="231F20"/>
          <w:spacing w:val="-3"/>
          <w:sz w:val="24"/>
        </w:rPr>
        <w:t>growth </w:t>
      </w:r>
      <w:r>
        <w:rPr>
          <w:color w:val="231F20"/>
          <w:sz w:val="24"/>
        </w:rPr>
        <w:t>and inflation would be rather higher than in Charts 6.6 and 6.7.</w:t>
      </w:r>
    </w:p>
    <w:p>
      <w:pPr>
        <w:spacing w:before="30"/>
        <w:ind w:left="3426" w:right="0" w:firstLine="0"/>
        <w:jc w:val="left"/>
        <w:rPr>
          <w:sz w:val="12"/>
        </w:rPr>
      </w:pPr>
      <w:r>
        <w:rPr/>
        <w:pict>
          <v:line style="position:absolute;mso-position-horizontal-relative:page;mso-position-vertical-relative:paragraph;z-index:16302080" from="42.637001pt,4.949768pt" to="46.387001pt,4.949768pt" stroked="true" strokeweight=".5pt" strokecolor="#231f20">
            <v:stroke dashstyle="solid"/>
            <w10:wrap type="none"/>
          </v:line>
        </w:pict>
      </w:r>
      <w:r>
        <w:rPr/>
        <w:pict>
          <v:line style="position:absolute;mso-position-horizontal-relative:page;mso-position-vertical-relative:paragraph;z-index:16306176" from="197.845001pt,4.949768pt" to="201.595001pt,4.949768pt" stroked="true" strokeweight=".5pt" strokecolor="#231f20">
            <v:stroke dashstyle="solid"/>
            <w10:wrap type="none"/>
          </v:line>
        </w:pict>
      </w:r>
      <w:r>
        <w:rPr>
          <w:color w:val="231F20"/>
          <w:sz w:val="12"/>
        </w:rPr>
        <w:t>10</w:t>
      </w:r>
    </w:p>
    <w:p>
      <w:pPr>
        <w:pStyle w:val="BodyText"/>
        <w:spacing w:before="7"/>
        <w:rPr>
          <w:sz w:val="11"/>
        </w:rPr>
      </w:pPr>
    </w:p>
    <w:p>
      <w:pPr>
        <w:pStyle w:val="Heading3"/>
        <w:tabs>
          <w:tab w:pos="4994" w:val="left" w:leader="none"/>
          <w:tab w:pos="8437" w:val="left" w:leader="none"/>
          <w:tab w:pos="10474" w:val="left" w:leader="none"/>
        </w:tabs>
        <w:spacing w:before="1"/>
        <w:ind w:left="3486"/>
      </w:pPr>
      <w:r>
        <w:rPr/>
        <w:pict>
          <v:line style="position:absolute;mso-position-horizontal-relative:page;mso-position-vertical-relative:paragraph;z-index:16301568" from="42.637001pt,8.681321pt" to="46.387001pt,8.681321pt" stroked="true" strokeweight=".5pt" strokecolor="#231f20">
            <v:stroke dashstyle="solid"/>
            <w10:wrap type="none"/>
          </v:line>
        </w:pict>
      </w:r>
      <w:r>
        <w:rPr/>
        <w:pict>
          <v:line style="position:absolute;mso-position-horizontal-relative:page;mso-position-vertical-relative:paragraph;z-index:16305664" from="197.845001pt,8.681321pt" to="201.595001pt,8.681321pt" stroked="true" strokeweight=".5pt" strokecolor="#231f20">
            <v:stroke dashstyle="solid"/>
            <w10:wrap type="none"/>
          </v:line>
        </w:pict>
      </w:r>
      <w:r>
        <w:rPr>
          <w:b w:val="0"/>
          <w:color w:val="231F20"/>
          <w:position w:val="5"/>
          <w:sz w:val="12"/>
        </w:rPr>
        <w:t>8</w:t>
        <w:tab/>
      </w:r>
      <w:r>
        <w:rPr>
          <w:color w:val="009483"/>
          <w:u w:val="thick" w:color="0093C1"/>
        </w:rPr>
        <w:t>6.3</w:t>
        <w:tab/>
        <w:t>Other</w:t>
      </w:r>
      <w:r>
        <w:rPr>
          <w:color w:val="009483"/>
          <w:spacing w:val="-6"/>
          <w:u w:val="thick" w:color="0093C1"/>
        </w:rPr>
        <w:t> </w:t>
      </w:r>
      <w:r>
        <w:rPr>
          <w:color w:val="009483"/>
          <w:u w:val="thick" w:color="0093C1"/>
        </w:rPr>
        <w:t>forecasts</w:t>
        <w:tab/>
      </w:r>
    </w:p>
    <w:p>
      <w:pPr>
        <w:spacing w:after="0"/>
        <w:sectPr>
          <w:type w:val="continuous"/>
          <w:pgSz w:w="11900" w:h="16840"/>
          <w:pgMar w:top="1220" w:bottom="280" w:left="620" w:right="640"/>
        </w:sectPr>
      </w:pPr>
    </w:p>
    <w:p>
      <w:pPr>
        <w:pStyle w:val="BodyText"/>
        <w:spacing w:before="5"/>
        <w:rPr>
          <w:b/>
          <w:sz w:val="17"/>
        </w:rPr>
      </w:pPr>
    </w:p>
    <w:p>
      <w:pPr>
        <w:pStyle w:val="BodyText"/>
        <w:spacing w:line="20" w:lineRule="exact"/>
        <w:ind w:left="227"/>
        <w:rPr>
          <w:sz w:val="2"/>
        </w:rPr>
      </w:pPr>
      <w:r>
        <w:rPr>
          <w:sz w:val="2"/>
        </w:rPr>
        <w:pict>
          <v:group style="width:3.75pt;height:.5pt;mso-position-horizontal-relative:char;mso-position-vertical-relative:line" coordorigin="0,0" coordsize="75,10">
            <v:line style="position:absolute" from="0,5" to="75,5" stroked="true" strokeweight=".5pt" strokecolor="#231f20">
              <v:stroke dashstyle="solid"/>
            </v:line>
          </v:group>
        </w:pict>
      </w:r>
      <w:r>
        <w:rPr>
          <w:sz w:val="2"/>
        </w:rPr>
      </w:r>
    </w:p>
    <w:p>
      <w:pPr>
        <w:pStyle w:val="BodyText"/>
        <w:spacing w:before="6"/>
        <w:rPr>
          <w:b/>
          <w:sz w:val="25"/>
        </w:rPr>
      </w:pPr>
      <w:r>
        <w:rPr/>
        <w:pict>
          <v:shape style="position:absolute;margin-left:42.637001pt;margin-top:16.875pt;width:3.75pt;height:.1pt;mso-position-horizontal-relative:page;mso-position-vertical-relative:paragraph;z-index:-15166976;mso-wrap-distance-left:0;mso-wrap-distance-right:0" coordorigin="853,338" coordsize="75,0" path="m853,338l928,338e" filled="false" stroked="true" strokeweight=".5pt" strokecolor="#231f20">
            <v:path arrowok="t"/>
            <v:stroke dashstyle="solid"/>
            <w10:wrap type="topAndBottom"/>
          </v:shape>
        </w:pict>
      </w:r>
      <w:r>
        <w:rPr/>
        <w:pict>
          <v:shape style="position:absolute;margin-left:42.637001pt;margin-top:35.396pt;width:3.75pt;height:.1pt;mso-position-horizontal-relative:page;mso-position-vertical-relative:paragraph;z-index:-15166464;mso-wrap-distance-left:0;mso-wrap-distance-right:0" coordorigin="853,708" coordsize="75,0" path="m853,708l928,708e" filled="false" stroked="true" strokeweight=".5pt" strokecolor="#231f20">
            <v:path arrowok="t"/>
            <v:stroke dashstyle="solid"/>
            <w10:wrap type="topAndBottom"/>
          </v:shape>
        </w:pict>
      </w:r>
    </w:p>
    <w:p>
      <w:pPr>
        <w:pStyle w:val="BodyText"/>
        <w:spacing w:before="4"/>
        <w:rPr>
          <w:b/>
          <w:sz w:val="25"/>
        </w:rPr>
      </w:pPr>
    </w:p>
    <w:p>
      <w:pPr>
        <w:pStyle w:val="BodyText"/>
        <w:rPr>
          <w:b/>
          <w:sz w:val="12"/>
        </w:rPr>
      </w:pPr>
    </w:p>
    <w:p>
      <w:pPr>
        <w:pStyle w:val="BodyText"/>
        <w:rPr>
          <w:b/>
          <w:sz w:val="12"/>
        </w:rPr>
      </w:pPr>
    </w:p>
    <w:p>
      <w:pPr>
        <w:pStyle w:val="BodyText"/>
        <w:spacing w:before="2"/>
        <w:rPr>
          <w:b/>
          <w:sz w:val="10"/>
        </w:rPr>
      </w:pPr>
    </w:p>
    <w:p>
      <w:pPr>
        <w:spacing w:before="0"/>
        <w:ind w:left="303" w:right="0" w:firstLine="0"/>
        <w:jc w:val="left"/>
        <w:rPr>
          <w:sz w:val="12"/>
        </w:rPr>
      </w:pPr>
      <w:r>
        <w:rPr>
          <w:color w:val="231F20"/>
          <w:sz w:val="12"/>
        </w:rPr>
        <w:t>0.0 0.6 1.2 1.8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9"/>
        </w:rPr>
      </w:pPr>
    </w:p>
    <w:p>
      <w:pPr>
        <w:spacing w:before="0"/>
        <w:ind w:left="77" w:right="0" w:firstLine="0"/>
        <w:jc w:val="left"/>
        <w:rPr>
          <w:sz w:val="12"/>
        </w:rPr>
      </w:pPr>
      <w:r>
        <w:rPr>
          <w:color w:val="231F20"/>
          <w:sz w:val="12"/>
        </w:rPr>
        <w:t>2.4</w:t>
      </w:r>
    </w:p>
    <w:p>
      <w:pPr>
        <w:pStyle w:val="BodyText"/>
        <w:spacing w:before="2"/>
        <w:rPr>
          <w:sz w:val="11"/>
        </w:rPr>
      </w:pPr>
      <w:r>
        <w:rPr/>
        <w:br w:type="column"/>
      </w:r>
      <w:r>
        <w:rPr>
          <w:sz w:val="11"/>
        </w:rPr>
      </w:r>
    </w:p>
    <w:p>
      <w:pPr>
        <w:spacing w:before="0"/>
        <w:ind w:left="1890" w:right="0" w:firstLine="0"/>
        <w:jc w:val="left"/>
        <w:rPr>
          <w:sz w:val="12"/>
        </w:rPr>
      </w:pPr>
      <w:r>
        <w:rPr>
          <w:color w:val="231F20"/>
          <w:sz w:val="12"/>
        </w:rPr>
        <w:t>6</w:t>
      </w:r>
    </w:p>
    <w:p>
      <w:pPr>
        <w:pStyle w:val="BodyText"/>
        <w:rPr>
          <w:sz w:val="12"/>
        </w:rPr>
      </w:pPr>
    </w:p>
    <w:p>
      <w:pPr>
        <w:spacing w:before="79"/>
        <w:ind w:left="1890" w:right="0" w:firstLine="0"/>
        <w:jc w:val="left"/>
        <w:rPr>
          <w:sz w:val="12"/>
        </w:rPr>
      </w:pPr>
      <w:r>
        <w:rPr/>
        <w:pict>
          <v:line style="position:absolute;mso-position-horizontal-relative:page;mso-position-vertical-relative:paragraph;z-index:16304640" from="197.845001pt,7.671073pt" to="201.595001pt,7.671073pt" stroked="true" strokeweight=".5pt" strokecolor="#231f20">
            <v:stroke dashstyle="solid"/>
            <w10:wrap type="none"/>
          </v:line>
        </w:pict>
      </w:r>
      <w:r>
        <w:rPr/>
        <w:pict>
          <v:line style="position:absolute;mso-position-horizontal-relative:page;mso-position-vertical-relative:paragraph;z-index:16305152" from="197.845001pt,-9.953927pt" to="201.595001pt,-9.953927pt" stroked="true" strokeweight=".5pt" strokecolor="#231f20">
            <v:stroke dashstyle="solid"/>
            <w10:wrap type="none"/>
          </v:line>
        </w:pict>
      </w:r>
      <w:r>
        <w:rPr>
          <w:color w:val="231F20"/>
          <w:sz w:val="12"/>
        </w:rPr>
        <w:t>4</w:t>
      </w:r>
    </w:p>
    <w:p>
      <w:pPr>
        <w:pStyle w:val="BodyText"/>
        <w:rPr>
          <w:sz w:val="12"/>
        </w:rPr>
      </w:pPr>
    </w:p>
    <w:p>
      <w:pPr>
        <w:spacing w:before="94"/>
        <w:ind w:left="1890" w:right="0" w:firstLine="0"/>
        <w:jc w:val="left"/>
        <w:rPr>
          <w:sz w:val="12"/>
        </w:rPr>
      </w:pPr>
      <w:r>
        <w:rPr/>
        <w:pict>
          <v:line style="position:absolute;mso-position-horizontal-relative:page;mso-position-vertical-relative:paragraph;z-index:16304128" from="197.845001pt,8.442286pt" to="201.595001pt,8.442286pt" stroked="true" strokeweight=".5pt" strokecolor="#231f20">
            <v:stroke dashstyle="solid"/>
            <w10:wrap type="none"/>
          </v:line>
        </w:pict>
      </w:r>
      <w:r>
        <w:rPr>
          <w:color w:val="231F20"/>
          <w:sz w:val="12"/>
        </w:rPr>
        <w:t>2</w:t>
      </w:r>
    </w:p>
    <w:p>
      <w:pPr>
        <w:pStyle w:val="BodyText"/>
        <w:rPr>
          <w:sz w:val="12"/>
        </w:rPr>
      </w:pPr>
    </w:p>
    <w:p>
      <w:pPr>
        <w:spacing w:before="76"/>
        <w:ind w:left="1890" w:right="0" w:firstLine="0"/>
        <w:jc w:val="left"/>
        <w:rPr>
          <w:sz w:val="12"/>
        </w:rPr>
      </w:pPr>
      <w:r>
        <w:rPr>
          <w:color w:val="231F20"/>
          <w:sz w:val="12"/>
        </w:rPr>
        <w:t>0</w:t>
      </w:r>
    </w:p>
    <w:p>
      <w:pPr>
        <w:spacing w:before="12"/>
        <w:ind w:left="87" w:right="0" w:firstLine="0"/>
        <w:jc w:val="left"/>
        <w:rPr>
          <w:sz w:val="12"/>
        </w:rPr>
      </w:pPr>
      <w:r>
        <w:rPr>
          <w:color w:val="231F20"/>
          <w:sz w:val="12"/>
        </w:rPr>
        <w:t>3.0 3.6 4.2 4.8 5.4 6.0</w:t>
      </w:r>
    </w:p>
    <w:p>
      <w:pPr>
        <w:pStyle w:val="BodyText"/>
        <w:spacing w:before="3"/>
        <w:rPr>
          <w:sz w:val="22"/>
        </w:rPr>
      </w:pPr>
      <w:r>
        <w:rPr/>
        <w:br w:type="column"/>
      </w:r>
      <w:r>
        <w:rPr>
          <w:sz w:val="22"/>
        </w:rPr>
      </w:r>
    </w:p>
    <w:p>
      <w:pPr>
        <w:pStyle w:val="Heading6"/>
        <w:spacing w:line="280" w:lineRule="atLeast"/>
        <w:ind w:left="303" w:right="231"/>
      </w:pPr>
      <w:r>
        <w:rPr>
          <w:color w:val="231F20"/>
        </w:rPr>
        <w:t>The Bank asked a sample of external forecasters for their latest projections of inflation and output. Based on information from external forecasters surveyed in late January, the mean forecast for the twelve-month rate of RPIX inflation in 2000 Q4 was 2.2% (with a range of</w:t>
      </w:r>
    </w:p>
    <w:p>
      <w:pPr>
        <w:spacing w:after="0" w:line="280" w:lineRule="atLeast"/>
        <w:sectPr>
          <w:type w:val="continuous"/>
          <w:pgSz w:w="11900" w:h="16840"/>
          <w:pgMar w:top="1220" w:bottom="280" w:left="620" w:right="640"/>
          <w:cols w:num="4" w:equalWidth="0">
            <w:col w:w="1289" w:space="40"/>
            <w:col w:w="228" w:space="39"/>
            <w:col w:w="1991" w:space="1104"/>
            <w:col w:w="5949"/>
          </w:cols>
        </w:sectPr>
      </w:pPr>
    </w:p>
    <w:p>
      <w:pPr>
        <w:spacing w:line="8" w:lineRule="exact" w:before="0"/>
        <w:ind w:left="1028" w:right="0" w:firstLine="0"/>
        <w:jc w:val="left"/>
        <w:rPr>
          <w:sz w:val="12"/>
        </w:rPr>
      </w:pPr>
      <w:r>
        <w:rPr>
          <w:color w:val="231F20"/>
          <w:sz w:val="12"/>
        </w:rPr>
        <w:t>Range of forecasts</w:t>
      </w:r>
    </w:p>
    <w:p>
      <w:pPr>
        <w:pStyle w:val="BodyText"/>
        <w:spacing w:before="3"/>
        <w:rPr>
          <w:sz w:val="12"/>
        </w:rPr>
      </w:pPr>
    </w:p>
    <w:p>
      <w:pPr>
        <w:spacing w:before="0"/>
        <w:ind w:left="194" w:right="0" w:firstLine="0"/>
        <w:jc w:val="left"/>
        <w:rPr>
          <w:sz w:val="12"/>
        </w:rPr>
      </w:pPr>
      <w:r>
        <w:rPr>
          <w:color w:val="231F20"/>
          <w:sz w:val="12"/>
        </w:rPr>
        <w:t>Source: Forecasts of 26 outside forecasters as at 28 January 2000.</w:t>
      </w:r>
    </w:p>
    <w:p>
      <w:pPr>
        <w:pStyle w:val="BodyText"/>
        <w:rPr>
          <w:sz w:val="12"/>
        </w:rPr>
      </w:pPr>
    </w:p>
    <w:p>
      <w:pPr>
        <w:pStyle w:val="BodyText"/>
        <w:spacing w:before="6"/>
        <w:rPr>
          <w:sz w:val="12"/>
        </w:rPr>
      </w:pPr>
    </w:p>
    <w:p>
      <w:pPr>
        <w:pStyle w:val="Heading9"/>
        <w:spacing w:before="0"/>
        <w:ind w:left="199"/>
      </w:pPr>
      <w:r>
        <w:rPr>
          <w:color w:val="0093C1"/>
        </w:rPr>
        <w:t>Table 6.D</w:t>
      </w:r>
    </w:p>
    <w:p>
      <w:pPr>
        <w:spacing w:line="249" w:lineRule="auto" w:before="10"/>
        <w:ind w:left="199" w:right="20" w:firstLine="0"/>
        <w:jc w:val="left"/>
        <w:rPr>
          <w:sz w:val="12"/>
        </w:rPr>
      </w:pPr>
      <w:r>
        <w:rPr>
          <w:b/>
          <w:color w:val="0093C1"/>
          <w:sz w:val="20"/>
        </w:rPr>
        <w:t>Other forecasters’ expectations of RPIX inflation and GDP growth</w:t>
      </w:r>
      <w:r>
        <w:rPr>
          <w:color w:val="231F20"/>
          <w:position w:val="4"/>
          <w:sz w:val="12"/>
        </w:rPr>
        <w:t>(a)</w:t>
      </w:r>
    </w:p>
    <w:p>
      <w:pPr>
        <w:pStyle w:val="BodyText"/>
        <w:spacing w:before="7"/>
        <w:rPr>
          <w:sz w:val="20"/>
        </w:rPr>
      </w:pPr>
    </w:p>
    <w:p>
      <w:pPr>
        <w:spacing w:before="1"/>
        <w:ind w:left="199" w:right="0" w:firstLine="0"/>
        <w:jc w:val="left"/>
        <w:rPr>
          <w:b/>
          <w:sz w:val="14"/>
        </w:rPr>
      </w:pPr>
      <w:r>
        <w:rPr>
          <w:b/>
          <w:color w:val="231F20"/>
          <w:sz w:val="14"/>
        </w:rPr>
        <w:t>RPIX inflation</w:t>
      </w:r>
    </w:p>
    <w:p>
      <w:pPr>
        <w:tabs>
          <w:tab w:pos="1583" w:val="left" w:leader="none"/>
        </w:tabs>
        <w:spacing w:before="119"/>
        <w:ind w:left="199" w:right="0" w:firstLine="0"/>
        <w:jc w:val="left"/>
        <w:rPr>
          <w:sz w:val="14"/>
        </w:rPr>
      </w:pPr>
      <w:r>
        <w:rPr/>
        <w:pict>
          <v:shape style="position:absolute;margin-left:38.469700pt;margin-top:16.145161pt;width:216.45pt;height:125.9pt;mso-position-horizontal-relative:page;mso-position-vertical-relative:paragraph;z-index:163082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6"/>
                    <w:gridCol w:w="385"/>
                    <w:gridCol w:w="141"/>
                    <w:gridCol w:w="340"/>
                    <w:gridCol w:w="206"/>
                    <w:gridCol w:w="341"/>
                    <w:gridCol w:w="173"/>
                    <w:gridCol w:w="348"/>
                    <w:gridCol w:w="135"/>
                    <w:gridCol w:w="345"/>
                    <w:gridCol w:w="137"/>
                    <w:gridCol w:w="332"/>
                  </w:tblGrid>
                  <w:tr>
                    <w:trPr>
                      <w:trHeight w:val="267" w:hRule="atLeast"/>
                    </w:trPr>
                    <w:tc>
                      <w:tcPr>
                        <w:tcW w:w="1446" w:type="dxa"/>
                        <w:vMerge w:val="restart"/>
                      </w:tcPr>
                      <w:p>
                        <w:pPr>
                          <w:pStyle w:val="TableParagraph"/>
                          <w:rPr>
                            <w:sz w:val="18"/>
                          </w:rPr>
                        </w:pPr>
                      </w:p>
                    </w:tc>
                    <w:tc>
                      <w:tcPr>
                        <w:tcW w:w="385" w:type="dxa"/>
                        <w:tcBorders>
                          <w:top w:val="single" w:sz="2" w:space="0" w:color="231F20"/>
                        </w:tcBorders>
                      </w:tcPr>
                      <w:p>
                        <w:pPr>
                          <w:pStyle w:val="TableParagraph"/>
                          <w:spacing w:line="124" w:lineRule="exact"/>
                          <w:ind w:left="4"/>
                          <w:rPr>
                            <w:sz w:val="14"/>
                          </w:rPr>
                        </w:pPr>
                        <w:r>
                          <w:rPr>
                            <w:color w:val="231F20"/>
                            <w:sz w:val="14"/>
                          </w:rPr>
                          <w:t>less</w:t>
                        </w:r>
                      </w:p>
                      <w:p>
                        <w:pPr>
                          <w:pStyle w:val="TableParagraph"/>
                          <w:spacing w:line="123" w:lineRule="exact"/>
                          <w:ind w:left="4"/>
                          <w:rPr>
                            <w:sz w:val="14"/>
                          </w:rPr>
                        </w:pPr>
                        <w:r>
                          <w:rPr>
                            <w:color w:val="231F20"/>
                            <w:sz w:val="14"/>
                          </w:rPr>
                          <w:t>than</w:t>
                        </w:r>
                      </w:p>
                    </w:tc>
                    <w:tc>
                      <w:tcPr>
                        <w:tcW w:w="141" w:type="dxa"/>
                        <w:tcBorders>
                          <w:top w:val="single" w:sz="2" w:space="0" w:color="231F20"/>
                        </w:tcBorders>
                      </w:tcPr>
                      <w:p>
                        <w:pPr>
                          <w:pStyle w:val="TableParagraph"/>
                          <w:rPr>
                            <w:sz w:val="18"/>
                          </w:rPr>
                        </w:pPr>
                      </w:p>
                    </w:tc>
                    <w:tc>
                      <w:tcPr>
                        <w:tcW w:w="340" w:type="dxa"/>
                        <w:tcBorders>
                          <w:top w:val="single" w:sz="2" w:space="0" w:color="231F20"/>
                        </w:tcBorders>
                      </w:tcPr>
                      <w:p>
                        <w:pPr>
                          <w:pStyle w:val="TableParagraph"/>
                          <w:spacing w:line="124" w:lineRule="exact"/>
                          <w:ind w:left="8"/>
                          <w:rPr>
                            <w:sz w:val="14"/>
                          </w:rPr>
                        </w:pPr>
                        <w:r>
                          <w:rPr>
                            <w:color w:val="231F20"/>
                            <w:sz w:val="14"/>
                          </w:rPr>
                          <w:t>1.5%</w:t>
                        </w:r>
                      </w:p>
                      <w:p>
                        <w:pPr>
                          <w:pStyle w:val="TableParagraph"/>
                          <w:spacing w:line="123" w:lineRule="exact"/>
                          <w:ind w:left="8"/>
                          <w:rPr>
                            <w:sz w:val="14"/>
                          </w:rPr>
                        </w:pPr>
                        <w:r>
                          <w:rPr>
                            <w:color w:val="231F20"/>
                            <w:sz w:val="14"/>
                          </w:rPr>
                          <w:t>to</w:t>
                        </w:r>
                      </w:p>
                    </w:tc>
                    <w:tc>
                      <w:tcPr>
                        <w:tcW w:w="206" w:type="dxa"/>
                        <w:tcBorders>
                          <w:top w:val="single" w:sz="2" w:space="0" w:color="231F20"/>
                        </w:tcBorders>
                      </w:tcPr>
                      <w:p>
                        <w:pPr>
                          <w:pStyle w:val="TableParagraph"/>
                          <w:rPr>
                            <w:sz w:val="18"/>
                          </w:rPr>
                        </w:pPr>
                      </w:p>
                    </w:tc>
                    <w:tc>
                      <w:tcPr>
                        <w:tcW w:w="341" w:type="dxa"/>
                        <w:tcBorders>
                          <w:top w:val="single" w:sz="2" w:space="0" w:color="231F20"/>
                        </w:tcBorders>
                      </w:tcPr>
                      <w:p>
                        <w:pPr>
                          <w:pStyle w:val="TableParagraph"/>
                          <w:spacing w:line="124" w:lineRule="exact"/>
                          <w:ind w:left="1"/>
                          <w:rPr>
                            <w:sz w:val="14"/>
                          </w:rPr>
                        </w:pPr>
                        <w:r>
                          <w:rPr>
                            <w:color w:val="231F20"/>
                            <w:sz w:val="14"/>
                          </w:rPr>
                          <w:t>2.0%</w:t>
                        </w:r>
                      </w:p>
                      <w:p>
                        <w:pPr>
                          <w:pStyle w:val="TableParagraph"/>
                          <w:spacing w:line="123" w:lineRule="exact"/>
                          <w:ind w:left="1"/>
                          <w:rPr>
                            <w:sz w:val="14"/>
                          </w:rPr>
                        </w:pPr>
                        <w:r>
                          <w:rPr>
                            <w:color w:val="231F20"/>
                            <w:sz w:val="14"/>
                          </w:rPr>
                          <w:t>to</w:t>
                        </w:r>
                      </w:p>
                    </w:tc>
                    <w:tc>
                      <w:tcPr>
                        <w:tcW w:w="173" w:type="dxa"/>
                        <w:tcBorders>
                          <w:top w:val="single" w:sz="2" w:space="0" w:color="231F20"/>
                        </w:tcBorders>
                      </w:tcPr>
                      <w:p>
                        <w:pPr>
                          <w:pStyle w:val="TableParagraph"/>
                          <w:rPr>
                            <w:sz w:val="18"/>
                          </w:rPr>
                        </w:pPr>
                      </w:p>
                    </w:tc>
                    <w:tc>
                      <w:tcPr>
                        <w:tcW w:w="348" w:type="dxa"/>
                        <w:tcBorders>
                          <w:top w:val="single" w:sz="2" w:space="0" w:color="231F20"/>
                        </w:tcBorders>
                      </w:tcPr>
                      <w:p>
                        <w:pPr>
                          <w:pStyle w:val="TableParagraph"/>
                          <w:spacing w:line="124" w:lineRule="exact"/>
                          <w:ind w:left="-2"/>
                          <w:rPr>
                            <w:sz w:val="14"/>
                          </w:rPr>
                        </w:pPr>
                        <w:r>
                          <w:rPr>
                            <w:color w:val="231F20"/>
                            <w:sz w:val="14"/>
                          </w:rPr>
                          <w:t>2.5%</w:t>
                        </w:r>
                      </w:p>
                      <w:p>
                        <w:pPr>
                          <w:pStyle w:val="TableParagraph"/>
                          <w:spacing w:line="123" w:lineRule="exact"/>
                          <w:ind w:left="-2"/>
                          <w:rPr>
                            <w:sz w:val="14"/>
                          </w:rPr>
                        </w:pPr>
                        <w:r>
                          <w:rPr>
                            <w:color w:val="231F20"/>
                            <w:sz w:val="14"/>
                          </w:rPr>
                          <w:t>to</w:t>
                        </w:r>
                      </w:p>
                    </w:tc>
                    <w:tc>
                      <w:tcPr>
                        <w:tcW w:w="135" w:type="dxa"/>
                        <w:tcBorders>
                          <w:top w:val="single" w:sz="2" w:space="0" w:color="231F20"/>
                        </w:tcBorders>
                      </w:tcPr>
                      <w:p>
                        <w:pPr>
                          <w:pStyle w:val="TableParagraph"/>
                          <w:rPr>
                            <w:sz w:val="18"/>
                          </w:rPr>
                        </w:pPr>
                      </w:p>
                    </w:tc>
                    <w:tc>
                      <w:tcPr>
                        <w:tcW w:w="345" w:type="dxa"/>
                        <w:tcBorders>
                          <w:top w:val="single" w:sz="2" w:space="0" w:color="231F20"/>
                        </w:tcBorders>
                      </w:tcPr>
                      <w:p>
                        <w:pPr>
                          <w:pStyle w:val="TableParagraph"/>
                          <w:spacing w:line="124" w:lineRule="exact"/>
                          <w:ind w:left="-2"/>
                          <w:rPr>
                            <w:sz w:val="14"/>
                          </w:rPr>
                        </w:pPr>
                        <w:r>
                          <w:rPr>
                            <w:color w:val="231F20"/>
                            <w:sz w:val="14"/>
                          </w:rPr>
                          <w:t>3.0%</w:t>
                        </w:r>
                      </w:p>
                      <w:p>
                        <w:pPr>
                          <w:pStyle w:val="TableParagraph"/>
                          <w:spacing w:line="123" w:lineRule="exact"/>
                          <w:ind w:left="-2"/>
                          <w:rPr>
                            <w:sz w:val="14"/>
                          </w:rPr>
                        </w:pPr>
                        <w:r>
                          <w:rPr>
                            <w:color w:val="231F20"/>
                            <w:sz w:val="14"/>
                          </w:rPr>
                          <w:t>to</w:t>
                        </w:r>
                      </w:p>
                    </w:tc>
                    <w:tc>
                      <w:tcPr>
                        <w:tcW w:w="137" w:type="dxa"/>
                        <w:tcBorders>
                          <w:top w:val="single" w:sz="2" w:space="0" w:color="231F20"/>
                        </w:tcBorders>
                      </w:tcPr>
                      <w:p>
                        <w:pPr>
                          <w:pStyle w:val="TableParagraph"/>
                          <w:rPr>
                            <w:sz w:val="18"/>
                          </w:rPr>
                        </w:pPr>
                      </w:p>
                    </w:tc>
                    <w:tc>
                      <w:tcPr>
                        <w:tcW w:w="332" w:type="dxa"/>
                        <w:tcBorders>
                          <w:top w:val="single" w:sz="2" w:space="0" w:color="231F20"/>
                        </w:tcBorders>
                      </w:tcPr>
                      <w:p>
                        <w:pPr>
                          <w:pStyle w:val="TableParagraph"/>
                          <w:spacing w:line="124" w:lineRule="exact"/>
                          <w:ind w:left="-2"/>
                          <w:rPr>
                            <w:sz w:val="14"/>
                          </w:rPr>
                        </w:pPr>
                        <w:r>
                          <w:rPr>
                            <w:color w:val="231F20"/>
                            <w:sz w:val="14"/>
                          </w:rPr>
                          <w:t>more</w:t>
                        </w:r>
                      </w:p>
                      <w:p>
                        <w:pPr>
                          <w:pStyle w:val="TableParagraph"/>
                          <w:spacing w:line="123" w:lineRule="exact"/>
                          <w:ind w:left="-1"/>
                          <w:rPr>
                            <w:sz w:val="14"/>
                          </w:rPr>
                        </w:pPr>
                        <w:r>
                          <w:rPr>
                            <w:color w:val="231F20"/>
                            <w:sz w:val="14"/>
                          </w:rPr>
                          <w:t>than</w:t>
                        </w:r>
                      </w:p>
                    </w:tc>
                  </w:tr>
                  <w:tr>
                    <w:trPr>
                      <w:trHeight w:val="192" w:hRule="atLeast"/>
                    </w:trPr>
                    <w:tc>
                      <w:tcPr>
                        <w:tcW w:w="1446" w:type="dxa"/>
                        <w:vMerge/>
                        <w:tcBorders>
                          <w:top w:val="nil"/>
                        </w:tcBorders>
                      </w:tcPr>
                      <w:p>
                        <w:pPr>
                          <w:rPr>
                            <w:sz w:val="2"/>
                            <w:szCs w:val="2"/>
                          </w:rPr>
                        </w:pPr>
                      </w:p>
                    </w:tc>
                    <w:tc>
                      <w:tcPr>
                        <w:tcW w:w="385" w:type="dxa"/>
                        <w:tcBorders>
                          <w:bottom w:val="single" w:sz="2" w:space="0" w:color="231F20"/>
                        </w:tcBorders>
                      </w:tcPr>
                      <w:p>
                        <w:pPr>
                          <w:pStyle w:val="TableParagraph"/>
                          <w:spacing w:line="148" w:lineRule="exact"/>
                          <w:ind w:left="4"/>
                          <w:rPr>
                            <w:sz w:val="14"/>
                          </w:rPr>
                        </w:pPr>
                        <w:r>
                          <w:rPr>
                            <w:color w:val="231F20"/>
                            <w:sz w:val="14"/>
                          </w:rPr>
                          <w:t>1.5%</w:t>
                        </w:r>
                      </w:p>
                    </w:tc>
                    <w:tc>
                      <w:tcPr>
                        <w:tcW w:w="141" w:type="dxa"/>
                      </w:tcPr>
                      <w:p>
                        <w:pPr>
                          <w:pStyle w:val="TableParagraph"/>
                          <w:rPr>
                            <w:sz w:val="12"/>
                          </w:rPr>
                        </w:pPr>
                      </w:p>
                    </w:tc>
                    <w:tc>
                      <w:tcPr>
                        <w:tcW w:w="340" w:type="dxa"/>
                        <w:tcBorders>
                          <w:bottom w:val="single" w:sz="2" w:space="0" w:color="231F20"/>
                        </w:tcBorders>
                      </w:tcPr>
                      <w:p>
                        <w:pPr>
                          <w:pStyle w:val="TableParagraph"/>
                          <w:spacing w:line="148" w:lineRule="exact"/>
                          <w:ind w:left="8"/>
                          <w:rPr>
                            <w:sz w:val="14"/>
                          </w:rPr>
                        </w:pPr>
                        <w:r>
                          <w:rPr>
                            <w:color w:val="231F20"/>
                            <w:sz w:val="14"/>
                          </w:rPr>
                          <w:t>2.0%</w:t>
                        </w:r>
                      </w:p>
                    </w:tc>
                    <w:tc>
                      <w:tcPr>
                        <w:tcW w:w="206" w:type="dxa"/>
                      </w:tcPr>
                      <w:p>
                        <w:pPr>
                          <w:pStyle w:val="TableParagraph"/>
                          <w:rPr>
                            <w:sz w:val="12"/>
                          </w:rPr>
                        </w:pPr>
                      </w:p>
                    </w:tc>
                    <w:tc>
                      <w:tcPr>
                        <w:tcW w:w="341" w:type="dxa"/>
                        <w:tcBorders>
                          <w:bottom w:val="single" w:sz="2" w:space="0" w:color="231F20"/>
                        </w:tcBorders>
                      </w:tcPr>
                      <w:p>
                        <w:pPr>
                          <w:pStyle w:val="TableParagraph"/>
                          <w:spacing w:line="148" w:lineRule="exact"/>
                          <w:ind w:right="44"/>
                          <w:jc w:val="center"/>
                          <w:rPr>
                            <w:sz w:val="14"/>
                          </w:rPr>
                        </w:pPr>
                        <w:r>
                          <w:rPr>
                            <w:color w:val="231F20"/>
                            <w:sz w:val="14"/>
                          </w:rPr>
                          <w:t>2.5%</w:t>
                        </w:r>
                      </w:p>
                    </w:tc>
                    <w:tc>
                      <w:tcPr>
                        <w:tcW w:w="173" w:type="dxa"/>
                      </w:tcPr>
                      <w:p>
                        <w:pPr>
                          <w:pStyle w:val="TableParagraph"/>
                          <w:rPr>
                            <w:sz w:val="12"/>
                          </w:rPr>
                        </w:pPr>
                      </w:p>
                    </w:tc>
                    <w:tc>
                      <w:tcPr>
                        <w:tcW w:w="348" w:type="dxa"/>
                        <w:tcBorders>
                          <w:bottom w:val="single" w:sz="2" w:space="0" w:color="231F20"/>
                        </w:tcBorders>
                      </w:tcPr>
                      <w:p>
                        <w:pPr>
                          <w:pStyle w:val="TableParagraph"/>
                          <w:spacing w:line="148" w:lineRule="exact"/>
                          <w:ind w:left="-2"/>
                          <w:rPr>
                            <w:sz w:val="14"/>
                          </w:rPr>
                        </w:pPr>
                        <w:r>
                          <w:rPr>
                            <w:color w:val="231F20"/>
                            <w:sz w:val="14"/>
                          </w:rPr>
                          <w:t>3.0%</w:t>
                        </w:r>
                      </w:p>
                    </w:tc>
                    <w:tc>
                      <w:tcPr>
                        <w:tcW w:w="135" w:type="dxa"/>
                      </w:tcPr>
                      <w:p>
                        <w:pPr>
                          <w:pStyle w:val="TableParagraph"/>
                          <w:rPr>
                            <w:sz w:val="12"/>
                          </w:rPr>
                        </w:pPr>
                      </w:p>
                    </w:tc>
                    <w:tc>
                      <w:tcPr>
                        <w:tcW w:w="345" w:type="dxa"/>
                        <w:tcBorders>
                          <w:bottom w:val="single" w:sz="2" w:space="0" w:color="231F20"/>
                        </w:tcBorders>
                      </w:tcPr>
                      <w:p>
                        <w:pPr>
                          <w:pStyle w:val="TableParagraph"/>
                          <w:spacing w:line="148" w:lineRule="exact"/>
                          <w:ind w:left="-2"/>
                          <w:rPr>
                            <w:sz w:val="14"/>
                          </w:rPr>
                        </w:pPr>
                        <w:r>
                          <w:rPr>
                            <w:color w:val="231F20"/>
                            <w:sz w:val="14"/>
                          </w:rPr>
                          <w:t>3.5%</w:t>
                        </w:r>
                      </w:p>
                    </w:tc>
                    <w:tc>
                      <w:tcPr>
                        <w:tcW w:w="137" w:type="dxa"/>
                      </w:tcPr>
                      <w:p>
                        <w:pPr>
                          <w:pStyle w:val="TableParagraph"/>
                          <w:rPr>
                            <w:sz w:val="12"/>
                          </w:rPr>
                        </w:pPr>
                      </w:p>
                    </w:tc>
                    <w:tc>
                      <w:tcPr>
                        <w:tcW w:w="332" w:type="dxa"/>
                        <w:tcBorders>
                          <w:bottom w:val="single" w:sz="2" w:space="0" w:color="231F20"/>
                        </w:tcBorders>
                      </w:tcPr>
                      <w:p>
                        <w:pPr>
                          <w:pStyle w:val="TableParagraph"/>
                          <w:spacing w:line="148" w:lineRule="exact"/>
                          <w:ind w:left="-2"/>
                          <w:rPr>
                            <w:sz w:val="14"/>
                          </w:rPr>
                        </w:pPr>
                        <w:r>
                          <w:rPr>
                            <w:color w:val="231F20"/>
                            <w:sz w:val="14"/>
                          </w:rPr>
                          <w:t>3.5%</w:t>
                        </w:r>
                      </w:p>
                    </w:tc>
                  </w:tr>
                  <w:tr>
                    <w:trPr>
                      <w:trHeight w:val="222" w:hRule="atLeast"/>
                    </w:trPr>
                    <w:tc>
                      <w:tcPr>
                        <w:tcW w:w="1446" w:type="dxa"/>
                      </w:tcPr>
                      <w:p>
                        <w:pPr>
                          <w:pStyle w:val="TableParagraph"/>
                          <w:spacing w:line="133" w:lineRule="exact" w:before="73"/>
                          <w:ind w:left="50"/>
                          <w:rPr>
                            <w:sz w:val="14"/>
                          </w:rPr>
                        </w:pPr>
                        <w:r>
                          <w:rPr>
                            <w:color w:val="231F20"/>
                            <w:sz w:val="14"/>
                          </w:rPr>
                          <w:t>2000 Q4</w:t>
                        </w:r>
                      </w:p>
                    </w:tc>
                    <w:tc>
                      <w:tcPr>
                        <w:tcW w:w="385" w:type="dxa"/>
                        <w:tcBorders>
                          <w:top w:val="single" w:sz="2" w:space="0" w:color="231F20"/>
                        </w:tcBorders>
                      </w:tcPr>
                      <w:p>
                        <w:pPr>
                          <w:pStyle w:val="TableParagraph"/>
                          <w:spacing w:line="133" w:lineRule="exact" w:before="73"/>
                          <w:ind w:left="24"/>
                          <w:rPr>
                            <w:sz w:val="14"/>
                          </w:rPr>
                        </w:pPr>
                        <w:r>
                          <w:rPr>
                            <w:color w:val="231F20"/>
                            <w:sz w:val="14"/>
                          </w:rPr>
                          <w:t>10</w:t>
                        </w:r>
                      </w:p>
                    </w:tc>
                    <w:tc>
                      <w:tcPr>
                        <w:tcW w:w="141" w:type="dxa"/>
                      </w:tcPr>
                      <w:p>
                        <w:pPr>
                          <w:pStyle w:val="TableParagraph"/>
                          <w:rPr>
                            <w:sz w:val="14"/>
                          </w:rPr>
                        </w:pPr>
                      </w:p>
                    </w:tc>
                    <w:tc>
                      <w:tcPr>
                        <w:tcW w:w="340" w:type="dxa"/>
                        <w:tcBorders>
                          <w:top w:val="single" w:sz="2" w:space="0" w:color="231F20"/>
                        </w:tcBorders>
                      </w:tcPr>
                      <w:p>
                        <w:pPr>
                          <w:pStyle w:val="TableParagraph"/>
                          <w:spacing w:line="133" w:lineRule="exact" w:before="68"/>
                          <w:ind w:left="48"/>
                          <w:rPr>
                            <w:sz w:val="14"/>
                          </w:rPr>
                        </w:pPr>
                        <w:r>
                          <w:rPr>
                            <w:color w:val="231F20"/>
                            <w:sz w:val="14"/>
                          </w:rPr>
                          <w:t>26</w:t>
                        </w:r>
                      </w:p>
                    </w:tc>
                    <w:tc>
                      <w:tcPr>
                        <w:tcW w:w="206" w:type="dxa"/>
                      </w:tcPr>
                      <w:p>
                        <w:pPr>
                          <w:pStyle w:val="TableParagraph"/>
                          <w:rPr>
                            <w:sz w:val="14"/>
                          </w:rPr>
                        </w:pPr>
                      </w:p>
                    </w:tc>
                    <w:tc>
                      <w:tcPr>
                        <w:tcW w:w="341" w:type="dxa"/>
                        <w:tcBorders>
                          <w:top w:val="single" w:sz="2" w:space="0" w:color="231F20"/>
                        </w:tcBorders>
                      </w:tcPr>
                      <w:p>
                        <w:pPr>
                          <w:pStyle w:val="TableParagraph"/>
                          <w:spacing w:line="133" w:lineRule="exact" w:before="68"/>
                          <w:ind w:right="154"/>
                          <w:jc w:val="center"/>
                          <w:rPr>
                            <w:sz w:val="14"/>
                          </w:rPr>
                        </w:pPr>
                        <w:r>
                          <w:rPr>
                            <w:color w:val="231F20"/>
                            <w:sz w:val="14"/>
                          </w:rPr>
                          <w:t>34</w:t>
                        </w:r>
                      </w:p>
                    </w:tc>
                    <w:tc>
                      <w:tcPr>
                        <w:tcW w:w="173" w:type="dxa"/>
                      </w:tcPr>
                      <w:p>
                        <w:pPr>
                          <w:pStyle w:val="TableParagraph"/>
                          <w:rPr>
                            <w:sz w:val="14"/>
                          </w:rPr>
                        </w:pPr>
                      </w:p>
                    </w:tc>
                    <w:tc>
                      <w:tcPr>
                        <w:tcW w:w="348" w:type="dxa"/>
                        <w:tcBorders>
                          <w:top w:val="single" w:sz="2" w:space="0" w:color="231F20"/>
                        </w:tcBorders>
                      </w:tcPr>
                      <w:p>
                        <w:pPr>
                          <w:pStyle w:val="TableParagraph"/>
                          <w:spacing w:line="133" w:lineRule="exact" w:before="68"/>
                          <w:ind w:left="38"/>
                          <w:rPr>
                            <w:sz w:val="14"/>
                          </w:rPr>
                        </w:pPr>
                        <w:r>
                          <w:rPr>
                            <w:color w:val="231F20"/>
                            <w:sz w:val="14"/>
                          </w:rPr>
                          <w:t>18</w:t>
                        </w:r>
                      </w:p>
                    </w:tc>
                    <w:tc>
                      <w:tcPr>
                        <w:tcW w:w="135" w:type="dxa"/>
                      </w:tcPr>
                      <w:p>
                        <w:pPr>
                          <w:pStyle w:val="TableParagraph"/>
                          <w:rPr>
                            <w:sz w:val="14"/>
                          </w:rPr>
                        </w:pPr>
                      </w:p>
                    </w:tc>
                    <w:tc>
                      <w:tcPr>
                        <w:tcW w:w="345" w:type="dxa"/>
                        <w:tcBorders>
                          <w:top w:val="single" w:sz="2" w:space="0" w:color="231F20"/>
                        </w:tcBorders>
                      </w:tcPr>
                      <w:p>
                        <w:pPr>
                          <w:pStyle w:val="TableParagraph"/>
                          <w:spacing w:line="133" w:lineRule="exact" w:before="68"/>
                          <w:ind w:right="22"/>
                          <w:jc w:val="center"/>
                          <w:rPr>
                            <w:sz w:val="14"/>
                          </w:rPr>
                        </w:pPr>
                        <w:r>
                          <w:rPr>
                            <w:color w:val="231F20"/>
                            <w:sz w:val="14"/>
                          </w:rPr>
                          <w:t>9</w:t>
                        </w:r>
                      </w:p>
                    </w:tc>
                    <w:tc>
                      <w:tcPr>
                        <w:tcW w:w="137" w:type="dxa"/>
                      </w:tcPr>
                      <w:p>
                        <w:pPr>
                          <w:pStyle w:val="TableParagraph"/>
                          <w:rPr>
                            <w:sz w:val="14"/>
                          </w:rPr>
                        </w:pPr>
                      </w:p>
                    </w:tc>
                    <w:tc>
                      <w:tcPr>
                        <w:tcW w:w="332" w:type="dxa"/>
                        <w:tcBorders>
                          <w:top w:val="single" w:sz="2" w:space="0" w:color="231F20"/>
                        </w:tcBorders>
                      </w:tcPr>
                      <w:p>
                        <w:pPr>
                          <w:pStyle w:val="TableParagraph"/>
                          <w:spacing w:line="133" w:lineRule="exact" w:before="68"/>
                          <w:ind w:left="63"/>
                          <w:rPr>
                            <w:sz w:val="14"/>
                          </w:rPr>
                        </w:pPr>
                        <w:r>
                          <w:rPr>
                            <w:color w:val="231F20"/>
                            <w:sz w:val="14"/>
                          </w:rPr>
                          <w:t>4</w:t>
                        </w:r>
                      </w:p>
                    </w:tc>
                  </w:tr>
                  <w:tr>
                    <w:trPr>
                      <w:trHeight w:val="140" w:hRule="atLeast"/>
                    </w:trPr>
                    <w:tc>
                      <w:tcPr>
                        <w:tcW w:w="1446" w:type="dxa"/>
                      </w:tcPr>
                      <w:p>
                        <w:pPr>
                          <w:pStyle w:val="TableParagraph"/>
                          <w:spacing w:line="120" w:lineRule="exact"/>
                          <w:ind w:left="50"/>
                          <w:rPr>
                            <w:sz w:val="14"/>
                          </w:rPr>
                        </w:pPr>
                        <w:r>
                          <w:rPr>
                            <w:color w:val="231F20"/>
                            <w:sz w:val="14"/>
                          </w:rPr>
                          <w:t>2001 Q4</w:t>
                        </w:r>
                      </w:p>
                    </w:tc>
                    <w:tc>
                      <w:tcPr>
                        <w:tcW w:w="385" w:type="dxa"/>
                      </w:tcPr>
                      <w:p>
                        <w:pPr>
                          <w:pStyle w:val="TableParagraph"/>
                          <w:spacing w:line="120" w:lineRule="exact"/>
                          <w:ind w:left="94"/>
                          <w:rPr>
                            <w:sz w:val="14"/>
                          </w:rPr>
                        </w:pPr>
                        <w:r>
                          <w:rPr>
                            <w:color w:val="231F20"/>
                            <w:sz w:val="14"/>
                          </w:rPr>
                          <w:t>7</w:t>
                        </w:r>
                      </w:p>
                    </w:tc>
                    <w:tc>
                      <w:tcPr>
                        <w:tcW w:w="141" w:type="dxa"/>
                      </w:tcPr>
                      <w:p>
                        <w:pPr>
                          <w:pStyle w:val="TableParagraph"/>
                          <w:rPr>
                            <w:sz w:val="8"/>
                          </w:rPr>
                        </w:pPr>
                      </w:p>
                    </w:tc>
                    <w:tc>
                      <w:tcPr>
                        <w:tcW w:w="340" w:type="dxa"/>
                      </w:tcPr>
                      <w:p>
                        <w:pPr>
                          <w:pStyle w:val="TableParagraph"/>
                          <w:spacing w:line="120" w:lineRule="exact"/>
                          <w:ind w:left="48"/>
                          <w:rPr>
                            <w:sz w:val="14"/>
                          </w:rPr>
                        </w:pPr>
                        <w:r>
                          <w:rPr>
                            <w:color w:val="231F20"/>
                            <w:sz w:val="14"/>
                          </w:rPr>
                          <w:t>18</w:t>
                        </w:r>
                      </w:p>
                    </w:tc>
                    <w:tc>
                      <w:tcPr>
                        <w:tcW w:w="206" w:type="dxa"/>
                      </w:tcPr>
                      <w:p>
                        <w:pPr>
                          <w:pStyle w:val="TableParagraph"/>
                          <w:rPr>
                            <w:sz w:val="8"/>
                          </w:rPr>
                        </w:pPr>
                      </w:p>
                    </w:tc>
                    <w:tc>
                      <w:tcPr>
                        <w:tcW w:w="341" w:type="dxa"/>
                      </w:tcPr>
                      <w:p>
                        <w:pPr>
                          <w:pStyle w:val="TableParagraph"/>
                          <w:spacing w:line="120" w:lineRule="exact"/>
                          <w:ind w:right="154"/>
                          <w:jc w:val="center"/>
                          <w:rPr>
                            <w:sz w:val="14"/>
                          </w:rPr>
                        </w:pPr>
                        <w:r>
                          <w:rPr>
                            <w:color w:val="231F20"/>
                            <w:sz w:val="14"/>
                          </w:rPr>
                          <w:t>35</w:t>
                        </w:r>
                      </w:p>
                    </w:tc>
                    <w:tc>
                      <w:tcPr>
                        <w:tcW w:w="173" w:type="dxa"/>
                      </w:tcPr>
                      <w:p>
                        <w:pPr>
                          <w:pStyle w:val="TableParagraph"/>
                          <w:rPr>
                            <w:sz w:val="8"/>
                          </w:rPr>
                        </w:pPr>
                      </w:p>
                    </w:tc>
                    <w:tc>
                      <w:tcPr>
                        <w:tcW w:w="348" w:type="dxa"/>
                      </w:tcPr>
                      <w:p>
                        <w:pPr>
                          <w:pStyle w:val="TableParagraph"/>
                          <w:spacing w:line="120" w:lineRule="exact"/>
                          <w:ind w:left="38"/>
                          <w:rPr>
                            <w:sz w:val="14"/>
                          </w:rPr>
                        </w:pPr>
                        <w:r>
                          <w:rPr>
                            <w:color w:val="231F20"/>
                            <w:sz w:val="14"/>
                          </w:rPr>
                          <w:t>25</w:t>
                        </w:r>
                      </w:p>
                    </w:tc>
                    <w:tc>
                      <w:tcPr>
                        <w:tcW w:w="135" w:type="dxa"/>
                      </w:tcPr>
                      <w:p>
                        <w:pPr>
                          <w:pStyle w:val="TableParagraph"/>
                          <w:rPr>
                            <w:sz w:val="8"/>
                          </w:rPr>
                        </w:pPr>
                      </w:p>
                    </w:tc>
                    <w:tc>
                      <w:tcPr>
                        <w:tcW w:w="345" w:type="dxa"/>
                      </w:tcPr>
                      <w:p>
                        <w:pPr>
                          <w:pStyle w:val="TableParagraph"/>
                          <w:spacing w:line="120" w:lineRule="exact"/>
                          <w:ind w:left="55"/>
                          <w:rPr>
                            <w:sz w:val="14"/>
                          </w:rPr>
                        </w:pPr>
                        <w:r>
                          <w:rPr>
                            <w:color w:val="231F20"/>
                            <w:sz w:val="14"/>
                          </w:rPr>
                          <w:t>11</w:t>
                        </w:r>
                      </w:p>
                    </w:tc>
                    <w:tc>
                      <w:tcPr>
                        <w:tcW w:w="137" w:type="dxa"/>
                      </w:tcPr>
                      <w:p>
                        <w:pPr>
                          <w:pStyle w:val="TableParagraph"/>
                          <w:rPr>
                            <w:sz w:val="8"/>
                          </w:rPr>
                        </w:pPr>
                      </w:p>
                    </w:tc>
                    <w:tc>
                      <w:tcPr>
                        <w:tcW w:w="332" w:type="dxa"/>
                      </w:tcPr>
                      <w:p>
                        <w:pPr>
                          <w:pStyle w:val="TableParagraph"/>
                          <w:spacing w:line="120" w:lineRule="exact"/>
                          <w:ind w:left="63"/>
                          <w:rPr>
                            <w:sz w:val="14"/>
                          </w:rPr>
                        </w:pPr>
                        <w:r>
                          <w:rPr>
                            <w:color w:val="231F20"/>
                            <w:sz w:val="14"/>
                          </w:rPr>
                          <w:t>5</w:t>
                        </w:r>
                      </w:p>
                    </w:tc>
                  </w:tr>
                  <w:tr>
                    <w:trPr>
                      <w:trHeight w:val="210" w:hRule="atLeast"/>
                    </w:trPr>
                    <w:tc>
                      <w:tcPr>
                        <w:tcW w:w="1446" w:type="dxa"/>
                      </w:tcPr>
                      <w:p>
                        <w:pPr>
                          <w:pStyle w:val="TableParagraph"/>
                          <w:spacing w:line="148" w:lineRule="exact"/>
                          <w:ind w:left="50"/>
                          <w:rPr>
                            <w:sz w:val="12"/>
                          </w:rPr>
                        </w:pPr>
                        <w:r>
                          <w:rPr>
                            <w:color w:val="231F20"/>
                            <w:sz w:val="14"/>
                          </w:rPr>
                          <w:t>2002 Q1 </w:t>
                        </w:r>
                        <w:r>
                          <w:rPr>
                            <w:color w:val="231F20"/>
                            <w:sz w:val="12"/>
                          </w:rPr>
                          <w:t>(b)</w:t>
                        </w:r>
                      </w:p>
                    </w:tc>
                    <w:tc>
                      <w:tcPr>
                        <w:tcW w:w="385" w:type="dxa"/>
                      </w:tcPr>
                      <w:p>
                        <w:pPr>
                          <w:pStyle w:val="TableParagraph"/>
                          <w:spacing w:line="148" w:lineRule="exact"/>
                          <w:ind w:left="94"/>
                          <w:rPr>
                            <w:sz w:val="14"/>
                          </w:rPr>
                        </w:pPr>
                        <w:r>
                          <w:rPr>
                            <w:color w:val="231F20"/>
                            <w:sz w:val="14"/>
                          </w:rPr>
                          <w:t>7</w:t>
                        </w:r>
                      </w:p>
                    </w:tc>
                    <w:tc>
                      <w:tcPr>
                        <w:tcW w:w="141" w:type="dxa"/>
                      </w:tcPr>
                      <w:p>
                        <w:pPr>
                          <w:pStyle w:val="TableParagraph"/>
                          <w:rPr>
                            <w:sz w:val="14"/>
                          </w:rPr>
                        </w:pPr>
                      </w:p>
                    </w:tc>
                    <w:tc>
                      <w:tcPr>
                        <w:tcW w:w="340" w:type="dxa"/>
                      </w:tcPr>
                      <w:p>
                        <w:pPr>
                          <w:pStyle w:val="TableParagraph"/>
                          <w:spacing w:line="148" w:lineRule="exact"/>
                          <w:ind w:left="48"/>
                          <w:rPr>
                            <w:sz w:val="14"/>
                          </w:rPr>
                        </w:pPr>
                        <w:r>
                          <w:rPr>
                            <w:color w:val="231F20"/>
                            <w:sz w:val="14"/>
                          </w:rPr>
                          <w:t>15</w:t>
                        </w:r>
                      </w:p>
                    </w:tc>
                    <w:tc>
                      <w:tcPr>
                        <w:tcW w:w="206" w:type="dxa"/>
                      </w:tcPr>
                      <w:p>
                        <w:pPr>
                          <w:pStyle w:val="TableParagraph"/>
                          <w:rPr>
                            <w:sz w:val="14"/>
                          </w:rPr>
                        </w:pPr>
                      </w:p>
                    </w:tc>
                    <w:tc>
                      <w:tcPr>
                        <w:tcW w:w="341" w:type="dxa"/>
                      </w:tcPr>
                      <w:p>
                        <w:pPr>
                          <w:pStyle w:val="TableParagraph"/>
                          <w:spacing w:line="148" w:lineRule="exact"/>
                          <w:ind w:right="154"/>
                          <w:jc w:val="center"/>
                          <w:rPr>
                            <w:sz w:val="14"/>
                          </w:rPr>
                        </w:pPr>
                        <w:r>
                          <w:rPr>
                            <w:color w:val="231F20"/>
                            <w:sz w:val="14"/>
                          </w:rPr>
                          <w:t>36</w:t>
                        </w:r>
                      </w:p>
                    </w:tc>
                    <w:tc>
                      <w:tcPr>
                        <w:tcW w:w="173" w:type="dxa"/>
                      </w:tcPr>
                      <w:p>
                        <w:pPr>
                          <w:pStyle w:val="TableParagraph"/>
                          <w:rPr>
                            <w:sz w:val="14"/>
                          </w:rPr>
                        </w:pPr>
                      </w:p>
                    </w:tc>
                    <w:tc>
                      <w:tcPr>
                        <w:tcW w:w="348" w:type="dxa"/>
                      </w:tcPr>
                      <w:p>
                        <w:pPr>
                          <w:pStyle w:val="TableParagraph"/>
                          <w:spacing w:line="148" w:lineRule="exact"/>
                          <w:ind w:left="38"/>
                          <w:rPr>
                            <w:sz w:val="14"/>
                          </w:rPr>
                        </w:pPr>
                        <w:r>
                          <w:rPr>
                            <w:color w:val="231F20"/>
                            <w:sz w:val="14"/>
                          </w:rPr>
                          <w:t>27</w:t>
                        </w:r>
                      </w:p>
                    </w:tc>
                    <w:tc>
                      <w:tcPr>
                        <w:tcW w:w="135" w:type="dxa"/>
                      </w:tcPr>
                      <w:p>
                        <w:pPr>
                          <w:pStyle w:val="TableParagraph"/>
                          <w:rPr>
                            <w:sz w:val="14"/>
                          </w:rPr>
                        </w:pPr>
                      </w:p>
                    </w:tc>
                    <w:tc>
                      <w:tcPr>
                        <w:tcW w:w="345" w:type="dxa"/>
                      </w:tcPr>
                      <w:p>
                        <w:pPr>
                          <w:pStyle w:val="TableParagraph"/>
                          <w:spacing w:line="148" w:lineRule="exact"/>
                          <w:ind w:left="55"/>
                          <w:rPr>
                            <w:sz w:val="14"/>
                          </w:rPr>
                        </w:pPr>
                        <w:r>
                          <w:rPr>
                            <w:color w:val="231F20"/>
                            <w:sz w:val="14"/>
                          </w:rPr>
                          <w:t>11</w:t>
                        </w:r>
                      </w:p>
                    </w:tc>
                    <w:tc>
                      <w:tcPr>
                        <w:tcW w:w="137" w:type="dxa"/>
                      </w:tcPr>
                      <w:p>
                        <w:pPr>
                          <w:pStyle w:val="TableParagraph"/>
                          <w:rPr>
                            <w:sz w:val="14"/>
                          </w:rPr>
                        </w:pPr>
                      </w:p>
                    </w:tc>
                    <w:tc>
                      <w:tcPr>
                        <w:tcW w:w="332" w:type="dxa"/>
                      </w:tcPr>
                      <w:p>
                        <w:pPr>
                          <w:pStyle w:val="TableParagraph"/>
                          <w:spacing w:line="148" w:lineRule="exact"/>
                          <w:ind w:left="63"/>
                          <w:rPr>
                            <w:sz w:val="14"/>
                          </w:rPr>
                        </w:pPr>
                        <w:r>
                          <w:rPr>
                            <w:color w:val="231F20"/>
                            <w:sz w:val="14"/>
                          </w:rPr>
                          <w:t>5</w:t>
                        </w:r>
                      </w:p>
                    </w:tc>
                  </w:tr>
                  <w:tr>
                    <w:trPr>
                      <w:trHeight w:val="280" w:hRule="atLeast"/>
                    </w:trPr>
                    <w:tc>
                      <w:tcPr>
                        <w:tcW w:w="1446" w:type="dxa"/>
                      </w:tcPr>
                      <w:p>
                        <w:pPr>
                          <w:pStyle w:val="TableParagraph"/>
                          <w:spacing w:before="56"/>
                          <w:ind w:left="50"/>
                          <w:rPr>
                            <w:b/>
                            <w:sz w:val="14"/>
                          </w:rPr>
                        </w:pPr>
                        <w:r>
                          <w:rPr>
                            <w:b/>
                            <w:color w:val="231F20"/>
                            <w:sz w:val="14"/>
                          </w:rPr>
                          <w:t>GDP growth</w:t>
                        </w:r>
                      </w:p>
                    </w:tc>
                    <w:tc>
                      <w:tcPr>
                        <w:tcW w:w="385" w:type="dxa"/>
                      </w:tcPr>
                      <w:p>
                        <w:pPr>
                          <w:pStyle w:val="TableParagraph"/>
                          <w:rPr>
                            <w:sz w:val="18"/>
                          </w:rPr>
                        </w:pPr>
                      </w:p>
                    </w:tc>
                    <w:tc>
                      <w:tcPr>
                        <w:tcW w:w="141" w:type="dxa"/>
                      </w:tcPr>
                      <w:p>
                        <w:pPr>
                          <w:pStyle w:val="TableParagraph"/>
                          <w:rPr>
                            <w:sz w:val="18"/>
                          </w:rPr>
                        </w:pPr>
                      </w:p>
                    </w:tc>
                    <w:tc>
                      <w:tcPr>
                        <w:tcW w:w="340" w:type="dxa"/>
                      </w:tcPr>
                      <w:p>
                        <w:pPr>
                          <w:pStyle w:val="TableParagraph"/>
                          <w:rPr>
                            <w:sz w:val="18"/>
                          </w:rPr>
                        </w:pPr>
                      </w:p>
                    </w:tc>
                    <w:tc>
                      <w:tcPr>
                        <w:tcW w:w="206" w:type="dxa"/>
                      </w:tcPr>
                      <w:p>
                        <w:pPr>
                          <w:pStyle w:val="TableParagraph"/>
                          <w:rPr>
                            <w:sz w:val="18"/>
                          </w:rPr>
                        </w:pPr>
                      </w:p>
                    </w:tc>
                    <w:tc>
                      <w:tcPr>
                        <w:tcW w:w="341" w:type="dxa"/>
                      </w:tcPr>
                      <w:p>
                        <w:pPr>
                          <w:pStyle w:val="TableParagraph"/>
                          <w:rPr>
                            <w:sz w:val="18"/>
                          </w:rPr>
                        </w:pPr>
                      </w:p>
                    </w:tc>
                    <w:tc>
                      <w:tcPr>
                        <w:tcW w:w="173" w:type="dxa"/>
                      </w:tcPr>
                      <w:p>
                        <w:pPr>
                          <w:pStyle w:val="TableParagraph"/>
                          <w:rPr>
                            <w:sz w:val="18"/>
                          </w:rPr>
                        </w:pPr>
                      </w:p>
                    </w:tc>
                    <w:tc>
                      <w:tcPr>
                        <w:tcW w:w="348" w:type="dxa"/>
                      </w:tcPr>
                      <w:p>
                        <w:pPr>
                          <w:pStyle w:val="TableParagraph"/>
                          <w:rPr>
                            <w:sz w:val="18"/>
                          </w:rPr>
                        </w:pPr>
                      </w:p>
                    </w:tc>
                    <w:tc>
                      <w:tcPr>
                        <w:tcW w:w="135" w:type="dxa"/>
                      </w:tcPr>
                      <w:p>
                        <w:pPr>
                          <w:pStyle w:val="TableParagraph"/>
                          <w:rPr>
                            <w:sz w:val="18"/>
                          </w:rPr>
                        </w:pPr>
                      </w:p>
                    </w:tc>
                    <w:tc>
                      <w:tcPr>
                        <w:tcW w:w="345" w:type="dxa"/>
                      </w:tcPr>
                      <w:p>
                        <w:pPr>
                          <w:pStyle w:val="TableParagraph"/>
                          <w:rPr>
                            <w:sz w:val="18"/>
                          </w:rPr>
                        </w:pPr>
                      </w:p>
                    </w:tc>
                    <w:tc>
                      <w:tcPr>
                        <w:tcW w:w="137" w:type="dxa"/>
                      </w:tcPr>
                      <w:p>
                        <w:pPr>
                          <w:pStyle w:val="TableParagraph"/>
                          <w:rPr>
                            <w:sz w:val="18"/>
                          </w:rPr>
                        </w:pPr>
                      </w:p>
                    </w:tc>
                    <w:tc>
                      <w:tcPr>
                        <w:tcW w:w="332" w:type="dxa"/>
                      </w:tcPr>
                      <w:p>
                        <w:pPr>
                          <w:pStyle w:val="TableParagraph"/>
                          <w:rPr>
                            <w:sz w:val="18"/>
                          </w:rPr>
                        </w:pPr>
                      </w:p>
                    </w:tc>
                  </w:tr>
                  <w:tr>
                    <w:trPr>
                      <w:trHeight w:val="239" w:hRule="atLeast"/>
                    </w:trPr>
                    <w:tc>
                      <w:tcPr>
                        <w:tcW w:w="1446" w:type="dxa"/>
                      </w:tcPr>
                      <w:p>
                        <w:pPr>
                          <w:pStyle w:val="TableParagraph"/>
                          <w:spacing w:before="56"/>
                          <w:ind w:left="50"/>
                          <w:rPr>
                            <w:sz w:val="14"/>
                          </w:rPr>
                        </w:pPr>
                        <w:r>
                          <w:rPr>
                            <w:color w:val="231F20"/>
                            <w:sz w:val="14"/>
                          </w:rPr>
                          <w:t>Probability, per cent</w:t>
                        </w:r>
                      </w:p>
                    </w:tc>
                    <w:tc>
                      <w:tcPr>
                        <w:tcW w:w="385" w:type="dxa"/>
                        <w:tcBorders>
                          <w:bottom w:val="single" w:sz="2" w:space="0" w:color="231F20"/>
                        </w:tcBorders>
                      </w:tcPr>
                      <w:p>
                        <w:pPr>
                          <w:pStyle w:val="TableParagraph"/>
                          <w:spacing w:before="56"/>
                          <w:ind w:left="-12"/>
                          <w:rPr>
                            <w:sz w:val="14"/>
                          </w:rPr>
                        </w:pPr>
                        <w:r>
                          <w:rPr>
                            <w:color w:val="231F20"/>
                            <w:sz w:val="14"/>
                          </w:rPr>
                          <w:t>Range:</w:t>
                        </w:r>
                      </w:p>
                    </w:tc>
                    <w:tc>
                      <w:tcPr>
                        <w:tcW w:w="141" w:type="dxa"/>
                        <w:tcBorders>
                          <w:bottom w:val="single" w:sz="2" w:space="0" w:color="231F20"/>
                        </w:tcBorders>
                      </w:tcPr>
                      <w:p>
                        <w:pPr>
                          <w:pStyle w:val="TableParagraph"/>
                          <w:rPr>
                            <w:sz w:val="18"/>
                          </w:rPr>
                        </w:pPr>
                      </w:p>
                    </w:tc>
                    <w:tc>
                      <w:tcPr>
                        <w:tcW w:w="340" w:type="dxa"/>
                        <w:tcBorders>
                          <w:bottom w:val="single" w:sz="2" w:space="0" w:color="231F20"/>
                        </w:tcBorders>
                      </w:tcPr>
                      <w:p>
                        <w:pPr>
                          <w:pStyle w:val="TableParagraph"/>
                          <w:rPr>
                            <w:sz w:val="18"/>
                          </w:rPr>
                        </w:pPr>
                      </w:p>
                    </w:tc>
                    <w:tc>
                      <w:tcPr>
                        <w:tcW w:w="206" w:type="dxa"/>
                        <w:tcBorders>
                          <w:bottom w:val="single" w:sz="2" w:space="0" w:color="231F20"/>
                        </w:tcBorders>
                      </w:tcPr>
                      <w:p>
                        <w:pPr>
                          <w:pStyle w:val="TableParagraph"/>
                          <w:rPr>
                            <w:sz w:val="18"/>
                          </w:rPr>
                        </w:pPr>
                      </w:p>
                    </w:tc>
                    <w:tc>
                      <w:tcPr>
                        <w:tcW w:w="341" w:type="dxa"/>
                        <w:tcBorders>
                          <w:bottom w:val="single" w:sz="2" w:space="0" w:color="231F20"/>
                        </w:tcBorders>
                      </w:tcPr>
                      <w:p>
                        <w:pPr>
                          <w:pStyle w:val="TableParagraph"/>
                          <w:rPr>
                            <w:sz w:val="18"/>
                          </w:rPr>
                        </w:pPr>
                      </w:p>
                    </w:tc>
                    <w:tc>
                      <w:tcPr>
                        <w:tcW w:w="173" w:type="dxa"/>
                        <w:tcBorders>
                          <w:bottom w:val="single" w:sz="2" w:space="0" w:color="231F20"/>
                        </w:tcBorders>
                      </w:tcPr>
                      <w:p>
                        <w:pPr>
                          <w:pStyle w:val="TableParagraph"/>
                          <w:rPr>
                            <w:sz w:val="18"/>
                          </w:rPr>
                        </w:pPr>
                      </w:p>
                    </w:tc>
                    <w:tc>
                      <w:tcPr>
                        <w:tcW w:w="348" w:type="dxa"/>
                        <w:tcBorders>
                          <w:bottom w:val="single" w:sz="2" w:space="0" w:color="231F20"/>
                        </w:tcBorders>
                      </w:tcPr>
                      <w:p>
                        <w:pPr>
                          <w:pStyle w:val="TableParagraph"/>
                          <w:rPr>
                            <w:sz w:val="18"/>
                          </w:rPr>
                        </w:pPr>
                      </w:p>
                    </w:tc>
                    <w:tc>
                      <w:tcPr>
                        <w:tcW w:w="135" w:type="dxa"/>
                        <w:tcBorders>
                          <w:bottom w:val="single" w:sz="2" w:space="0" w:color="231F20"/>
                        </w:tcBorders>
                      </w:tcPr>
                      <w:p>
                        <w:pPr>
                          <w:pStyle w:val="TableParagraph"/>
                          <w:rPr>
                            <w:sz w:val="18"/>
                          </w:rPr>
                        </w:pPr>
                      </w:p>
                    </w:tc>
                    <w:tc>
                      <w:tcPr>
                        <w:tcW w:w="345" w:type="dxa"/>
                        <w:tcBorders>
                          <w:bottom w:val="single" w:sz="2" w:space="0" w:color="231F20"/>
                        </w:tcBorders>
                      </w:tcPr>
                      <w:p>
                        <w:pPr>
                          <w:pStyle w:val="TableParagraph"/>
                          <w:rPr>
                            <w:sz w:val="18"/>
                          </w:rPr>
                        </w:pPr>
                      </w:p>
                    </w:tc>
                    <w:tc>
                      <w:tcPr>
                        <w:tcW w:w="137" w:type="dxa"/>
                        <w:tcBorders>
                          <w:bottom w:val="single" w:sz="2" w:space="0" w:color="231F20"/>
                        </w:tcBorders>
                      </w:tcPr>
                      <w:p>
                        <w:pPr>
                          <w:pStyle w:val="TableParagraph"/>
                          <w:rPr>
                            <w:sz w:val="18"/>
                          </w:rPr>
                        </w:pPr>
                      </w:p>
                    </w:tc>
                    <w:tc>
                      <w:tcPr>
                        <w:tcW w:w="332" w:type="dxa"/>
                        <w:tcBorders>
                          <w:bottom w:val="single" w:sz="2" w:space="0" w:color="231F20"/>
                        </w:tcBorders>
                      </w:tcPr>
                      <w:p>
                        <w:pPr>
                          <w:pStyle w:val="TableParagraph"/>
                          <w:rPr>
                            <w:sz w:val="18"/>
                          </w:rPr>
                        </w:pPr>
                      </w:p>
                    </w:tc>
                  </w:tr>
                  <w:tr>
                    <w:trPr>
                      <w:trHeight w:val="145" w:hRule="atLeast"/>
                    </w:trPr>
                    <w:tc>
                      <w:tcPr>
                        <w:tcW w:w="1446" w:type="dxa"/>
                      </w:tcPr>
                      <w:p>
                        <w:pPr>
                          <w:pStyle w:val="TableParagraph"/>
                          <w:rPr>
                            <w:sz w:val="8"/>
                          </w:rPr>
                        </w:pPr>
                      </w:p>
                    </w:tc>
                    <w:tc>
                      <w:tcPr>
                        <w:tcW w:w="385" w:type="dxa"/>
                        <w:tcBorders>
                          <w:top w:val="single" w:sz="2" w:space="0" w:color="231F20"/>
                        </w:tcBorders>
                      </w:tcPr>
                      <w:p>
                        <w:pPr>
                          <w:pStyle w:val="TableParagraph"/>
                          <w:spacing w:line="115" w:lineRule="exact"/>
                          <w:ind w:left="13"/>
                          <w:rPr>
                            <w:sz w:val="14"/>
                          </w:rPr>
                        </w:pPr>
                        <w:r>
                          <w:rPr>
                            <w:color w:val="231F20"/>
                            <w:sz w:val="14"/>
                          </w:rPr>
                          <w:t>less</w:t>
                        </w:r>
                      </w:p>
                    </w:tc>
                    <w:tc>
                      <w:tcPr>
                        <w:tcW w:w="141" w:type="dxa"/>
                        <w:tcBorders>
                          <w:top w:val="single" w:sz="2" w:space="0" w:color="231F20"/>
                        </w:tcBorders>
                      </w:tcPr>
                      <w:p>
                        <w:pPr>
                          <w:pStyle w:val="TableParagraph"/>
                          <w:rPr>
                            <w:sz w:val="8"/>
                          </w:rPr>
                        </w:pPr>
                      </w:p>
                    </w:tc>
                    <w:tc>
                      <w:tcPr>
                        <w:tcW w:w="340" w:type="dxa"/>
                        <w:tcBorders>
                          <w:top w:val="single" w:sz="2" w:space="0" w:color="231F20"/>
                        </w:tcBorders>
                      </w:tcPr>
                      <w:p>
                        <w:pPr>
                          <w:pStyle w:val="TableParagraph"/>
                          <w:spacing w:line="115" w:lineRule="exact"/>
                          <w:ind w:left="29"/>
                          <w:rPr>
                            <w:sz w:val="14"/>
                          </w:rPr>
                        </w:pPr>
                        <w:r>
                          <w:rPr>
                            <w:color w:val="231F20"/>
                            <w:sz w:val="14"/>
                          </w:rPr>
                          <w:t>0%</w:t>
                        </w:r>
                      </w:p>
                    </w:tc>
                    <w:tc>
                      <w:tcPr>
                        <w:tcW w:w="206" w:type="dxa"/>
                        <w:tcBorders>
                          <w:top w:val="single" w:sz="2" w:space="0" w:color="231F20"/>
                        </w:tcBorders>
                      </w:tcPr>
                      <w:p>
                        <w:pPr>
                          <w:pStyle w:val="TableParagraph"/>
                          <w:rPr>
                            <w:sz w:val="8"/>
                          </w:rPr>
                        </w:pPr>
                      </w:p>
                    </w:tc>
                    <w:tc>
                      <w:tcPr>
                        <w:tcW w:w="341" w:type="dxa"/>
                        <w:tcBorders>
                          <w:top w:val="single" w:sz="2" w:space="0" w:color="231F20"/>
                        </w:tcBorders>
                      </w:tcPr>
                      <w:p>
                        <w:pPr>
                          <w:pStyle w:val="TableParagraph"/>
                          <w:spacing w:line="115" w:lineRule="exact"/>
                          <w:ind w:right="130"/>
                          <w:jc w:val="center"/>
                          <w:rPr>
                            <w:sz w:val="14"/>
                          </w:rPr>
                        </w:pPr>
                        <w:r>
                          <w:rPr>
                            <w:color w:val="231F20"/>
                            <w:sz w:val="14"/>
                          </w:rPr>
                          <w:t>1%</w:t>
                        </w:r>
                      </w:p>
                    </w:tc>
                    <w:tc>
                      <w:tcPr>
                        <w:tcW w:w="173" w:type="dxa"/>
                        <w:tcBorders>
                          <w:top w:val="single" w:sz="2" w:space="0" w:color="231F20"/>
                        </w:tcBorders>
                      </w:tcPr>
                      <w:p>
                        <w:pPr>
                          <w:pStyle w:val="TableParagraph"/>
                          <w:rPr>
                            <w:sz w:val="8"/>
                          </w:rPr>
                        </w:pPr>
                      </w:p>
                    </w:tc>
                    <w:tc>
                      <w:tcPr>
                        <w:tcW w:w="348" w:type="dxa"/>
                        <w:tcBorders>
                          <w:top w:val="single" w:sz="2" w:space="0" w:color="231F20"/>
                        </w:tcBorders>
                      </w:tcPr>
                      <w:p>
                        <w:pPr>
                          <w:pStyle w:val="TableParagraph"/>
                          <w:spacing w:line="115" w:lineRule="exact"/>
                          <w:ind w:left="8"/>
                          <w:rPr>
                            <w:sz w:val="14"/>
                          </w:rPr>
                        </w:pPr>
                        <w:r>
                          <w:rPr>
                            <w:color w:val="231F20"/>
                            <w:sz w:val="14"/>
                          </w:rPr>
                          <w:t>2%</w:t>
                        </w:r>
                      </w:p>
                    </w:tc>
                    <w:tc>
                      <w:tcPr>
                        <w:tcW w:w="135" w:type="dxa"/>
                        <w:tcBorders>
                          <w:top w:val="single" w:sz="2" w:space="0" w:color="231F20"/>
                        </w:tcBorders>
                      </w:tcPr>
                      <w:p>
                        <w:pPr>
                          <w:pStyle w:val="TableParagraph"/>
                          <w:rPr>
                            <w:sz w:val="8"/>
                          </w:rPr>
                        </w:pPr>
                      </w:p>
                    </w:tc>
                    <w:tc>
                      <w:tcPr>
                        <w:tcW w:w="345" w:type="dxa"/>
                        <w:tcBorders>
                          <w:top w:val="single" w:sz="2" w:space="0" w:color="231F20"/>
                        </w:tcBorders>
                      </w:tcPr>
                      <w:p>
                        <w:pPr>
                          <w:pStyle w:val="TableParagraph"/>
                          <w:spacing w:line="115" w:lineRule="exact"/>
                          <w:ind w:left="36"/>
                          <w:rPr>
                            <w:sz w:val="14"/>
                          </w:rPr>
                        </w:pPr>
                        <w:r>
                          <w:rPr>
                            <w:color w:val="231F20"/>
                            <w:sz w:val="14"/>
                          </w:rPr>
                          <w:t>3%</w:t>
                        </w:r>
                      </w:p>
                    </w:tc>
                    <w:tc>
                      <w:tcPr>
                        <w:tcW w:w="137" w:type="dxa"/>
                        <w:tcBorders>
                          <w:top w:val="single" w:sz="2" w:space="0" w:color="231F20"/>
                        </w:tcBorders>
                      </w:tcPr>
                      <w:p>
                        <w:pPr>
                          <w:pStyle w:val="TableParagraph"/>
                          <w:rPr>
                            <w:sz w:val="8"/>
                          </w:rPr>
                        </w:pPr>
                      </w:p>
                    </w:tc>
                    <w:tc>
                      <w:tcPr>
                        <w:tcW w:w="332" w:type="dxa"/>
                        <w:tcBorders>
                          <w:top w:val="single" w:sz="2" w:space="0" w:color="231F20"/>
                        </w:tcBorders>
                      </w:tcPr>
                      <w:p>
                        <w:pPr>
                          <w:pStyle w:val="TableParagraph"/>
                          <w:spacing w:line="115" w:lineRule="exact"/>
                          <w:ind w:left="-2"/>
                          <w:rPr>
                            <w:sz w:val="14"/>
                          </w:rPr>
                        </w:pPr>
                        <w:r>
                          <w:rPr>
                            <w:color w:val="231F20"/>
                            <w:sz w:val="14"/>
                          </w:rPr>
                          <w:t>more</w:t>
                        </w:r>
                      </w:p>
                    </w:tc>
                  </w:tr>
                  <w:tr>
                    <w:trPr>
                      <w:trHeight w:val="140" w:hRule="atLeast"/>
                    </w:trPr>
                    <w:tc>
                      <w:tcPr>
                        <w:tcW w:w="1446" w:type="dxa"/>
                      </w:tcPr>
                      <w:p>
                        <w:pPr>
                          <w:pStyle w:val="TableParagraph"/>
                          <w:rPr>
                            <w:sz w:val="8"/>
                          </w:rPr>
                        </w:pPr>
                      </w:p>
                    </w:tc>
                    <w:tc>
                      <w:tcPr>
                        <w:tcW w:w="385" w:type="dxa"/>
                      </w:tcPr>
                      <w:p>
                        <w:pPr>
                          <w:pStyle w:val="TableParagraph"/>
                          <w:spacing w:line="120" w:lineRule="exact"/>
                          <w:ind w:left="13"/>
                          <w:rPr>
                            <w:sz w:val="14"/>
                          </w:rPr>
                        </w:pPr>
                        <w:r>
                          <w:rPr>
                            <w:color w:val="231F20"/>
                            <w:sz w:val="14"/>
                          </w:rPr>
                          <w:t>than</w:t>
                        </w:r>
                      </w:p>
                    </w:tc>
                    <w:tc>
                      <w:tcPr>
                        <w:tcW w:w="141" w:type="dxa"/>
                      </w:tcPr>
                      <w:p>
                        <w:pPr>
                          <w:pStyle w:val="TableParagraph"/>
                          <w:rPr>
                            <w:sz w:val="8"/>
                          </w:rPr>
                        </w:pPr>
                      </w:p>
                    </w:tc>
                    <w:tc>
                      <w:tcPr>
                        <w:tcW w:w="340" w:type="dxa"/>
                      </w:tcPr>
                      <w:p>
                        <w:pPr>
                          <w:pStyle w:val="TableParagraph"/>
                          <w:spacing w:line="120" w:lineRule="exact"/>
                          <w:ind w:left="28"/>
                          <w:rPr>
                            <w:sz w:val="14"/>
                          </w:rPr>
                        </w:pPr>
                        <w:r>
                          <w:rPr>
                            <w:color w:val="231F20"/>
                            <w:sz w:val="14"/>
                          </w:rPr>
                          <w:t>to</w:t>
                        </w:r>
                      </w:p>
                    </w:tc>
                    <w:tc>
                      <w:tcPr>
                        <w:tcW w:w="206" w:type="dxa"/>
                      </w:tcPr>
                      <w:p>
                        <w:pPr>
                          <w:pStyle w:val="TableParagraph"/>
                          <w:rPr>
                            <w:sz w:val="8"/>
                          </w:rPr>
                        </w:pPr>
                      </w:p>
                    </w:tc>
                    <w:tc>
                      <w:tcPr>
                        <w:tcW w:w="341" w:type="dxa"/>
                      </w:tcPr>
                      <w:p>
                        <w:pPr>
                          <w:pStyle w:val="TableParagraph"/>
                          <w:spacing w:line="120" w:lineRule="exact"/>
                          <w:ind w:right="208"/>
                          <w:jc w:val="center"/>
                          <w:rPr>
                            <w:sz w:val="14"/>
                          </w:rPr>
                        </w:pPr>
                        <w:r>
                          <w:rPr>
                            <w:color w:val="231F20"/>
                            <w:sz w:val="14"/>
                          </w:rPr>
                          <w:t>to</w:t>
                        </w:r>
                      </w:p>
                    </w:tc>
                    <w:tc>
                      <w:tcPr>
                        <w:tcW w:w="173" w:type="dxa"/>
                      </w:tcPr>
                      <w:p>
                        <w:pPr>
                          <w:pStyle w:val="TableParagraph"/>
                          <w:rPr>
                            <w:sz w:val="8"/>
                          </w:rPr>
                        </w:pPr>
                      </w:p>
                    </w:tc>
                    <w:tc>
                      <w:tcPr>
                        <w:tcW w:w="348" w:type="dxa"/>
                      </w:tcPr>
                      <w:p>
                        <w:pPr>
                          <w:pStyle w:val="TableParagraph"/>
                          <w:spacing w:line="120" w:lineRule="exact"/>
                          <w:ind w:left="8"/>
                          <w:rPr>
                            <w:sz w:val="14"/>
                          </w:rPr>
                        </w:pPr>
                        <w:r>
                          <w:rPr>
                            <w:color w:val="231F20"/>
                            <w:sz w:val="14"/>
                          </w:rPr>
                          <w:t>to</w:t>
                        </w:r>
                      </w:p>
                    </w:tc>
                    <w:tc>
                      <w:tcPr>
                        <w:tcW w:w="135" w:type="dxa"/>
                      </w:tcPr>
                      <w:p>
                        <w:pPr>
                          <w:pStyle w:val="TableParagraph"/>
                          <w:rPr>
                            <w:sz w:val="8"/>
                          </w:rPr>
                        </w:pPr>
                      </w:p>
                    </w:tc>
                    <w:tc>
                      <w:tcPr>
                        <w:tcW w:w="345" w:type="dxa"/>
                      </w:tcPr>
                      <w:p>
                        <w:pPr>
                          <w:pStyle w:val="TableParagraph"/>
                          <w:spacing w:line="120" w:lineRule="exact"/>
                          <w:ind w:left="36"/>
                          <w:rPr>
                            <w:sz w:val="14"/>
                          </w:rPr>
                        </w:pPr>
                        <w:r>
                          <w:rPr>
                            <w:color w:val="231F20"/>
                            <w:sz w:val="14"/>
                          </w:rPr>
                          <w:t>to</w:t>
                        </w:r>
                      </w:p>
                    </w:tc>
                    <w:tc>
                      <w:tcPr>
                        <w:tcW w:w="137" w:type="dxa"/>
                      </w:tcPr>
                      <w:p>
                        <w:pPr>
                          <w:pStyle w:val="TableParagraph"/>
                          <w:rPr>
                            <w:sz w:val="8"/>
                          </w:rPr>
                        </w:pPr>
                      </w:p>
                    </w:tc>
                    <w:tc>
                      <w:tcPr>
                        <w:tcW w:w="332" w:type="dxa"/>
                      </w:tcPr>
                      <w:p>
                        <w:pPr>
                          <w:pStyle w:val="TableParagraph"/>
                          <w:spacing w:line="120" w:lineRule="exact"/>
                          <w:ind w:left="-1"/>
                          <w:rPr>
                            <w:sz w:val="14"/>
                          </w:rPr>
                        </w:pPr>
                        <w:r>
                          <w:rPr>
                            <w:color w:val="231F20"/>
                            <w:sz w:val="14"/>
                          </w:rPr>
                          <w:t>than</w:t>
                        </w:r>
                      </w:p>
                    </w:tc>
                  </w:tr>
                  <w:tr>
                    <w:trPr>
                      <w:trHeight w:val="185" w:hRule="atLeast"/>
                    </w:trPr>
                    <w:tc>
                      <w:tcPr>
                        <w:tcW w:w="1446" w:type="dxa"/>
                      </w:tcPr>
                      <w:p>
                        <w:pPr>
                          <w:pStyle w:val="TableParagraph"/>
                          <w:rPr>
                            <w:sz w:val="12"/>
                          </w:rPr>
                        </w:pPr>
                      </w:p>
                    </w:tc>
                    <w:tc>
                      <w:tcPr>
                        <w:tcW w:w="385" w:type="dxa"/>
                        <w:tcBorders>
                          <w:bottom w:val="single" w:sz="2" w:space="0" w:color="231F20"/>
                        </w:tcBorders>
                      </w:tcPr>
                      <w:p>
                        <w:pPr>
                          <w:pStyle w:val="TableParagraph"/>
                          <w:spacing w:line="148" w:lineRule="exact"/>
                          <w:ind w:left="13"/>
                          <w:rPr>
                            <w:sz w:val="14"/>
                          </w:rPr>
                        </w:pPr>
                        <w:r>
                          <w:rPr>
                            <w:color w:val="231F20"/>
                            <w:sz w:val="14"/>
                          </w:rPr>
                          <w:t>0%</w:t>
                        </w:r>
                      </w:p>
                    </w:tc>
                    <w:tc>
                      <w:tcPr>
                        <w:tcW w:w="141" w:type="dxa"/>
                      </w:tcPr>
                      <w:p>
                        <w:pPr>
                          <w:pStyle w:val="TableParagraph"/>
                          <w:rPr>
                            <w:sz w:val="12"/>
                          </w:rPr>
                        </w:pPr>
                      </w:p>
                    </w:tc>
                    <w:tc>
                      <w:tcPr>
                        <w:tcW w:w="340" w:type="dxa"/>
                        <w:tcBorders>
                          <w:bottom w:val="single" w:sz="2" w:space="0" w:color="231F20"/>
                        </w:tcBorders>
                      </w:tcPr>
                      <w:p>
                        <w:pPr>
                          <w:pStyle w:val="TableParagraph"/>
                          <w:spacing w:line="148" w:lineRule="exact"/>
                          <w:ind w:left="29"/>
                          <w:rPr>
                            <w:sz w:val="14"/>
                          </w:rPr>
                        </w:pPr>
                        <w:r>
                          <w:rPr>
                            <w:color w:val="231F20"/>
                            <w:sz w:val="14"/>
                          </w:rPr>
                          <w:t>1%</w:t>
                        </w:r>
                      </w:p>
                    </w:tc>
                    <w:tc>
                      <w:tcPr>
                        <w:tcW w:w="206" w:type="dxa"/>
                      </w:tcPr>
                      <w:p>
                        <w:pPr>
                          <w:pStyle w:val="TableParagraph"/>
                          <w:rPr>
                            <w:sz w:val="12"/>
                          </w:rPr>
                        </w:pPr>
                      </w:p>
                    </w:tc>
                    <w:tc>
                      <w:tcPr>
                        <w:tcW w:w="341" w:type="dxa"/>
                        <w:tcBorders>
                          <w:bottom w:val="single" w:sz="2" w:space="0" w:color="231F20"/>
                        </w:tcBorders>
                      </w:tcPr>
                      <w:p>
                        <w:pPr>
                          <w:pStyle w:val="TableParagraph"/>
                          <w:spacing w:line="148" w:lineRule="exact"/>
                          <w:ind w:right="130"/>
                          <w:jc w:val="center"/>
                          <w:rPr>
                            <w:sz w:val="14"/>
                          </w:rPr>
                        </w:pPr>
                        <w:r>
                          <w:rPr>
                            <w:color w:val="231F20"/>
                            <w:sz w:val="14"/>
                          </w:rPr>
                          <w:t>2%</w:t>
                        </w:r>
                      </w:p>
                    </w:tc>
                    <w:tc>
                      <w:tcPr>
                        <w:tcW w:w="173" w:type="dxa"/>
                      </w:tcPr>
                      <w:p>
                        <w:pPr>
                          <w:pStyle w:val="TableParagraph"/>
                          <w:rPr>
                            <w:sz w:val="12"/>
                          </w:rPr>
                        </w:pPr>
                      </w:p>
                    </w:tc>
                    <w:tc>
                      <w:tcPr>
                        <w:tcW w:w="348" w:type="dxa"/>
                        <w:tcBorders>
                          <w:bottom w:val="single" w:sz="2" w:space="0" w:color="231F20"/>
                        </w:tcBorders>
                      </w:tcPr>
                      <w:p>
                        <w:pPr>
                          <w:pStyle w:val="TableParagraph"/>
                          <w:spacing w:line="148" w:lineRule="exact"/>
                          <w:ind w:left="8"/>
                          <w:rPr>
                            <w:sz w:val="14"/>
                          </w:rPr>
                        </w:pPr>
                        <w:r>
                          <w:rPr>
                            <w:color w:val="231F20"/>
                            <w:sz w:val="14"/>
                          </w:rPr>
                          <w:t>3%</w:t>
                        </w:r>
                      </w:p>
                    </w:tc>
                    <w:tc>
                      <w:tcPr>
                        <w:tcW w:w="135" w:type="dxa"/>
                      </w:tcPr>
                      <w:p>
                        <w:pPr>
                          <w:pStyle w:val="TableParagraph"/>
                          <w:rPr>
                            <w:sz w:val="12"/>
                          </w:rPr>
                        </w:pPr>
                      </w:p>
                    </w:tc>
                    <w:tc>
                      <w:tcPr>
                        <w:tcW w:w="345" w:type="dxa"/>
                        <w:tcBorders>
                          <w:bottom w:val="single" w:sz="2" w:space="0" w:color="231F20"/>
                        </w:tcBorders>
                      </w:tcPr>
                      <w:p>
                        <w:pPr>
                          <w:pStyle w:val="TableParagraph"/>
                          <w:spacing w:line="148" w:lineRule="exact"/>
                          <w:ind w:left="36"/>
                          <w:rPr>
                            <w:sz w:val="14"/>
                          </w:rPr>
                        </w:pPr>
                        <w:r>
                          <w:rPr>
                            <w:color w:val="231F20"/>
                            <w:sz w:val="14"/>
                          </w:rPr>
                          <w:t>4%</w:t>
                        </w:r>
                      </w:p>
                    </w:tc>
                    <w:tc>
                      <w:tcPr>
                        <w:tcW w:w="137" w:type="dxa"/>
                      </w:tcPr>
                      <w:p>
                        <w:pPr>
                          <w:pStyle w:val="TableParagraph"/>
                          <w:rPr>
                            <w:sz w:val="12"/>
                          </w:rPr>
                        </w:pPr>
                      </w:p>
                    </w:tc>
                    <w:tc>
                      <w:tcPr>
                        <w:tcW w:w="332" w:type="dxa"/>
                        <w:tcBorders>
                          <w:bottom w:val="single" w:sz="2" w:space="0" w:color="231F20"/>
                        </w:tcBorders>
                      </w:tcPr>
                      <w:p>
                        <w:pPr>
                          <w:pStyle w:val="TableParagraph"/>
                          <w:spacing w:line="148" w:lineRule="exact"/>
                          <w:ind w:left="-2"/>
                          <w:rPr>
                            <w:sz w:val="14"/>
                          </w:rPr>
                        </w:pPr>
                        <w:r>
                          <w:rPr>
                            <w:color w:val="231F20"/>
                            <w:sz w:val="14"/>
                          </w:rPr>
                          <w:t>4%</w:t>
                        </w:r>
                      </w:p>
                    </w:tc>
                  </w:tr>
                  <w:tr>
                    <w:trPr>
                      <w:trHeight w:val="189" w:hRule="atLeast"/>
                    </w:trPr>
                    <w:tc>
                      <w:tcPr>
                        <w:tcW w:w="1446" w:type="dxa"/>
                      </w:tcPr>
                      <w:p>
                        <w:pPr>
                          <w:pStyle w:val="TableParagraph"/>
                          <w:spacing w:line="133" w:lineRule="exact" w:before="36"/>
                          <w:ind w:left="50"/>
                          <w:rPr>
                            <w:sz w:val="14"/>
                          </w:rPr>
                        </w:pPr>
                        <w:r>
                          <w:rPr>
                            <w:color w:val="231F20"/>
                            <w:sz w:val="14"/>
                          </w:rPr>
                          <w:t>2000 Q4</w:t>
                        </w:r>
                      </w:p>
                    </w:tc>
                    <w:tc>
                      <w:tcPr>
                        <w:tcW w:w="385" w:type="dxa"/>
                        <w:tcBorders>
                          <w:top w:val="single" w:sz="2" w:space="0" w:color="231F20"/>
                        </w:tcBorders>
                      </w:tcPr>
                      <w:p>
                        <w:pPr>
                          <w:pStyle w:val="TableParagraph"/>
                          <w:spacing w:line="133" w:lineRule="exact" w:before="41"/>
                          <w:ind w:left="94"/>
                          <w:rPr>
                            <w:sz w:val="14"/>
                          </w:rPr>
                        </w:pPr>
                        <w:r>
                          <w:rPr>
                            <w:color w:val="231F20"/>
                            <w:sz w:val="14"/>
                          </w:rPr>
                          <w:t>2</w:t>
                        </w:r>
                      </w:p>
                    </w:tc>
                    <w:tc>
                      <w:tcPr>
                        <w:tcW w:w="141" w:type="dxa"/>
                      </w:tcPr>
                      <w:p>
                        <w:pPr>
                          <w:pStyle w:val="TableParagraph"/>
                          <w:rPr>
                            <w:sz w:val="12"/>
                          </w:rPr>
                        </w:pPr>
                      </w:p>
                    </w:tc>
                    <w:tc>
                      <w:tcPr>
                        <w:tcW w:w="340" w:type="dxa"/>
                        <w:tcBorders>
                          <w:top w:val="single" w:sz="2" w:space="0" w:color="231F20"/>
                        </w:tcBorders>
                      </w:tcPr>
                      <w:p>
                        <w:pPr>
                          <w:pStyle w:val="TableParagraph"/>
                          <w:spacing w:line="133" w:lineRule="exact" w:before="36"/>
                          <w:ind w:right="31"/>
                          <w:jc w:val="center"/>
                          <w:rPr>
                            <w:sz w:val="14"/>
                          </w:rPr>
                        </w:pPr>
                        <w:r>
                          <w:rPr>
                            <w:color w:val="231F20"/>
                            <w:sz w:val="14"/>
                          </w:rPr>
                          <w:t>5</w:t>
                        </w:r>
                      </w:p>
                    </w:tc>
                    <w:tc>
                      <w:tcPr>
                        <w:tcW w:w="206" w:type="dxa"/>
                      </w:tcPr>
                      <w:p>
                        <w:pPr>
                          <w:pStyle w:val="TableParagraph"/>
                          <w:rPr>
                            <w:sz w:val="12"/>
                          </w:rPr>
                        </w:pPr>
                      </w:p>
                    </w:tc>
                    <w:tc>
                      <w:tcPr>
                        <w:tcW w:w="341" w:type="dxa"/>
                        <w:tcBorders>
                          <w:top w:val="single" w:sz="2" w:space="0" w:color="231F20"/>
                        </w:tcBorders>
                      </w:tcPr>
                      <w:p>
                        <w:pPr>
                          <w:pStyle w:val="TableParagraph"/>
                          <w:spacing w:line="133" w:lineRule="exact" w:before="36"/>
                          <w:ind w:right="154"/>
                          <w:jc w:val="center"/>
                          <w:rPr>
                            <w:sz w:val="14"/>
                          </w:rPr>
                        </w:pPr>
                        <w:r>
                          <w:rPr>
                            <w:color w:val="231F20"/>
                            <w:sz w:val="14"/>
                          </w:rPr>
                          <w:t>14</w:t>
                        </w:r>
                      </w:p>
                    </w:tc>
                    <w:tc>
                      <w:tcPr>
                        <w:tcW w:w="173" w:type="dxa"/>
                      </w:tcPr>
                      <w:p>
                        <w:pPr>
                          <w:pStyle w:val="TableParagraph"/>
                          <w:rPr>
                            <w:sz w:val="12"/>
                          </w:rPr>
                        </w:pPr>
                      </w:p>
                    </w:tc>
                    <w:tc>
                      <w:tcPr>
                        <w:tcW w:w="348" w:type="dxa"/>
                        <w:tcBorders>
                          <w:top w:val="single" w:sz="2" w:space="0" w:color="231F20"/>
                        </w:tcBorders>
                      </w:tcPr>
                      <w:p>
                        <w:pPr>
                          <w:pStyle w:val="TableParagraph"/>
                          <w:spacing w:line="133" w:lineRule="exact" w:before="36"/>
                          <w:ind w:left="38"/>
                          <w:rPr>
                            <w:sz w:val="14"/>
                          </w:rPr>
                        </w:pPr>
                        <w:r>
                          <w:rPr>
                            <w:color w:val="231F20"/>
                            <w:sz w:val="14"/>
                          </w:rPr>
                          <w:t>40</w:t>
                        </w:r>
                      </w:p>
                    </w:tc>
                    <w:tc>
                      <w:tcPr>
                        <w:tcW w:w="135" w:type="dxa"/>
                      </w:tcPr>
                      <w:p>
                        <w:pPr>
                          <w:pStyle w:val="TableParagraph"/>
                          <w:rPr>
                            <w:sz w:val="12"/>
                          </w:rPr>
                        </w:pPr>
                      </w:p>
                    </w:tc>
                    <w:tc>
                      <w:tcPr>
                        <w:tcW w:w="345" w:type="dxa"/>
                        <w:tcBorders>
                          <w:top w:val="single" w:sz="2" w:space="0" w:color="231F20"/>
                        </w:tcBorders>
                      </w:tcPr>
                      <w:p>
                        <w:pPr>
                          <w:pStyle w:val="TableParagraph"/>
                          <w:spacing w:line="133" w:lineRule="exact" w:before="36"/>
                          <w:ind w:left="45"/>
                          <w:rPr>
                            <w:sz w:val="14"/>
                          </w:rPr>
                        </w:pPr>
                        <w:r>
                          <w:rPr>
                            <w:color w:val="231F20"/>
                            <w:sz w:val="14"/>
                          </w:rPr>
                          <w:t>31</w:t>
                        </w:r>
                      </w:p>
                    </w:tc>
                    <w:tc>
                      <w:tcPr>
                        <w:tcW w:w="137" w:type="dxa"/>
                      </w:tcPr>
                      <w:p>
                        <w:pPr>
                          <w:pStyle w:val="TableParagraph"/>
                          <w:rPr>
                            <w:sz w:val="12"/>
                          </w:rPr>
                        </w:pPr>
                      </w:p>
                    </w:tc>
                    <w:tc>
                      <w:tcPr>
                        <w:tcW w:w="332" w:type="dxa"/>
                        <w:tcBorders>
                          <w:top w:val="single" w:sz="2" w:space="0" w:color="231F20"/>
                        </w:tcBorders>
                      </w:tcPr>
                      <w:p>
                        <w:pPr>
                          <w:pStyle w:val="TableParagraph"/>
                          <w:spacing w:line="133" w:lineRule="exact" w:before="36"/>
                          <w:ind w:left="63"/>
                          <w:rPr>
                            <w:sz w:val="14"/>
                          </w:rPr>
                        </w:pPr>
                        <w:r>
                          <w:rPr>
                            <w:color w:val="231F20"/>
                            <w:sz w:val="14"/>
                          </w:rPr>
                          <w:t>9</w:t>
                        </w:r>
                      </w:p>
                    </w:tc>
                  </w:tr>
                  <w:tr>
                    <w:trPr>
                      <w:trHeight w:val="140" w:hRule="atLeast"/>
                    </w:trPr>
                    <w:tc>
                      <w:tcPr>
                        <w:tcW w:w="1446" w:type="dxa"/>
                      </w:tcPr>
                      <w:p>
                        <w:pPr>
                          <w:pStyle w:val="TableParagraph"/>
                          <w:spacing w:line="120" w:lineRule="exact"/>
                          <w:ind w:left="50"/>
                          <w:rPr>
                            <w:sz w:val="14"/>
                          </w:rPr>
                        </w:pPr>
                        <w:r>
                          <w:rPr>
                            <w:color w:val="231F20"/>
                            <w:sz w:val="14"/>
                          </w:rPr>
                          <w:t>2001 Q4</w:t>
                        </w:r>
                      </w:p>
                    </w:tc>
                    <w:tc>
                      <w:tcPr>
                        <w:tcW w:w="385" w:type="dxa"/>
                      </w:tcPr>
                      <w:p>
                        <w:pPr>
                          <w:pStyle w:val="TableParagraph"/>
                          <w:spacing w:line="120" w:lineRule="exact"/>
                          <w:ind w:left="94"/>
                          <w:rPr>
                            <w:sz w:val="14"/>
                          </w:rPr>
                        </w:pPr>
                        <w:r>
                          <w:rPr>
                            <w:color w:val="231F20"/>
                            <w:sz w:val="14"/>
                          </w:rPr>
                          <w:t>3</w:t>
                        </w:r>
                      </w:p>
                    </w:tc>
                    <w:tc>
                      <w:tcPr>
                        <w:tcW w:w="141" w:type="dxa"/>
                      </w:tcPr>
                      <w:p>
                        <w:pPr>
                          <w:pStyle w:val="TableParagraph"/>
                          <w:rPr>
                            <w:sz w:val="8"/>
                          </w:rPr>
                        </w:pPr>
                      </w:p>
                    </w:tc>
                    <w:tc>
                      <w:tcPr>
                        <w:tcW w:w="340" w:type="dxa"/>
                      </w:tcPr>
                      <w:p>
                        <w:pPr>
                          <w:pStyle w:val="TableParagraph"/>
                          <w:spacing w:line="120" w:lineRule="exact"/>
                          <w:ind w:right="31"/>
                          <w:jc w:val="center"/>
                          <w:rPr>
                            <w:sz w:val="14"/>
                          </w:rPr>
                        </w:pPr>
                        <w:r>
                          <w:rPr>
                            <w:color w:val="231F20"/>
                            <w:sz w:val="14"/>
                          </w:rPr>
                          <w:t>8</w:t>
                        </w:r>
                      </w:p>
                    </w:tc>
                    <w:tc>
                      <w:tcPr>
                        <w:tcW w:w="206" w:type="dxa"/>
                      </w:tcPr>
                      <w:p>
                        <w:pPr>
                          <w:pStyle w:val="TableParagraph"/>
                          <w:rPr>
                            <w:sz w:val="8"/>
                          </w:rPr>
                        </w:pPr>
                      </w:p>
                    </w:tc>
                    <w:tc>
                      <w:tcPr>
                        <w:tcW w:w="341" w:type="dxa"/>
                      </w:tcPr>
                      <w:p>
                        <w:pPr>
                          <w:pStyle w:val="TableParagraph"/>
                          <w:spacing w:line="120" w:lineRule="exact"/>
                          <w:ind w:right="154"/>
                          <w:jc w:val="center"/>
                          <w:rPr>
                            <w:sz w:val="14"/>
                          </w:rPr>
                        </w:pPr>
                        <w:r>
                          <w:rPr>
                            <w:color w:val="231F20"/>
                            <w:sz w:val="14"/>
                          </w:rPr>
                          <w:t>23</w:t>
                        </w:r>
                      </w:p>
                    </w:tc>
                    <w:tc>
                      <w:tcPr>
                        <w:tcW w:w="173" w:type="dxa"/>
                      </w:tcPr>
                      <w:p>
                        <w:pPr>
                          <w:pStyle w:val="TableParagraph"/>
                          <w:rPr>
                            <w:sz w:val="8"/>
                          </w:rPr>
                        </w:pPr>
                      </w:p>
                    </w:tc>
                    <w:tc>
                      <w:tcPr>
                        <w:tcW w:w="348" w:type="dxa"/>
                      </w:tcPr>
                      <w:p>
                        <w:pPr>
                          <w:pStyle w:val="TableParagraph"/>
                          <w:spacing w:line="120" w:lineRule="exact"/>
                          <w:ind w:left="38"/>
                          <w:rPr>
                            <w:sz w:val="14"/>
                          </w:rPr>
                        </w:pPr>
                        <w:r>
                          <w:rPr>
                            <w:color w:val="231F20"/>
                            <w:sz w:val="14"/>
                          </w:rPr>
                          <w:t>44</w:t>
                        </w:r>
                      </w:p>
                    </w:tc>
                    <w:tc>
                      <w:tcPr>
                        <w:tcW w:w="135" w:type="dxa"/>
                      </w:tcPr>
                      <w:p>
                        <w:pPr>
                          <w:pStyle w:val="TableParagraph"/>
                          <w:rPr>
                            <w:sz w:val="8"/>
                          </w:rPr>
                        </w:pPr>
                      </w:p>
                    </w:tc>
                    <w:tc>
                      <w:tcPr>
                        <w:tcW w:w="345" w:type="dxa"/>
                      </w:tcPr>
                      <w:p>
                        <w:pPr>
                          <w:pStyle w:val="TableParagraph"/>
                          <w:spacing w:line="120" w:lineRule="exact"/>
                          <w:ind w:left="45"/>
                          <w:rPr>
                            <w:sz w:val="14"/>
                          </w:rPr>
                        </w:pPr>
                        <w:r>
                          <w:rPr>
                            <w:color w:val="231F20"/>
                            <w:sz w:val="14"/>
                          </w:rPr>
                          <w:t>17</w:t>
                        </w:r>
                      </w:p>
                    </w:tc>
                    <w:tc>
                      <w:tcPr>
                        <w:tcW w:w="137" w:type="dxa"/>
                      </w:tcPr>
                      <w:p>
                        <w:pPr>
                          <w:pStyle w:val="TableParagraph"/>
                          <w:rPr>
                            <w:sz w:val="8"/>
                          </w:rPr>
                        </w:pPr>
                      </w:p>
                    </w:tc>
                    <w:tc>
                      <w:tcPr>
                        <w:tcW w:w="332" w:type="dxa"/>
                      </w:tcPr>
                      <w:p>
                        <w:pPr>
                          <w:pStyle w:val="TableParagraph"/>
                          <w:spacing w:line="120" w:lineRule="exact"/>
                          <w:ind w:left="63"/>
                          <w:rPr>
                            <w:sz w:val="14"/>
                          </w:rPr>
                        </w:pPr>
                        <w:r>
                          <w:rPr>
                            <w:color w:val="231F20"/>
                            <w:sz w:val="14"/>
                          </w:rPr>
                          <w:t>5</w:t>
                        </w:r>
                      </w:p>
                    </w:tc>
                  </w:tr>
                  <w:tr>
                    <w:trPr>
                      <w:trHeight w:val="147" w:hRule="atLeast"/>
                    </w:trPr>
                    <w:tc>
                      <w:tcPr>
                        <w:tcW w:w="1446" w:type="dxa"/>
                      </w:tcPr>
                      <w:p>
                        <w:pPr>
                          <w:pStyle w:val="TableParagraph"/>
                          <w:spacing w:line="128" w:lineRule="exact"/>
                          <w:ind w:left="50"/>
                          <w:rPr>
                            <w:sz w:val="12"/>
                          </w:rPr>
                        </w:pPr>
                        <w:r>
                          <w:rPr>
                            <w:color w:val="231F20"/>
                            <w:sz w:val="14"/>
                          </w:rPr>
                          <w:t>2002 Q1 </w:t>
                        </w:r>
                        <w:r>
                          <w:rPr>
                            <w:color w:val="231F20"/>
                            <w:sz w:val="12"/>
                          </w:rPr>
                          <w:t>(c)</w:t>
                        </w:r>
                      </w:p>
                    </w:tc>
                    <w:tc>
                      <w:tcPr>
                        <w:tcW w:w="385" w:type="dxa"/>
                      </w:tcPr>
                      <w:p>
                        <w:pPr>
                          <w:pStyle w:val="TableParagraph"/>
                          <w:spacing w:line="128" w:lineRule="exact"/>
                          <w:ind w:left="94"/>
                          <w:rPr>
                            <w:sz w:val="14"/>
                          </w:rPr>
                        </w:pPr>
                        <w:r>
                          <w:rPr>
                            <w:color w:val="231F20"/>
                            <w:sz w:val="14"/>
                          </w:rPr>
                          <w:t>4</w:t>
                        </w:r>
                      </w:p>
                    </w:tc>
                    <w:tc>
                      <w:tcPr>
                        <w:tcW w:w="141" w:type="dxa"/>
                      </w:tcPr>
                      <w:p>
                        <w:pPr>
                          <w:pStyle w:val="TableParagraph"/>
                          <w:rPr>
                            <w:sz w:val="8"/>
                          </w:rPr>
                        </w:pPr>
                      </w:p>
                    </w:tc>
                    <w:tc>
                      <w:tcPr>
                        <w:tcW w:w="340" w:type="dxa"/>
                      </w:tcPr>
                      <w:p>
                        <w:pPr>
                          <w:pStyle w:val="TableParagraph"/>
                          <w:spacing w:line="128" w:lineRule="exact"/>
                          <w:ind w:right="31"/>
                          <w:jc w:val="center"/>
                          <w:rPr>
                            <w:sz w:val="14"/>
                          </w:rPr>
                        </w:pPr>
                        <w:r>
                          <w:rPr>
                            <w:color w:val="231F20"/>
                            <w:sz w:val="14"/>
                          </w:rPr>
                          <w:t>9</w:t>
                        </w:r>
                      </w:p>
                    </w:tc>
                    <w:tc>
                      <w:tcPr>
                        <w:tcW w:w="206" w:type="dxa"/>
                      </w:tcPr>
                      <w:p>
                        <w:pPr>
                          <w:pStyle w:val="TableParagraph"/>
                          <w:rPr>
                            <w:sz w:val="8"/>
                          </w:rPr>
                        </w:pPr>
                      </w:p>
                    </w:tc>
                    <w:tc>
                      <w:tcPr>
                        <w:tcW w:w="341" w:type="dxa"/>
                      </w:tcPr>
                      <w:p>
                        <w:pPr>
                          <w:pStyle w:val="TableParagraph"/>
                          <w:spacing w:line="128" w:lineRule="exact"/>
                          <w:ind w:right="154"/>
                          <w:jc w:val="center"/>
                          <w:rPr>
                            <w:sz w:val="14"/>
                          </w:rPr>
                        </w:pPr>
                        <w:r>
                          <w:rPr>
                            <w:color w:val="231F20"/>
                            <w:sz w:val="14"/>
                          </w:rPr>
                          <w:t>25</w:t>
                        </w:r>
                      </w:p>
                    </w:tc>
                    <w:tc>
                      <w:tcPr>
                        <w:tcW w:w="173" w:type="dxa"/>
                      </w:tcPr>
                      <w:p>
                        <w:pPr>
                          <w:pStyle w:val="TableParagraph"/>
                          <w:rPr>
                            <w:sz w:val="8"/>
                          </w:rPr>
                        </w:pPr>
                      </w:p>
                    </w:tc>
                    <w:tc>
                      <w:tcPr>
                        <w:tcW w:w="348" w:type="dxa"/>
                      </w:tcPr>
                      <w:p>
                        <w:pPr>
                          <w:pStyle w:val="TableParagraph"/>
                          <w:spacing w:line="128" w:lineRule="exact"/>
                          <w:ind w:left="38"/>
                          <w:rPr>
                            <w:sz w:val="14"/>
                          </w:rPr>
                        </w:pPr>
                        <w:r>
                          <w:rPr>
                            <w:color w:val="231F20"/>
                            <w:sz w:val="14"/>
                          </w:rPr>
                          <w:t>41</w:t>
                        </w:r>
                      </w:p>
                    </w:tc>
                    <w:tc>
                      <w:tcPr>
                        <w:tcW w:w="135" w:type="dxa"/>
                      </w:tcPr>
                      <w:p>
                        <w:pPr>
                          <w:pStyle w:val="TableParagraph"/>
                          <w:rPr>
                            <w:sz w:val="8"/>
                          </w:rPr>
                        </w:pPr>
                      </w:p>
                    </w:tc>
                    <w:tc>
                      <w:tcPr>
                        <w:tcW w:w="345" w:type="dxa"/>
                      </w:tcPr>
                      <w:p>
                        <w:pPr>
                          <w:pStyle w:val="TableParagraph"/>
                          <w:spacing w:line="128" w:lineRule="exact"/>
                          <w:ind w:left="45"/>
                          <w:rPr>
                            <w:sz w:val="14"/>
                          </w:rPr>
                        </w:pPr>
                        <w:r>
                          <w:rPr>
                            <w:color w:val="231F20"/>
                            <w:sz w:val="14"/>
                          </w:rPr>
                          <w:t>15</w:t>
                        </w:r>
                      </w:p>
                    </w:tc>
                    <w:tc>
                      <w:tcPr>
                        <w:tcW w:w="137" w:type="dxa"/>
                      </w:tcPr>
                      <w:p>
                        <w:pPr>
                          <w:pStyle w:val="TableParagraph"/>
                          <w:rPr>
                            <w:sz w:val="8"/>
                          </w:rPr>
                        </w:pPr>
                      </w:p>
                    </w:tc>
                    <w:tc>
                      <w:tcPr>
                        <w:tcW w:w="332" w:type="dxa"/>
                      </w:tcPr>
                      <w:p>
                        <w:pPr>
                          <w:pStyle w:val="TableParagraph"/>
                          <w:spacing w:line="128" w:lineRule="exact"/>
                          <w:ind w:left="63"/>
                          <w:rPr>
                            <w:sz w:val="14"/>
                          </w:rPr>
                        </w:pPr>
                        <w:r>
                          <w:rPr>
                            <w:color w:val="231F20"/>
                            <w:sz w:val="14"/>
                          </w:rPr>
                          <w:t>5</w:t>
                        </w:r>
                      </w:p>
                    </w:tc>
                  </w:tr>
                </w:tbl>
                <w:p>
                  <w:pPr>
                    <w:pStyle w:val="BodyText"/>
                  </w:pPr>
                </w:p>
              </w:txbxContent>
            </v:textbox>
            <w10:wrap type="none"/>
          </v:shape>
        </w:pict>
      </w:r>
      <w:r>
        <w:rPr>
          <w:color w:val="231F20"/>
          <w:sz w:val="14"/>
        </w:rPr>
        <w:t>Probability, per cent</w:t>
        <w:tab/>
        <w:t>Range:</w:t>
      </w:r>
    </w:p>
    <w:p>
      <w:pPr>
        <w:pStyle w:val="Heading6"/>
        <w:spacing w:before="4"/>
        <w:ind w:left="194"/>
      </w:pPr>
      <w:r>
        <w:rPr/>
        <w:br w:type="column"/>
      </w:r>
      <w:r>
        <w:rPr>
          <w:color w:val="231F20"/>
        </w:rPr>
        <w:t>1.3% to 3.6%), rising to 2.4% in 2001 Q4 (with a range</w:t>
      </w:r>
    </w:p>
    <w:p>
      <w:pPr>
        <w:spacing w:line="242" w:lineRule="auto" w:before="4"/>
        <w:ind w:left="194" w:right="260" w:firstLine="0"/>
        <w:jc w:val="left"/>
        <w:rPr>
          <w:sz w:val="24"/>
        </w:rPr>
      </w:pPr>
      <w:r>
        <w:rPr>
          <w:color w:val="231F20"/>
          <w:sz w:val="24"/>
        </w:rPr>
        <w:t>of 1.7% to 3.0%), and remaining at 2.4% in 2002 Q1 (with a range of 1.9% to 2.7%). The distribution of central projections in 2002 Q1 is shown in Chart 6.8. The estimates for 2000 and 2001 are slightly lower than the projections made at the time of the October survey. The forecasters assign a probability of around 43% to inflation being above target in the first quarter of 2002, and a probability of around 57% to it being below (see Table 6.D). A little more weight is placed on lower outturns for inflation than in the November </w:t>
      </w:r>
      <w:r>
        <w:rPr>
          <w:i/>
          <w:color w:val="231F20"/>
          <w:sz w:val="24"/>
        </w:rPr>
        <w:t>Report</w:t>
      </w:r>
      <w:r>
        <w:rPr>
          <w:color w:val="231F20"/>
          <w:sz w:val="24"/>
        </w:rPr>
        <w:t>.</w:t>
      </w:r>
    </w:p>
    <w:p>
      <w:pPr>
        <w:pStyle w:val="BodyText"/>
        <w:spacing w:before="2"/>
        <w:rPr>
          <w:sz w:val="27"/>
        </w:rPr>
      </w:pPr>
    </w:p>
    <w:p>
      <w:pPr>
        <w:spacing w:line="242" w:lineRule="auto" w:before="0"/>
        <w:ind w:left="194" w:right="368" w:firstLine="0"/>
        <w:jc w:val="left"/>
        <w:rPr>
          <w:sz w:val="24"/>
        </w:rPr>
      </w:pPr>
      <w:r>
        <w:rPr>
          <w:color w:val="231F20"/>
          <w:sz w:val="24"/>
        </w:rPr>
        <w:t>The forecasters’ average projection for GDP growth in the year to 2000 Q4 is 2</w:t>
      </w:r>
      <w:r>
        <w:rPr>
          <w:color w:val="231F20"/>
          <w:position w:val="8"/>
          <w:sz w:val="12"/>
        </w:rPr>
        <w:t>3</w:t>
      </w:r>
      <w:r>
        <w:rPr>
          <w:color w:val="231F20"/>
          <w:sz w:val="24"/>
        </w:rPr>
        <w:t>/</w:t>
      </w:r>
      <w:r>
        <w:rPr>
          <w:color w:val="231F20"/>
          <w:sz w:val="12"/>
        </w:rPr>
        <w:t>4</w:t>
      </w:r>
      <w:r>
        <w:rPr>
          <w:color w:val="231F20"/>
          <w:sz w:val="24"/>
        </w:rPr>
        <w:t>% (with a range of 2% to 3</w:t>
      </w:r>
      <w:r>
        <w:rPr>
          <w:color w:val="231F20"/>
          <w:position w:val="8"/>
          <w:sz w:val="12"/>
        </w:rPr>
        <w:t>3</w:t>
      </w:r>
      <w:r>
        <w:rPr>
          <w:color w:val="231F20"/>
          <w:sz w:val="24"/>
        </w:rPr>
        <w:t>/</w:t>
      </w:r>
      <w:r>
        <w:rPr>
          <w:color w:val="231F20"/>
          <w:sz w:val="12"/>
        </w:rPr>
        <w:t>4</w:t>
      </w:r>
      <w:r>
        <w:rPr>
          <w:color w:val="231F20"/>
          <w:sz w:val="24"/>
        </w:rPr>
        <w:t>%), falling to 2</w:t>
      </w:r>
      <w:r>
        <w:rPr>
          <w:color w:val="231F20"/>
          <w:position w:val="8"/>
          <w:sz w:val="12"/>
        </w:rPr>
        <w:t>1</w:t>
      </w:r>
      <w:r>
        <w:rPr>
          <w:color w:val="231F20"/>
          <w:sz w:val="24"/>
        </w:rPr>
        <w:t>/</w:t>
      </w:r>
      <w:r>
        <w:rPr>
          <w:color w:val="231F20"/>
          <w:sz w:val="12"/>
        </w:rPr>
        <w:t>4</w:t>
      </w:r>
      <w:r>
        <w:rPr>
          <w:color w:val="231F20"/>
          <w:sz w:val="24"/>
        </w:rPr>
        <w:t>% in the year to 2002 Q1 (with a</w:t>
      </w:r>
    </w:p>
    <w:p>
      <w:pPr>
        <w:spacing w:after="0" w:line="242" w:lineRule="auto"/>
        <w:jc w:val="left"/>
        <w:rPr>
          <w:sz w:val="24"/>
        </w:rPr>
        <w:sectPr>
          <w:type w:val="continuous"/>
          <w:pgSz w:w="11900" w:h="16840"/>
          <w:pgMar w:top="1220" w:bottom="280" w:left="620" w:right="640"/>
          <w:cols w:num="2" w:equalWidth="0">
            <w:col w:w="4433" w:space="367"/>
            <w:col w:w="5840"/>
          </w:cols>
        </w:sectPr>
      </w:pPr>
    </w:p>
    <w:p>
      <w:pPr>
        <w:tabs>
          <w:tab w:pos="2980" w:val="left" w:leader="none"/>
        </w:tabs>
        <w:spacing w:line="20" w:lineRule="exact" w:before="14"/>
        <w:ind w:left="2167" w:right="0" w:firstLine="0"/>
        <w:jc w:val="center"/>
        <w:rPr>
          <w:sz w:val="12"/>
        </w:rPr>
      </w:pPr>
      <w:r>
        <w:rPr>
          <w:color w:val="231F20"/>
          <w:sz w:val="12"/>
        </w:rPr>
        <w:t>1</w:t>
        <w:tab/>
        <w:t>1</w:t>
      </w:r>
    </w:p>
    <w:p>
      <w:pPr>
        <w:spacing w:after="0" w:line="20" w:lineRule="exact"/>
        <w:jc w:val="center"/>
        <w:rPr>
          <w:sz w:val="12"/>
        </w:rPr>
        <w:sectPr>
          <w:type w:val="continuous"/>
          <w:pgSz w:w="11900" w:h="16840"/>
          <w:pgMar w:top="1220" w:bottom="280" w:left="620" w:right="640"/>
        </w:sectPr>
      </w:pPr>
    </w:p>
    <w:p>
      <w:pPr>
        <w:pStyle w:val="BodyText"/>
        <w:rPr>
          <w:sz w:val="12"/>
        </w:rPr>
      </w:pPr>
    </w:p>
    <w:p>
      <w:pPr>
        <w:pStyle w:val="BodyText"/>
        <w:rPr>
          <w:sz w:val="12"/>
        </w:rPr>
      </w:pPr>
    </w:p>
    <w:p>
      <w:pPr>
        <w:pStyle w:val="BodyText"/>
        <w:spacing w:before="4"/>
        <w:rPr>
          <w:sz w:val="9"/>
        </w:rPr>
      </w:pPr>
    </w:p>
    <w:p>
      <w:pPr>
        <w:pStyle w:val="ListParagraph"/>
        <w:numPr>
          <w:ilvl w:val="0"/>
          <w:numId w:val="39"/>
        </w:numPr>
        <w:tabs>
          <w:tab w:pos="440" w:val="left" w:leader="none"/>
        </w:tabs>
        <w:spacing w:line="208" w:lineRule="auto" w:before="0" w:after="0"/>
        <w:ind w:left="439" w:right="38" w:hanging="240"/>
        <w:jc w:val="left"/>
        <w:rPr>
          <w:sz w:val="12"/>
        </w:rPr>
      </w:pPr>
      <w:r>
        <w:rPr>
          <w:color w:val="231F20"/>
          <w:sz w:val="12"/>
        </w:rPr>
        <w:t>27 other forecasters provided the Bank with their assessment of the likelihood, at three time horizons, of expected twelve-month RPIX inflation and four-quarter output growth falling in the ranges shown above. This table represents the </w:t>
      </w:r>
      <w:r>
        <w:rPr>
          <w:color w:val="231F20"/>
          <w:spacing w:val="-4"/>
          <w:sz w:val="12"/>
        </w:rPr>
        <w:t>means </w:t>
      </w:r>
      <w:r>
        <w:rPr>
          <w:color w:val="231F20"/>
          <w:sz w:val="12"/>
        </w:rPr>
        <w:t>of the responses for each range. For example, on average, forecasters assign a probability of 7% to inflation turning out to be less than 1.5% in 2002 Q1. Rows may not sum to 100 because of rounding.</w:t>
      </w:r>
    </w:p>
    <w:p>
      <w:pPr>
        <w:pStyle w:val="Heading6"/>
        <w:spacing w:line="246" w:lineRule="exact"/>
        <w:ind w:left="199"/>
      </w:pPr>
      <w:r>
        <w:rPr/>
        <w:br w:type="column"/>
      </w:r>
      <w:r>
        <w:rPr>
          <w:color w:val="231F20"/>
        </w:rPr>
        <w:t>range of 1 /</w:t>
      </w:r>
      <w:r>
        <w:rPr>
          <w:color w:val="231F20"/>
          <w:sz w:val="12"/>
        </w:rPr>
        <w:t>2</w:t>
      </w:r>
      <w:r>
        <w:rPr>
          <w:color w:val="231F20"/>
        </w:rPr>
        <w:t>% to 3 /</w:t>
      </w:r>
      <w:r>
        <w:rPr>
          <w:color w:val="231F20"/>
          <w:sz w:val="12"/>
        </w:rPr>
        <w:t>2</w:t>
      </w:r>
      <w:r>
        <w:rPr>
          <w:color w:val="231F20"/>
        </w:rPr>
        <w:t>%). The estimates for GDP growth</w:t>
      </w:r>
    </w:p>
    <w:p>
      <w:pPr>
        <w:spacing w:before="4"/>
        <w:ind w:left="199" w:right="0" w:firstLine="0"/>
        <w:jc w:val="left"/>
        <w:rPr>
          <w:sz w:val="24"/>
        </w:rPr>
      </w:pPr>
      <w:r>
        <w:rPr>
          <w:color w:val="231F20"/>
          <w:sz w:val="24"/>
        </w:rPr>
        <w:t>are little changed from the November </w:t>
      </w:r>
      <w:r>
        <w:rPr>
          <w:i/>
          <w:color w:val="231F20"/>
          <w:sz w:val="24"/>
        </w:rPr>
        <w:t>Report</w:t>
      </w:r>
      <w:r>
        <w:rPr>
          <w:color w:val="231F20"/>
          <w:sz w:val="24"/>
        </w:rPr>
        <w:t>.</w:t>
      </w:r>
    </w:p>
    <w:p>
      <w:pPr>
        <w:pStyle w:val="BodyText"/>
        <w:spacing w:before="5"/>
        <w:rPr>
          <w:sz w:val="26"/>
        </w:rPr>
      </w:pPr>
    </w:p>
    <w:p>
      <w:pPr>
        <w:spacing w:line="265" w:lineRule="exact" w:before="0"/>
        <w:ind w:left="199" w:right="0" w:firstLine="0"/>
        <w:jc w:val="left"/>
        <w:rPr>
          <w:sz w:val="24"/>
        </w:rPr>
      </w:pPr>
      <w:r>
        <w:rPr>
          <w:color w:val="231F20"/>
          <w:sz w:val="24"/>
        </w:rPr>
        <w:t>The forecasters’ average projection for the official</w:t>
      </w:r>
    </w:p>
    <w:p>
      <w:pPr>
        <w:spacing w:after="0" w:line="265" w:lineRule="exact"/>
        <w:jc w:val="left"/>
        <w:rPr>
          <w:sz w:val="24"/>
        </w:rPr>
        <w:sectPr>
          <w:type w:val="continuous"/>
          <w:pgSz w:w="11900" w:h="16840"/>
          <w:pgMar w:top="1220" w:bottom="280" w:left="620" w:right="640"/>
          <w:cols w:num="2" w:equalWidth="0">
            <w:col w:w="4399" w:space="396"/>
            <w:col w:w="5845"/>
          </w:cols>
        </w:sectPr>
      </w:pPr>
    </w:p>
    <w:p>
      <w:pPr>
        <w:pStyle w:val="ListParagraph"/>
        <w:numPr>
          <w:ilvl w:val="0"/>
          <w:numId w:val="39"/>
        </w:numPr>
        <w:tabs>
          <w:tab w:pos="440" w:val="left" w:leader="none"/>
          <w:tab w:pos="7660" w:val="left" w:leader="none"/>
          <w:tab w:pos="9872" w:val="right" w:leader="none"/>
        </w:tabs>
        <w:spacing w:line="16" w:lineRule="exact" w:before="0" w:after="0"/>
        <w:ind w:left="439" w:right="0" w:hanging="241"/>
        <w:jc w:val="left"/>
        <w:rPr>
          <w:sz w:val="12"/>
        </w:rPr>
      </w:pPr>
      <w:r>
        <w:rPr>
          <w:color w:val="231F20"/>
          <w:sz w:val="12"/>
        </w:rPr>
        <w:t>26 forecasters.</w:t>
        <w:tab/>
      </w:r>
      <w:r>
        <w:rPr>
          <w:color w:val="231F20"/>
          <w:position w:val="-4"/>
          <w:sz w:val="12"/>
        </w:rPr>
        <w:t>1</w:t>
        <w:tab/>
        <w:t>3</w:t>
      </w:r>
    </w:p>
    <w:p>
      <w:pPr>
        <w:spacing w:after="0" w:line="16" w:lineRule="exact"/>
        <w:jc w:val="left"/>
        <w:rPr>
          <w:sz w:val="12"/>
        </w:rPr>
        <w:sectPr>
          <w:type w:val="continuous"/>
          <w:pgSz w:w="11900" w:h="16840"/>
          <w:pgMar w:top="1220" w:bottom="280" w:left="620" w:right="640"/>
        </w:sectPr>
      </w:pPr>
    </w:p>
    <w:p>
      <w:pPr>
        <w:pStyle w:val="ListParagraph"/>
        <w:numPr>
          <w:ilvl w:val="0"/>
          <w:numId w:val="39"/>
        </w:numPr>
        <w:tabs>
          <w:tab w:pos="440" w:val="left" w:leader="none"/>
        </w:tabs>
        <w:spacing w:line="240" w:lineRule="auto" w:before="89" w:after="0"/>
        <w:ind w:left="439" w:right="0" w:hanging="241"/>
        <w:jc w:val="left"/>
        <w:rPr>
          <w:sz w:val="12"/>
        </w:rPr>
      </w:pPr>
      <w:r>
        <w:rPr>
          <w:color w:val="231F20"/>
          <w:sz w:val="12"/>
        </w:rPr>
        <w:t>25 forecasters.</w:t>
      </w:r>
    </w:p>
    <w:p>
      <w:pPr>
        <w:pStyle w:val="Heading6"/>
        <w:spacing w:line="266" w:lineRule="exact"/>
        <w:ind w:left="199"/>
      </w:pPr>
      <w:r>
        <w:rPr/>
        <w:br w:type="column"/>
      </w:r>
      <w:r>
        <w:rPr>
          <w:color w:val="231F20"/>
        </w:rPr>
        <w:t>interest rate in 2000 Q4 is 6 /</w:t>
      </w:r>
      <w:r>
        <w:rPr>
          <w:color w:val="231F20"/>
          <w:sz w:val="12"/>
        </w:rPr>
        <w:t>2</w:t>
      </w:r>
      <w:r>
        <w:rPr>
          <w:color w:val="231F20"/>
        </w:rPr>
        <w:t>% (with a range of 5 /</w:t>
      </w:r>
      <w:r>
        <w:rPr>
          <w:color w:val="231F20"/>
          <w:sz w:val="12"/>
        </w:rPr>
        <w:t>4</w:t>
      </w:r>
      <w:r>
        <w:rPr>
          <w:color w:val="231F20"/>
        </w:rPr>
        <w:t>% to</w:t>
      </w:r>
    </w:p>
    <w:p>
      <w:pPr>
        <w:spacing w:after="0" w:line="266" w:lineRule="exact"/>
        <w:sectPr>
          <w:type w:val="continuous"/>
          <w:pgSz w:w="11900" w:h="16840"/>
          <w:pgMar w:top="1220" w:bottom="280" w:left="620" w:right="640"/>
          <w:cols w:num="2" w:equalWidth="0">
            <w:col w:w="1180" w:space="3615"/>
            <w:col w:w="5845"/>
          </w:cols>
        </w:sectPr>
      </w:pPr>
    </w:p>
    <w:p>
      <w:pPr>
        <w:pStyle w:val="BodyText"/>
        <w:rPr>
          <w:sz w:val="20"/>
        </w:rPr>
      </w:pPr>
    </w:p>
    <w:p>
      <w:pPr>
        <w:spacing w:after="0"/>
        <w:rPr>
          <w:sz w:val="20"/>
        </w:rPr>
        <w:sectPr>
          <w:pgSz w:w="11900" w:h="16840"/>
          <w:pgMar w:header="584" w:footer="617" w:top="780" w:bottom="800" w:left="620" w:right="640"/>
        </w:sectPr>
      </w:pPr>
    </w:p>
    <w:p>
      <w:pPr>
        <w:pStyle w:val="BodyText"/>
        <w:spacing w:before="6"/>
        <w:rPr>
          <w:sz w:val="20"/>
        </w:rPr>
      </w:pPr>
    </w:p>
    <w:p>
      <w:pPr>
        <w:pStyle w:val="Heading9"/>
        <w:spacing w:before="0"/>
        <w:ind w:left="200"/>
      </w:pPr>
      <w:r>
        <w:rPr>
          <w:color w:val="0093C1"/>
        </w:rPr>
        <w:t>Chart 6.9</w:t>
      </w:r>
    </w:p>
    <w:p>
      <w:pPr>
        <w:spacing w:line="249" w:lineRule="auto" w:before="10"/>
        <w:ind w:left="200" w:right="277" w:firstLine="0"/>
        <w:jc w:val="left"/>
        <w:rPr>
          <w:b/>
          <w:sz w:val="20"/>
        </w:rPr>
      </w:pPr>
      <w:r>
        <w:rPr>
          <w:b/>
          <w:color w:val="0093C1"/>
          <w:sz w:val="20"/>
        </w:rPr>
        <w:t>Distribution of repo rate forecasts for 2002 Q1</w:t>
      </w:r>
    </w:p>
    <w:p>
      <w:pPr>
        <w:spacing w:line="122" w:lineRule="exact" w:before="106"/>
        <w:ind w:left="2452" w:right="0" w:firstLine="0"/>
        <w:jc w:val="left"/>
        <w:rPr>
          <w:sz w:val="12"/>
        </w:rPr>
      </w:pPr>
      <w:r>
        <w:rPr>
          <w:color w:val="231F20"/>
          <w:sz w:val="12"/>
        </w:rPr>
        <w:t>Number of forecasts</w:t>
      </w:r>
    </w:p>
    <w:p>
      <w:pPr>
        <w:spacing w:line="122" w:lineRule="exact" w:before="0"/>
        <w:ind w:left="3487" w:right="0" w:firstLine="0"/>
        <w:jc w:val="left"/>
        <w:rPr>
          <w:sz w:val="12"/>
        </w:rPr>
      </w:pPr>
      <w:r>
        <w:rPr/>
        <w:pict>
          <v:group style="position:absolute;margin-left:43.083pt;margin-top:2.542847pt;width:152.450pt;height:145.7pt;mso-position-horizontal-relative:page;mso-position-vertical-relative:paragraph;z-index:16308736" coordorigin="862,51" coordsize="3049,2914">
            <v:rect style="position:absolute;left:2020;top:2198;width:140;height:715" filled="true" fillcolor="#0099d8" stroked="false">
              <v:fill type="solid"/>
            </v:rect>
            <v:rect style="position:absolute;left:2020;top:2198;width:140;height:715" filled="false" stroked="true" strokeweight=".5pt" strokecolor="#231f20">
              <v:stroke dashstyle="solid"/>
            </v:rect>
            <v:rect style="position:absolute;left:2312;top:55;width:140;height:2858" filled="true" fillcolor="#0099d8" stroked="false">
              <v:fill type="solid"/>
            </v:rect>
            <v:rect style="position:absolute;left:2312;top:55;width:140;height:2858" filled="false" stroked="true" strokeweight=".5pt" strokecolor="#231f20">
              <v:stroke dashstyle="solid"/>
            </v:rect>
            <v:rect style="position:absolute;left:2460;top:1135;width:128;height:1778" filled="true" fillcolor="#0099d8" stroked="false">
              <v:fill type="solid"/>
            </v:rect>
            <v:rect style="position:absolute;left:2460;top:1135;width:128;height:1778" filled="false" stroked="true" strokeweight=".5pt" strokecolor="#231f20">
              <v:stroke dashstyle="solid"/>
            </v:rect>
            <v:rect style="position:absolute;left:2597;top:2198;width:138;height:715" filled="true" fillcolor="#0099d8" stroked="false">
              <v:fill type="solid"/>
            </v:rect>
            <v:rect style="position:absolute;left:2597;top:2198;width:138;height:715" filled="false" stroked="true" strokeweight=".5pt" strokecolor="#231f20">
              <v:stroke dashstyle="solid"/>
            </v:rect>
            <v:rect style="position:absolute;left:2742;top:1848;width:140;height:1065" filled="true" fillcolor="#0099d8" stroked="false">
              <v:fill type="solid"/>
            </v:rect>
            <v:rect style="position:absolute;left:2742;top:1848;width:140;height:1065" filled="false" stroked="true" strokeweight=".5pt" strokecolor="#231f20">
              <v:stroke dashstyle="solid"/>
            </v:rect>
            <v:rect style="position:absolute;left:2890;top:2563;width:138;height:350" filled="true" fillcolor="#0099d8" stroked="false">
              <v:fill type="solid"/>
            </v:rect>
            <v:rect style="position:absolute;left:2890;top:2563;width:138;height:350" filled="false" stroked="true" strokeweight=".5pt" strokecolor="#231f20">
              <v:stroke dashstyle="solid"/>
            </v:rect>
            <v:rect style="position:absolute;left:3035;top:2563;width:140;height:350" filled="true" fillcolor="#0099d8" stroked="false">
              <v:fill type="solid"/>
            </v:rect>
            <v:rect style="position:absolute;left:3035;top:2563;width:140;height:350" filled="false" stroked="true" strokeweight=".5pt" strokecolor="#231f20">
              <v:stroke dashstyle="solid"/>
            </v:rect>
            <v:rect style="position:absolute;left:3465;top:2563;width:140;height:350" filled="true" fillcolor="#0099d8" stroked="false">
              <v:fill type="solid"/>
            </v:rect>
            <v:shape style="position:absolute;left:861;top:2563;width:3044;height:402" coordorigin="862,2563" coordsize="3044,402" path="m3465,2563l3605,2563,3605,2913,3465,2913,3465,2563xm862,2913l937,2913m1000,2913l3904,2913m1298,2961l1298,2908m2161,2965l2161,2912m2020,2961l2020,2908m1875,2961l1875,2908m1728,2961l1728,2908m1150,2961l1150,2908m1580,2961l1580,2908m1445,2961l1445,2908m1005,2961l1005,2908m2594,2962l2594,2910m2456,2962l2456,2910m2313,2961l2313,2908m2886,2962l2886,2910m2739,2962l2739,2910m3330,2961l3330,2908m3175,2960l3175,2907m3031,2961l3031,2908m3465,2961l3465,2908m3905,2961l3905,2908m3760,2961l3760,2908m3606,2962l3606,2910e" filled="false" stroked="true" strokeweight=".5pt" strokecolor="#231f20">
              <v:path arrowok="t"/>
              <v:stroke dashstyle="solid"/>
            </v:shape>
            <w10:wrap type="none"/>
          </v:group>
        </w:pict>
      </w:r>
      <w:r>
        <w:rPr/>
        <w:pict>
          <v:line style="position:absolute;mso-position-horizontal-relative:page;mso-position-vertical-relative:paragraph;z-index:16310784" from="43.083pt,2.792847pt" to="46.833pt,2.792847pt" stroked="true" strokeweight=".5pt" strokecolor="#231f20">
            <v:stroke dashstyle="solid"/>
            <w10:wrap type="none"/>
          </v:line>
        </w:pict>
      </w:r>
      <w:r>
        <w:rPr/>
        <w:pict>
          <v:line style="position:absolute;mso-position-horizontal-relative:page;mso-position-vertical-relative:paragraph;z-index:16313344" from="199.5pt,2.792847pt" to="203.25pt,2.792847pt" stroked="true" strokeweight=".5pt" strokecolor="#231f20">
            <v:stroke dashstyle="solid"/>
            <w10:wrap type="none"/>
          </v:line>
        </w:pict>
      </w:r>
      <w:r>
        <w:rPr>
          <w:color w:val="231F20"/>
          <w:sz w:val="12"/>
        </w:rPr>
        <w:t>8</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3487" w:right="0" w:firstLine="0"/>
        <w:jc w:val="left"/>
        <w:rPr>
          <w:sz w:val="12"/>
        </w:rPr>
      </w:pPr>
      <w:r>
        <w:rPr/>
        <w:pict>
          <v:line style="position:absolute;mso-position-horizontal-relative:page;mso-position-vertical-relative:paragraph;z-index:16309248" from="43.083pt,3.720947pt" to="46.833pt,3.720947pt" stroked="true" strokeweight=".5pt" strokecolor="#231f20">
            <v:stroke dashstyle="solid"/>
            <w10:wrap type="none"/>
          </v:line>
        </w:pict>
      </w:r>
      <w:r>
        <w:rPr/>
        <w:pict>
          <v:line style="position:absolute;mso-position-horizontal-relative:page;mso-position-vertical-relative:paragraph;z-index:16311296" from="199.5pt,3.720947pt" to="203.25pt,3.720947pt" stroked="true" strokeweight=".5pt" strokecolor="#231f20">
            <v:stroke dashstyle="solid"/>
            <w10:wrap type="none"/>
          </v:line>
        </w:pict>
      </w:r>
      <w:r>
        <w:rPr>
          <w:color w:val="231F20"/>
          <w:sz w:val="12"/>
        </w:rPr>
        <w:t>6</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3487" w:right="0" w:firstLine="0"/>
        <w:jc w:val="left"/>
        <w:rPr>
          <w:sz w:val="12"/>
        </w:rPr>
      </w:pPr>
      <w:r>
        <w:rPr/>
        <w:pict>
          <v:line style="position:absolute;mso-position-horizontal-relative:page;mso-position-vertical-relative:paragraph;z-index:16310272" from="43.083pt,3.596191pt" to="46.833pt,3.596191pt" stroked="true" strokeweight=".5pt" strokecolor="#231f20">
            <v:stroke dashstyle="solid"/>
            <w10:wrap type="none"/>
          </v:line>
        </w:pict>
      </w:r>
      <w:r>
        <w:rPr/>
        <w:pict>
          <v:line style="position:absolute;mso-position-horizontal-relative:page;mso-position-vertical-relative:paragraph;z-index:16312832" from="199.5pt,3.596191pt" to="203.25pt,3.596191pt" stroked="true" strokeweight=".5pt" strokecolor="#231f20">
            <v:stroke dashstyle="solid"/>
            <w10:wrap type="none"/>
          </v:line>
        </w:pict>
      </w:r>
      <w:r>
        <w:rPr>
          <w:color w:val="231F20"/>
          <w:sz w:val="12"/>
        </w:rPr>
        <w:t>4</w:t>
      </w:r>
    </w:p>
    <w:p>
      <w:pPr>
        <w:pStyle w:val="BodyText"/>
        <w:rPr>
          <w:sz w:val="12"/>
        </w:rPr>
      </w:pPr>
    </w:p>
    <w:p>
      <w:pPr>
        <w:pStyle w:val="BodyText"/>
        <w:rPr>
          <w:sz w:val="12"/>
        </w:rPr>
      </w:pPr>
    </w:p>
    <w:p>
      <w:pPr>
        <w:pStyle w:val="BodyText"/>
        <w:rPr>
          <w:sz w:val="12"/>
        </w:rPr>
      </w:pPr>
    </w:p>
    <w:p>
      <w:pPr>
        <w:pStyle w:val="BodyText"/>
        <w:rPr>
          <w:sz w:val="14"/>
        </w:rPr>
      </w:pPr>
    </w:p>
    <w:p>
      <w:pPr>
        <w:spacing w:before="0"/>
        <w:ind w:left="3487" w:right="0" w:firstLine="0"/>
        <w:jc w:val="left"/>
        <w:rPr>
          <w:sz w:val="12"/>
        </w:rPr>
      </w:pPr>
      <w:r>
        <w:rPr/>
        <w:pict>
          <v:line style="position:absolute;mso-position-horizontal-relative:page;mso-position-vertical-relative:paragraph;z-index:16309760" from="43.083pt,3.721191pt" to="46.833pt,3.721191pt" stroked="true" strokeweight=".5pt" strokecolor="#231f20">
            <v:stroke dashstyle="solid"/>
            <w10:wrap type="none"/>
          </v:line>
        </w:pict>
      </w:r>
      <w:r>
        <w:rPr/>
        <w:pict>
          <v:line style="position:absolute;mso-position-horizontal-relative:page;mso-position-vertical-relative:paragraph;z-index:16312320" from="199.5pt,3.721191pt" to="203.25pt,3.721191pt" stroked="true" strokeweight=".5pt" strokecolor="#231f20">
            <v:stroke dashstyle="solid"/>
            <w10:wrap type="none"/>
          </v:line>
        </w:pict>
      </w:r>
      <w:r>
        <w:rPr>
          <w:color w:val="231F20"/>
          <w:sz w:val="12"/>
        </w:rPr>
        <w:t>2</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3487" w:right="0" w:firstLine="0"/>
        <w:jc w:val="left"/>
        <w:rPr>
          <w:sz w:val="12"/>
        </w:rPr>
      </w:pPr>
      <w:r>
        <w:rPr/>
        <w:pict>
          <v:line style="position:absolute;mso-position-horizontal-relative:page;mso-position-vertical-relative:paragraph;z-index:16311808" from="199.5pt,3.596375pt" to="203.25pt,3.596375pt" stroked="true" strokeweight=".5pt" strokecolor="#231f20">
            <v:stroke dashstyle="solid"/>
            <w10:wrap type="none"/>
          </v:line>
        </w:pict>
      </w:r>
      <w:r>
        <w:rPr>
          <w:color w:val="231F20"/>
          <w:sz w:val="12"/>
        </w:rPr>
        <w:t>0</w:t>
      </w:r>
    </w:p>
    <w:p>
      <w:pPr>
        <w:spacing w:before="27"/>
        <w:ind w:left="295" w:right="0" w:firstLine="0"/>
        <w:jc w:val="left"/>
        <w:rPr>
          <w:sz w:val="12"/>
        </w:rPr>
      </w:pPr>
      <w:r>
        <w:rPr>
          <w:color w:val="231F20"/>
          <w:sz w:val="12"/>
        </w:rPr>
        <w:t>2.8 3.4 4.0 4.6 5.2 5.8 6.4 7.0 7.6 8.2 8.8</w:t>
      </w:r>
    </w:p>
    <w:p>
      <w:pPr>
        <w:spacing w:before="29"/>
        <w:ind w:left="1546" w:right="0" w:firstLine="0"/>
        <w:jc w:val="left"/>
        <w:rPr>
          <w:sz w:val="12"/>
        </w:rPr>
      </w:pPr>
      <w:r>
        <w:rPr>
          <w:color w:val="231F20"/>
          <w:sz w:val="12"/>
        </w:rPr>
        <w:t>Range of forecasts</w:t>
      </w:r>
    </w:p>
    <w:p>
      <w:pPr>
        <w:spacing w:before="102"/>
        <w:ind w:left="200" w:right="0" w:firstLine="0"/>
        <w:jc w:val="left"/>
        <w:rPr>
          <w:sz w:val="12"/>
        </w:rPr>
      </w:pPr>
      <w:r>
        <w:rPr>
          <w:color w:val="231F20"/>
          <w:sz w:val="12"/>
        </w:rPr>
        <w:t>Source: Forecasts of 23 outside forecasters as at 28 January 2000.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3"/>
        </w:rPr>
      </w:pPr>
    </w:p>
    <w:p>
      <w:pPr>
        <w:pStyle w:val="Heading9"/>
        <w:spacing w:before="0"/>
      </w:pPr>
      <w:r>
        <w:rPr>
          <w:color w:val="0093C1"/>
        </w:rPr>
        <w:t>Chart 6.10</w:t>
      </w:r>
    </w:p>
    <w:p>
      <w:pPr>
        <w:spacing w:line="249" w:lineRule="auto" w:before="10"/>
        <w:ind w:left="190" w:right="20" w:firstLine="0"/>
        <w:jc w:val="left"/>
        <w:rPr>
          <w:b/>
          <w:sz w:val="20"/>
        </w:rPr>
      </w:pPr>
      <w:r>
        <w:rPr>
          <w:b/>
          <w:color w:val="0093C1"/>
          <w:sz w:val="20"/>
        </w:rPr>
        <w:t>Distribution of sterling ERI forecasts for 2002 Q1</w:t>
      </w:r>
    </w:p>
    <w:p>
      <w:pPr>
        <w:spacing w:line="242" w:lineRule="auto" w:before="216"/>
        <w:ind w:left="190" w:right="187" w:firstLine="0"/>
        <w:jc w:val="left"/>
        <w:rPr>
          <w:sz w:val="24"/>
        </w:rPr>
      </w:pPr>
      <w:r>
        <w:rPr/>
        <w:br w:type="column"/>
      </w:r>
      <w:r>
        <w:rPr>
          <w:color w:val="231F20"/>
          <w:sz w:val="24"/>
        </w:rPr>
        <w:t>7%), falling to 6% by 2002 Q1 (with a range of 5% to 8%). The estimates are a little higher on average than in November. Assumptions for the level of the sterling exchange rate have also been raised, reflecting the </w:t>
      </w:r>
      <w:r>
        <w:rPr>
          <w:color w:val="231F20"/>
          <w:spacing w:val="-3"/>
          <w:sz w:val="24"/>
        </w:rPr>
        <w:t>recent </w:t>
      </w:r>
      <w:r>
        <w:rPr>
          <w:color w:val="231F20"/>
          <w:sz w:val="24"/>
        </w:rPr>
        <w:t>appreciation.  On average, the forecasters assume that the sterling ERI will fall to 104.4 by 2000 Q4 (with a range of 93.0 to 110.9), and to 101.2 by 2002 Q1 (with a range of 93.0 to 110.0)—a steeper fall than assumed in the </w:t>
      </w:r>
      <w:r>
        <w:rPr>
          <w:color w:val="231F20"/>
          <w:spacing w:val="-3"/>
          <w:sz w:val="24"/>
        </w:rPr>
        <w:t>MPC’s </w:t>
      </w:r>
      <w:r>
        <w:rPr>
          <w:color w:val="231F20"/>
          <w:sz w:val="24"/>
        </w:rPr>
        <w:t>central projection in this </w:t>
      </w:r>
      <w:r>
        <w:rPr>
          <w:i/>
          <w:color w:val="231F20"/>
          <w:sz w:val="24"/>
        </w:rPr>
        <w:t>Report</w:t>
      </w:r>
      <w:r>
        <w:rPr>
          <w:color w:val="231F20"/>
          <w:sz w:val="24"/>
        </w:rPr>
        <w:t>. Charts 6.9 and 6.10 show the distribution of the forecasters’ assumptions about the repo rate and the sterling ERI respectively.</w:t>
      </w:r>
    </w:p>
    <w:p>
      <w:pPr>
        <w:pStyle w:val="BodyText"/>
        <w:spacing w:before="7"/>
        <w:rPr>
          <w:sz w:val="25"/>
        </w:rPr>
      </w:pPr>
    </w:p>
    <w:p>
      <w:pPr>
        <w:spacing w:line="242" w:lineRule="auto" w:before="1"/>
        <w:ind w:left="190" w:right="181" w:firstLine="0"/>
        <w:jc w:val="left"/>
        <w:rPr>
          <w:b/>
          <w:sz w:val="24"/>
        </w:rPr>
      </w:pPr>
      <w:hyperlink w:history="true" w:anchor="_bookmark0">
        <w:r>
          <w:rPr>
            <w:b/>
            <w:color w:val="231F20"/>
            <w:sz w:val="24"/>
          </w:rPr>
          <w:t>The implications of the latest projections for the stance of monetary policy are discussed in the Overview at the beginning of this </w:t>
        </w:r>
        <w:r>
          <w:rPr>
            <w:b/>
            <w:i/>
            <w:color w:val="231F20"/>
            <w:sz w:val="24"/>
          </w:rPr>
          <w:t>Report</w:t>
        </w:r>
        <w:r>
          <w:rPr>
            <w:b/>
            <w:color w:val="231F20"/>
            <w:sz w:val="24"/>
          </w:rPr>
          <w:t>.</w:t>
        </w:r>
      </w:hyperlink>
    </w:p>
    <w:p>
      <w:pPr>
        <w:spacing w:after="0" w:line="242" w:lineRule="auto"/>
        <w:jc w:val="left"/>
        <w:rPr>
          <w:sz w:val="24"/>
        </w:rPr>
        <w:sectPr>
          <w:type w:val="continuous"/>
          <w:pgSz w:w="11900" w:h="16840"/>
          <w:pgMar w:top="1220" w:bottom="280" w:left="620" w:right="640"/>
          <w:cols w:num="2" w:equalWidth="0">
            <w:col w:w="3702" w:space="1088"/>
            <w:col w:w="5850"/>
          </w:cols>
        </w:sectPr>
      </w:pPr>
    </w:p>
    <w:p>
      <w:pPr>
        <w:spacing w:line="122" w:lineRule="exact" w:before="60"/>
        <w:ind w:left="2432" w:right="0" w:firstLine="0"/>
        <w:jc w:val="left"/>
        <w:rPr>
          <w:sz w:val="12"/>
        </w:rPr>
      </w:pPr>
      <w:r>
        <w:rPr>
          <w:color w:val="231F20"/>
          <w:sz w:val="12"/>
        </w:rPr>
        <w:t>Number of forecasts</w:t>
      </w:r>
    </w:p>
    <w:p>
      <w:pPr>
        <w:spacing w:line="122" w:lineRule="exact" w:before="0"/>
        <w:ind w:left="3489" w:right="0" w:firstLine="0"/>
        <w:jc w:val="left"/>
        <w:rPr>
          <w:sz w:val="12"/>
        </w:rPr>
      </w:pPr>
      <w:r>
        <w:rPr/>
        <w:pict>
          <v:line style="position:absolute;mso-position-horizontal-relative:page;mso-position-vertical-relative:paragraph;z-index:16315904" from="42.75pt,2.772812pt" to="46.5pt,2.772812pt" stroked="true" strokeweight=".5pt" strokecolor="#231f20">
            <v:stroke dashstyle="solid"/>
            <w10:wrap type="none"/>
          </v:line>
        </w:pict>
      </w:r>
      <w:r>
        <w:rPr/>
        <w:pict>
          <v:line style="position:absolute;mso-position-horizontal-relative:page;mso-position-vertical-relative:paragraph;z-index:16317952" from="198.5pt,2.772812pt" to="202.25pt,2.772812pt" stroked="true" strokeweight=".5pt" strokecolor="#231f20">
            <v:stroke dashstyle="solid"/>
            <w10:wrap type="none"/>
          </v:line>
        </w:pict>
      </w:r>
      <w:r>
        <w:rPr>
          <w:color w:val="231F20"/>
          <w:sz w:val="12"/>
        </w:rPr>
        <w:t>8</w:t>
      </w:r>
    </w:p>
    <w:p>
      <w:pPr>
        <w:pStyle w:val="BodyText"/>
        <w:rPr>
          <w:sz w:val="20"/>
        </w:rPr>
      </w:pPr>
    </w:p>
    <w:p>
      <w:pPr>
        <w:pStyle w:val="BodyText"/>
        <w:spacing w:before="4"/>
        <w:rPr>
          <w:sz w:val="22"/>
        </w:rPr>
      </w:pPr>
    </w:p>
    <w:p>
      <w:pPr>
        <w:spacing w:before="95"/>
        <w:ind w:left="3489" w:right="0" w:firstLine="0"/>
        <w:jc w:val="left"/>
        <w:rPr>
          <w:sz w:val="12"/>
        </w:rPr>
      </w:pPr>
      <w:r>
        <w:rPr/>
        <w:pict>
          <v:line style="position:absolute;mso-position-horizontal-relative:page;mso-position-vertical-relative:paragraph;z-index:16314368" from="42.75pt,8.221832pt" to="46.5pt,8.221832pt" stroked="true" strokeweight=".5pt" strokecolor="#231f20">
            <v:stroke dashstyle="solid"/>
            <w10:wrap type="none"/>
          </v:line>
        </w:pict>
      </w:r>
      <w:r>
        <w:rPr/>
        <w:pict>
          <v:line style="position:absolute;mso-position-horizontal-relative:page;mso-position-vertical-relative:paragraph;z-index:16316416" from="198.5pt,8.221832pt" to="202.25pt,8.221832pt" stroked="true" strokeweight=".5pt" strokecolor="#231f20">
            <v:stroke dashstyle="solid"/>
            <w10:wrap type="none"/>
          </v:line>
        </w:pict>
      </w:r>
      <w:r>
        <w:rPr>
          <w:color w:val="231F20"/>
          <w:sz w:val="12"/>
        </w:rPr>
        <w:t>6</w:t>
      </w:r>
    </w:p>
    <w:p>
      <w:pPr>
        <w:pStyle w:val="BodyText"/>
        <w:rPr>
          <w:sz w:val="20"/>
        </w:rPr>
      </w:pPr>
    </w:p>
    <w:p>
      <w:pPr>
        <w:pStyle w:val="BodyText"/>
        <w:spacing w:before="8"/>
        <w:rPr>
          <w:sz w:val="23"/>
        </w:rPr>
      </w:pPr>
    </w:p>
    <w:p>
      <w:pPr>
        <w:spacing w:before="95"/>
        <w:ind w:left="3489" w:right="0" w:firstLine="0"/>
        <w:jc w:val="left"/>
        <w:rPr>
          <w:sz w:val="12"/>
        </w:rPr>
      </w:pPr>
      <w:r>
        <w:rPr/>
        <w:pict>
          <v:group style="position:absolute;margin-left:42.75pt;margin-top:7.971832pt;width:159.5pt;height:74.7pt;mso-position-horizontal-relative:page;mso-position-vertical-relative:paragraph;z-index:16313856" coordorigin="855,159" coordsize="3190,1494">
            <v:rect style="position:absolute;left:1862;top:1234;width:138;height:370" filled="true" fillcolor="#40ad49" stroked="false">
              <v:fill type="solid"/>
            </v:rect>
            <v:rect style="position:absolute;left:1862;top:1234;width:138;height:370" filled="false" stroked="true" strokeweight=".5pt" strokecolor="#231f20">
              <v:stroke dashstyle="solid"/>
            </v:rect>
            <v:rect style="position:absolute;left:2155;top:164;width:138;height:1440" filled="true" fillcolor="#40ad49" stroked="false">
              <v:fill type="solid"/>
            </v:rect>
            <v:rect style="position:absolute;left:2155;top:164;width:138;height:1440" filled="false" stroked="true" strokeweight=".5pt" strokecolor="#231f20">
              <v:stroke dashstyle="solid"/>
            </v:rect>
            <v:rect style="position:absolute;left:2300;top:164;width:138;height:1440" filled="true" fillcolor="#40ad49" stroked="false">
              <v:fill type="solid"/>
            </v:rect>
            <v:rect style="position:absolute;left:2300;top:164;width:138;height:1440" filled="false" stroked="true" strokeweight=".5pt" strokecolor="#231f20">
              <v:stroke dashstyle="solid"/>
            </v:rect>
            <v:rect style="position:absolute;left:2447;top:164;width:138;height:1440" filled="true" fillcolor="#40ad49" stroked="false">
              <v:fill type="solid"/>
            </v:rect>
            <v:rect style="position:absolute;left:2447;top:164;width:138;height:1440" filled="false" stroked="true" strokeweight=".5pt" strokecolor="#231f20">
              <v:stroke dashstyle="solid"/>
            </v:rect>
            <v:rect style="position:absolute;left:2592;top:884;width:138;height:720" filled="true" fillcolor="#40ad49" stroked="false">
              <v:fill type="solid"/>
            </v:rect>
            <v:rect style="position:absolute;left:2592;top:884;width:138;height:720" filled="false" stroked="true" strokeweight=".5pt" strokecolor="#231f20">
              <v:stroke dashstyle="solid"/>
            </v:rect>
            <v:rect style="position:absolute;left:2740;top:1234;width:138;height:370" filled="true" fillcolor="#40ad49" stroked="false">
              <v:fill type="solid"/>
            </v:rect>
            <v:rect style="position:absolute;left:2740;top:1234;width:138;height:370" filled="false" stroked="true" strokeweight=".5pt" strokecolor="#231f20">
              <v:stroke dashstyle="solid"/>
            </v:rect>
            <v:rect style="position:absolute;left:2885;top:884;width:138;height:720" filled="true" fillcolor="#40ad49" stroked="false">
              <v:fill type="solid"/>
            </v:rect>
            <v:rect style="position:absolute;left:2885;top:884;width:138;height:720" filled="false" stroked="true" strokeweight=".5pt" strokecolor="#231f20">
              <v:stroke dashstyle="solid"/>
            </v:rect>
            <v:rect style="position:absolute;left:3032;top:884;width:138;height:720" filled="true" fillcolor="#40ad49" stroked="false">
              <v:fill type="solid"/>
            </v:rect>
            <v:shape style="position:absolute;left:855;top:884;width:3190;height:769" coordorigin="855,884" coordsize="3190,769" path="m3033,884l3170,884,3170,1604,3033,1604,3033,884xm855,1602l930,1602m3970,1602l4045,1602m995,1602l3900,1602m1290,1649l1290,1597m2156,1649l2156,1597m2001,1653l2001,1600m1863,1650l1863,1598m1728,1649l1728,1597m1143,1649l1143,1597m1583,1649l1583,1597m1435,1649l1435,1597m998,1649l998,1597m2589,1649l2589,1597m2445,1649l2445,1597m2298,1651l2298,1599m2883,1651l2883,1599m2736,1651l2736,1599m3315,1649l3315,1597m3171,1651l3171,1599m3028,1651l3028,1599m3463,1649l3463,1597m3900,1649l3900,1597m3755,1649l3755,1597m3608,1649l3608,1597e" filled="false" stroked="true" strokeweight=".5pt" strokecolor="#231f20">
              <v:path arrowok="t"/>
              <v:stroke dashstyle="solid"/>
            </v:shape>
            <w10:wrap type="none"/>
          </v:group>
        </w:pict>
      </w:r>
      <w:r>
        <w:rPr/>
        <w:pict>
          <v:line style="position:absolute;mso-position-horizontal-relative:page;mso-position-vertical-relative:paragraph;z-index:16315392" from="42.75pt,8.221832pt" to="46.5pt,8.221832pt" stroked="true" strokeweight=".5pt" strokecolor="#231f20">
            <v:stroke dashstyle="solid"/>
            <w10:wrap type="none"/>
          </v:line>
        </w:pict>
      </w:r>
      <w:r>
        <w:rPr/>
        <w:pict>
          <v:line style="position:absolute;mso-position-horizontal-relative:page;mso-position-vertical-relative:paragraph;z-index:16317440" from="198.5pt,8.221832pt" to="202.25pt,8.221832pt" stroked="true" strokeweight=".5pt" strokecolor="#231f20">
            <v:stroke dashstyle="solid"/>
            <w10:wrap type="none"/>
          </v:line>
        </w:pict>
      </w:r>
      <w:r>
        <w:rPr>
          <w:color w:val="231F20"/>
          <w:sz w:val="12"/>
        </w:rPr>
        <w:t>4</w:t>
      </w:r>
    </w:p>
    <w:p>
      <w:pPr>
        <w:pStyle w:val="BodyText"/>
        <w:rPr>
          <w:sz w:val="20"/>
        </w:rPr>
      </w:pPr>
    </w:p>
    <w:p>
      <w:pPr>
        <w:pStyle w:val="BodyText"/>
        <w:spacing w:before="1"/>
        <w:rPr>
          <w:sz w:val="22"/>
        </w:rPr>
      </w:pPr>
    </w:p>
    <w:p>
      <w:pPr>
        <w:spacing w:before="95"/>
        <w:ind w:left="3489" w:right="0" w:firstLine="0"/>
        <w:jc w:val="left"/>
        <w:rPr>
          <w:sz w:val="12"/>
        </w:rPr>
      </w:pPr>
      <w:r>
        <w:rPr/>
        <w:pict>
          <v:line style="position:absolute;mso-position-horizontal-relative:page;mso-position-vertical-relative:paragraph;z-index:16314880" from="42.75pt,8.596619pt" to="46.5pt,8.596619pt" stroked="true" strokeweight=".5pt" strokecolor="#231f20">
            <v:stroke dashstyle="solid"/>
            <w10:wrap type="none"/>
          </v:line>
        </w:pict>
      </w:r>
      <w:r>
        <w:rPr/>
        <w:pict>
          <v:line style="position:absolute;mso-position-horizontal-relative:page;mso-position-vertical-relative:paragraph;z-index:16316928" from="198.5pt,8.596619pt" to="202.25pt,8.596619pt" stroked="true" strokeweight=".5pt" strokecolor="#231f20">
            <v:stroke dashstyle="solid"/>
            <w10:wrap type="none"/>
          </v:line>
        </w:pict>
      </w:r>
      <w:r>
        <w:rPr>
          <w:color w:val="231F20"/>
          <w:sz w:val="12"/>
        </w:rPr>
        <w:t>2</w:t>
      </w:r>
    </w:p>
    <w:p>
      <w:pPr>
        <w:pStyle w:val="BodyText"/>
        <w:rPr>
          <w:sz w:val="20"/>
        </w:rPr>
      </w:pPr>
    </w:p>
    <w:p>
      <w:pPr>
        <w:pStyle w:val="BodyText"/>
        <w:spacing w:before="2"/>
        <w:rPr>
          <w:sz w:val="22"/>
        </w:rPr>
      </w:pPr>
    </w:p>
    <w:p>
      <w:pPr>
        <w:spacing w:after="0"/>
        <w:rPr>
          <w:sz w:val="22"/>
        </w:rPr>
        <w:sectPr>
          <w:type w:val="continuous"/>
          <w:pgSz w:w="11900" w:h="16840"/>
          <w:pgMar w:top="1220" w:bottom="280" w:left="620" w:right="640"/>
        </w:sectPr>
      </w:pPr>
    </w:p>
    <w:p>
      <w:pPr>
        <w:pStyle w:val="BodyText"/>
        <w:rPr>
          <w:sz w:val="12"/>
        </w:rPr>
      </w:pPr>
    </w:p>
    <w:p>
      <w:pPr>
        <w:spacing w:before="104"/>
        <w:ind w:left="315" w:right="0" w:firstLine="0"/>
        <w:jc w:val="left"/>
        <w:rPr>
          <w:sz w:val="12"/>
        </w:rPr>
      </w:pPr>
      <w:r>
        <w:rPr>
          <w:color w:val="231F20"/>
          <w:sz w:val="12"/>
        </w:rPr>
        <w:t>80 84 88 92</w:t>
      </w:r>
    </w:p>
    <w:p>
      <w:pPr>
        <w:pStyle w:val="BodyText"/>
        <w:rPr>
          <w:sz w:val="12"/>
        </w:rPr>
      </w:pPr>
      <w:r>
        <w:rPr/>
        <w:br w:type="column"/>
      </w:r>
      <w:r>
        <w:rPr>
          <w:sz w:val="12"/>
        </w:rPr>
      </w:r>
    </w:p>
    <w:p>
      <w:pPr>
        <w:spacing w:before="104"/>
        <w:ind w:left="132" w:right="0" w:firstLine="0"/>
        <w:jc w:val="left"/>
        <w:rPr>
          <w:sz w:val="12"/>
        </w:rPr>
      </w:pPr>
      <w:r>
        <w:rPr>
          <w:color w:val="231F20"/>
          <w:sz w:val="12"/>
        </w:rPr>
        <w:t>96 100</w:t>
      </w:r>
    </w:p>
    <w:p>
      <w:pPr>
        <w:pStyle w:val="BodyText"/>
        <w:rPr>
          <w:sz w:val="12"/>
        </w:rPr>
      </w:pPr>
      <w:r>
        <w:rPr/>
        <w:br w:type="column"/>
      </w:r>
      <w:r>
        <w:rPr>
          <w:sz w:val="12"/>
        </w:rPr>
      </w:r>
    </w:p>
    <w:p>
      <w:pPr>
        <w:spacing w:before="104"/>
        <w:ind w:left="72" w:right="0" w:firstLine="0"/>
        <w:jc w:val="left"/>
        <w:rPr>
          <w:sz w:val="12"/>
        </w:rPr>
      </w:pPr>
      <w:r>
        <w:rPr>
          <w:color w:val="231F20"/>
          <w:sz w:val="12"/>
        </w:rPr>
        <w:t>104</w:t>
      </w:r>
    </w:p>
    <w:p>
      <w:pPr>
        <w:pStyle w:val="BodyText"/>
        <w:rPr>
          <w:sz w:val="12"/>
        </w:rPr>
      </w:pPr>
      <w:r>
        <w:rPr/>
        <w:br w:type="column"/>
      </w:r>
      <w:r>
        <w:rPr>
          <w:sz w:val="12"/>
        </w:rPr>
      </w:r>
    </w:p>
    <w:p>
      <w:pPr>
        <w:spacing w:before="104"/>
        <w:ind w:left="72" w:right="0" w:firstLine="0"/>
        <w:jc w:val="left"/>
        <w:rPr>
          <w:sz w:val="12"/>
        </w:rPr>
      </w:pPr>
      <w:r>
        <w:rPr>
          <w:color w:val="231F20"/>
          <w:sz w:val="12"/>
        </w:rPr>
        <w:t>108</w:t>
      </w:r>
    </w:p>
    <w:p>
      <w:pPr>
        <w:pStyle w:val="BodyText"/>
        <w:rPr>
          <w:sz w:val="12"/>
        </w:rPr>
      </w:pPr>
      <w:r>
        <w:rPr/>
        <w:br w:type="column"/>
      </w:r>
      <w:r>
        <w:rPr>
          <w:sz w:val="12"/>
        </w:rPr>
      </w:r>
    </w:p>
    <w:p>
      <w:pPr>
        <w:spacing w:before="104"/>
        <w:ind w:left="62" w:right="0" w:firstLine="0"/>
        <w:jc w:val="left"/>
        <w:rPr>
          <w:sz w:val="12"/>
        </w:rPr>
      </w:pPr>
      <w:r>
        <w:rPr>
          <w:color w:val="231F20"/>
          <w:sz w:val="12"/>
        </w:rPr>
        <w:t>112 116</w:t>
      </w:r>
    </w:p>
    <w:p>
      <w:pPr>
        <w:spacing w:before="95"/>
        <w:ind w:left="375" w:right="0" w:firstLine="0"/>
        <w:jc w:val="left"/>
        <w:rPr>
          <w:sz w:val="12"/>
        </w:rPr>
      </w:pPr>
      <w:r>
        <w:rPr/>
        <w:br w:type="column"/>
      </w:r>
      <w:r>
        <w:rPr>
          <w:color w:val="231F20"/>
          <w:sz w:val="12"/>
        </w:rPr>
        <w:t>0</w:t>
      </w:r>
    </w:p>
    <w:p>
      <w:pPr>
        <w:spacing w:before="9"/>
        <w:ind w:left="68" w:right="0" w:firstLine="0"/>
        <w:jc w:val="left"/>
        <w:rPr>
          <w:sz w:val="12"/>
        </w:rPr>
      </w:pPr>
      <w:r>
        <w:rPr>
          <w:color w:val="231F20"/>
          <w:sz w:val="12"/>
        </w:rPr>
        <w:t>120</w:t>
      </w:r>
    </w:p>
    <w:p>
      <w:pPr>
        <w:spacing w:after="0"/>
        <w:jc w:val="left"/>
        <w:rPr>
          <w:sz w:val="12"/>
        </w:rPr>
        <w:sectPr>
          <w:type w:val="continuous"/>
          <w:pgSz w:w="11900" w:h="16840"/>
          <w:pgMar w:top="1220" w:bottom="280" w:left="620" w:right="640"/>
          <w:cols w:num="6" w:equalWidth="0">
            <w:col w:w="1303" w:space="40"/>
            <w:col w:w="573" w:space="39"/>
            <w:col w:w="253" w:space="39"/>
            <w:col w:w="253" w:space="40"/>
            <w:col w:w="535" w:space="39"/>
            <w:col w:w="7526"/>
          </w:cols>
        </w:sectPr>
      </w:pPr>
    </w:p>
    <w:p>
      <w:pPr>
        <w:spacing w:before="30"/>
        <w:ind w:left="1467" w:right="0" w:firstLine="0"/>
        <w:jc w:val="left"/>
        <w:rPr>
          <w:sz w:val="12"/>
        </w:rPr>
      </w:pPr>
      <w:r>
        <w:rPr>
          <w:color w:val="231F20"/>
          <w:sz w:val="12"/>
        </w:rPr>
        <w:t>Range of forecasts</w:t>
      </w:r>
    </w:p>
    <w:p>
      <w:pPr>
        <w:spacing w:before="104"/>
        <w:ind w:left="190" w:right="0" w:firstLine="0"/>
        <w:jc w:val="left"/>
        <w:rPr>
          <w:sz w:val="12"/>
        </w:rPr>
      </w:pPr>
      <w:r>
        <w:rPr>
          <w:color w:val="231F20"/>
          <w:sz w:val="12"/>
        </w:rPr>
        <w:t>Source: Forecasts of 20 outside forecasters as at 28 January 2000.</w:t>
      </w:r>
    </w:p>
    <w:p>
      <w:pPr>
        <w:spacing w:after="0"/>
        <w:jc w:val="left"/>
        <w:rPr>
          <w:sz w:val="12"/>
        </w:rPr>
        <w:sectPr>
          <w:type w:val="continuous"/>
          <w:pgSz w:w="11900" w:h="16840"/>
          <w:pgMar w:top="1220" w:bottom="280" w:left="620" w:right="640"/>
        </w:sectPr>
      </w:pPr>
    </w:p>
    <w:p>
      <w:pPr>
        <w:pStyle w:val="BodyText"/>
        <w:spacing w:line="20" w:lineRule="exact"/>
        <w:ind w:left="15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7"/>
        </w:rPr>
      </w:pPr>
    </w:p>
    <w:p>
      <w:pPr>
        <w:spacing w:after="0"/>
        <w:rPr>
          <w:sz w:val="27"/>
        </w:rPr>
        <w:sectPr>
          <w:headerReference w:type="default" r:id="rId160"/>
          <w:footerReference w:type="default" r:id="rId161"/>
          <w:footerReference w:type="even" r:id="rId162"/>
          <w:pgSz w:w="11900" w:h="16840"/>
          <w:pgMar w:header="0" w:footer="597" w:top="760" w:bottom="780" w:left="620" w:right="640"/>
          <w:pgNumType w:start="61"/>
        </w:sectPr>
      </w:pPr>
    </w:p>
    <w:p>
      <w:pPr>
        <w:spacing w:line="409" w:lineRule="exact" w:before="85"/>
        <w:ind w:left="190" w:right="0" w:firstLine="0"/>
        <w:jc w:val="left"/>
        <w:rPr>
          <w:b/>
          <w:sz w:val="36"/>
        </w:rPr>
      </w:pPr>
      <w:bookmarkStart w:name="Agent's summary of business conditions" w:id="79"/>
      <w:bookmarkEnd w:id="79"/>
      <w:r>
        <w:rPr/>
      </w:r>
      <w:bookmarkStart w:name="_bookmark33" w:id="80"/>
      <w:bookmarkEnd w:id="80"/>
      <w:r>
        <w:rPr/>
      </w:r>
      <w:r>
        <w:rPr>
          <w:b/>
          <w:color w:val="006CB4"/>
          <w:sz w:val="36"/>
        </w:rPr>
        <w:t>BANK OF ENGLAND</w:t>
      </w:r>
    </w:p>
    <w:p>
      <w:pPr>
        <w:pStyle w:val="Heading1"/>
        <w:spacing w:line="249" w:lineRule="auto" w:before="0"/>
        <w:ind w:left="190"/>
      </w:pPr>
      <w:r>
        <w:rPr>
          <w:color w:val="006CB4"/>
          <w:spacing w:val="-5"/>
        </w:rPr>
        <w:t>AGENTS’ </w:t>
      </w:r>
      <w:r>
        <w:rPr>
          <w:color w:val="006CB4"/>
          <w:spacing w:val="-4"/>
        </w:rPr>
        <w:t>SUMMARY </w:t>
      </w:r>
      <w:r>
        <w:rPr>
          <w:color w:val="006CB4"/>
        </w:rPr>
        <w:t>OF BUSINESS CONDITIONS</w:t>
      </w:r>
    </w:p>
    <w:p>
      <w:pPr>
        <w:pStyle w:val="BodyText"/>
        <w:rPr>
          <w:b/>
          <w:sz w:val="26"/>
        </w:rPr>
      </w:pPr>
      <w:r>
        <w:rPr/>
        <w:br w:type="column"/>
      </w:r>
      <w:r>
        <w:rPr>
          <w:b/>
          <w:sz w:val="26"/>
        </w:rPr>
      </w:r>
    </w:p>
    <w:p>
      <w:pPr>
        <w:pStyle w:val="BodyText"/>
        <w:rPr>
          <w:b/>
          <w:sz w:val="26"/>
        </w:rPr>
      </w:pPr>
    </w:p>
    <w:p>
      <w:pPr>
        <w:pStyle w:val="BodyText"/>
        <w:rPr>
          <w:b/>
          <w:sz w:val="26"/>
        </w:rPr>
      </w:pPr>
    </w:p>
    <w:p>
      <w:pPr>
        <w:pStyle w:val="BodyText"/>
        <w:spacing w:before="11"/>
        <w:rPr>
          <w:b/>
          <w:sz w:val="33"/>
        </w:rPr>
      </w:pPr>
    </w:p>
    <w:p>
      <w:pPr>
        <w:pStyle w:val="Heading5"/>
        <w:ind w:left="190"/>
      </w:pPr>
      <w:r>
        <w:rPr>
          <w:color w:val="006CB4"/>
        </w:rPr>
        <w:t>FEBRUARY 2000</w:t>
      </w:r>
    </w:p>
    <w:p>
      <w:pPr>
        <w:spacing w:after="0"/>
        <w:sectPr>
          <w:type w:val="continuous"/>
          <w:pgSz w:w="11900" w:h="16840"/>
          <w:pgMar w:top="1220" w:bottom="280" w:left="620" w:right="640"/>
          <w:cols w:num="2" w:equalWidth="0">
            <w:col w:w="5787" w:space="2663"/>
            <w:col w:w="2190"/>
          </w:cols>
        </w:sectPr>
      </w:pPr>
    </w:p>
    <w:p>
      <w:pPr>
        <w:pStyle w:val="BodyText"/>
        <w:rPr>
          <w:b/>
          <w:sz w:val="20"/>
        </w:rPr>
      </w:pPr>
    </w:p>
    <w:p>
      <w:pPr>
        <w:pStyle w:val="BodyText"/>
        <w:rPr>
          <w:b/>
          <w:sz w:val="20"/>
        </w:rPr>
      </w:pPr>
    </w:p>
    <w:p>
      <w:pPr>
        <w:pStyle w:val="BodyText"/>
        <w:spacing w:before="10" w:after="1"/>
        <w:rPr>
          <w:b/>
          <w:sz w:val="26"/>
        </w:rPr>
      </w:pPr>
    </w:p>
    <w:p>
      <w:pPr>
        <w:pStyle w:val="BodyText"/>
        <w:ind w:left="182"/>
        <w:rPr>
          <w:sz w:val="20"/>
        </w:rPr>
      </w:pPr>
      <w:r>
        <w:rPr>
          <w:position w:val="0"/>
          <w:sz w:val="20"/>
        </w:rPr>
        <w:pict>
          <v:shape style="width:515.9pt;height:103pt;mso-position-horizontal-relative:char;mso-position-vertical-relative:line" type="#_x0000_t202" filled="false" stroked="true" strokeweight="1pt" strokecolor="#006cb4">
            <w10:anchorlock/>
            <v:textbox inset="0,0,0,0">
              <w:txbxContent>
                <w:p>
                  <w:pPr>
                    <w:spacing w:line="249" w:lineRule="auto" w:before="147"/>
                    <w:ind w:left="250" w:right="226" w:firstLine="0"/>
                    <w:jc w:val="left"/>
                    <w:rPr>
                      <w:i/>
                      <w:sz w:val="22"/>
                    </w:rPr>
                  </w:pPr>
                  <w:r>
                    <w:rPr>
                      <w:i/>
                      <w:sz w:val="22"/>
                    </w:rPr>
                    <w:t>This publication is a summary of monthly reports compiled by the Bank of England’s Agents,</w:t>
                  </w:r>
                  <w:r>
                    <w:rPr>
                      <w:position w:val="5"/>
                      <w:sz w:val="16"/>
                    </w:rPr>
                    <w:t>(1) </w:t>
                  </w:r>
                  <w:r>
                    <w:rPr>
                      <w:i/>
                      <w:sz w:val="22"/>
                    </w:rPr>
                    <w:t>following </w:t>
                  </w:r>
                  <w:r>
                    <w:rPr>
                      <w:i/>
                      <w:sz w:val="22"/>
                    </w:rPr>
                    <w:t>discussions with </w:t>
                  </w:r>
                  <w:r>
                    <w:rPr>
                      <w:i/>
                      <w:spacing w:val="-3"/>
                      <w:sz w:val="22"/>
                    </w:rPr>
                    <w:t>around </w:t>
                  </w:r>
                  <w:r>
                    <w:rPr>
                      <w:i/>
                      <w:sz w:val="22"/>
                    </w:rPr>
                    <w:t>1,700 businesses in the period between mid-October and </w:t>
                  </w:r>
                  <w:r>
                    <w:rPr>
                      <w:i/>
                      <w:spacing w:val="-3"/>
                      <w:sz w:val="22"/>
                    </w:rPr>
                    <w:t>mid-January. </w:t>
                  </w:r>
                  <w:r>
                    <w:rPr>
                      <w:i/>
                      <w:sz w:val="22"/>
                    </w:rPr>
                    <w:t>It </w:t>
                  </w:r>
                  <w:r>
                    <w:rPr>
                      <w:i/>
                      <w:spacing w:val="-3"/>
                      <w:sz w:val="22"/>
                    </w:rPr>
                    <w:t>provides </w:t>
                  </w:r>
                  <w:r>
                    <w:rPr>
                      <w:i/>
                      <w:sz w:val="22"/>
                    </w:rPr>
                    <w:t>information on the state of business conditions, </w:t>
                  </w:r>
                  <w:r>
                    <w:rPr>
                      <w:i/>
                      <w:spacing w:val="-3"/>
                      <w:sz w:val="22"/>
                    </w:rPr>
                    <w:t>from </w:t>
                  </w:r>
                  <w:r>
                    <w:rPr>
                      <w:i/>
                      <w:sz w:val="22"/>
                    </w:rPr>
                    <w:t>firms </w:t>
                  </w:r>
                  <w:r>
                    <w:rPr>
                      <w:i/>
                      <w:spacing w:val="-3"/>
                      <w:sz w:val="22"/>
                    </w:rPr>
                    <w:t>across </w:t>
                  </w:r>
                  <w:r>
                    <w:rPr>
                      <w:i/>
                      <w:sz w:val="22"/>
                    </w:rPr>
                    <w:t>all sectors of the </w:t>
                  </w:r>
                  <w:r>
                    <w:rPr>
                      <w:i/>
                      <w:spacing w:val="-3"/>
                      <w:sz w:val="22"/>
                    </w:rPr>
                    <w:t>economy. </w:t>
                  </w:r>
                  <w:r>
                    <w:rPr>
                      <w:i/>
                      <w:sz w:val="22"/>
                    </w:rPr>
                    <w:t>The </w:t>
                  </w:r>
                  <w:r>
                    <w:rPr>
                      <w:i/>
                      <w:spacing w:val="-3"/>
                      <w:sz w:val="22"/>
                    </w:rPr>
                    <w:t>report </w:t>
                  </w:r>
                  <w:r>
                    <w:rPr>
                      <w:i/>
                      <w:sz w:val="22"/>
                    </w:rPr>
                    <w:t>does not </w:t>
                  </w:r>
                  <w:r>
                    <w:rPr>
                      <w:i/>
                      <w:spacing w:val="-3"/>
                      <w:sz w:val="22"/>
                    </w:rPr>
                    <w:t>represent </w:t>
                  </w:r>
                  <w:r>
                    <w:rPr>
                      <w:i/>
                      <w:sz w:val="22"/>
                    </w:rPr>
                    <w:t>the </w:t>
                  </w:r>
                  <w:r>
                    <w:rPr>
                      <w:i/>
                      <w:spacing w:val="-3"/>
                      <w:sz w:val="22"/>
                    </w:rPr>
                    <w:t>Bank’s </w:t>
                  </w:r>
                  <w:r>
                    <w:rPr>
                      <w:i/>
                      <w:sz w:val="22"/>
                    </w:rPr>
                    <w:t>own views, nor does it </w:t>
                  </w:r>
                  <w:r>
                    <w:rPr>
                      <w:i/>
                      <w:spacing w:val="-3"/>
                      <w:sz w:val="22"/>
                    </w:rPr>
                    <w:t>represent </w:t>
                  </w:r>
                  <w:r>
                    <w:rPr>
                      <w:i/>
                      <w:sz w:val="22"/>
                    </w:rPr>
                    <w:t>the views of any particular firm or </w:t>
                  </w:r>
                  <w:r>
                    <w:rPr>
                      <w:i/>
                      <w:spacing w:val="-4"/>
                      <w:sz w:val="22"/>
                    </w:rPr>
                    <w:t>region. </w:t>
                  </w:r>
                  <w:r>
                    <w:rPr>
                      <w:i/>
                      <w:sz w:val="22"/>
                    </w:rPr>
                    <w:t>The </w:t>
                  </w:r>
                  <w:r>
                    <w:rPr>
                      <w:i/>
                      <w:spacing w:val="-3"/>
                      <w:sz w:val="22"/>
                    </w:rPr>
                    <w:t>Bank’s </w:t>
                  </w:r>
                  <w:r>
                    <w:rPr>
                      <w:i/>
                      <w:sz w:val="22"/>
                    </w:rPr>
                    <w:t>Monetary </w:t>
                  </w:r>
                  <w:r>
                    <w:rPr>
                      <w:i/>
                      <w:spacing w:val="-4"/>
                      <w:sz w:val="22"/>
                    </w:rPr>
                    <w:t>Policy </w:t>
                  </w:r>
                  <w:r>
                    <w:rPr>
                      <w:i/>
                      <w:sz w:val="22"/>
                    </w:rPr>
                    <w:t>Committee uses the intelligence </w:t>
                  </w:r>
                  <w:r>
                    <w:rPr>
                      <w:i/>
                      <w:spacing w:val="-3"/>
                      <w:sz w:val="22"/>
                    </w:rPr>
                    <w:t>provided </w:t>
                  </w:r>
                  <w:r>
                    <w:rPr>
                      <w:i/>
                      <w:sz w:val="22"/>
                    </w:rPr>
                    <w:t>by the Agents, in conjunction with information </w:t>
                  </w:r>
                  <w:r>
                    <w:rPr>
                      <w:i/>
                      <w:spacing w:val="-4"/>
                      <w:sz w:val="22"/>
                    </w:rPr>
                    <w:t>from </w:t>
                  </w:r>
                  <w:r>
                    <w:rPr>
                      <w:i/>
                      <w:sz w:val="22"/>
                    </w:rPr>
                    <w:t>other sources, to assist its understanding and assessment of current economic</w:t>
                  </w:r>
                  <w:r>
                    <w:rPr>
                      <w:i/>
                      <w:spacing w:val="-30"/>
                      <w:sz w:val="22"/>
                    </w:rPr>
                    <w:t> </w:t>
                  </w:r>
                  <w:r>
                    <w:rPr>
                      <w:i/>
                      <w:sz w:val="22"/>
                    </w:rPr>
                    <w:t>conditions.</w:t>
                  </w:r>
                </w:p>
              </w:txbxContent>
            </v:textbox>
            <v:stroke dashstyle="solid"/>
          </v:shape>
        </w:pict>
      </w:r>
      <w:r>
        <w:rPr>
          <w:position w:val="0"/>
          <w:sz w:val="20"/>
        </w:rPr>
      </w:r>
    </w:p>
    <w:p>
      <w:pPr>
        <w:pStyle w:val="Heading8"/>
        <w:numPr>
          <w:ilvl w:val="0"/>
          <w:numId w:val="40"/>
        </w:numPr>
        <w:tabs>
          <w:tab w:pos="682" w:val="left" w:leader="none"/>
          <w:tab w:pos="683" w:val="left" w:leader="none"/>
        </w:tabs>
        <w:spacing w:line="261" w:lineRule="auto" w:before="148" w:after="0"/>
        <w:ind w:left="682" w:right="418" w:hanging="480"/>
        <w:jc w:val="left"/>
      </w:pPr>
      <w:r>
        <w:rPr/>
        <w:t>Manufacturing output growth improved further during the period in almost all regions. But strong growth in some sectors masked continued weak growth or contraction in</w:t>
      </w:r>
      <w:r>
        <w:rPr>
          <w:spacing w:val="-16"/>
        </w:rPr>
        <w:t> </w:t>
      </w:r>
      <w:r>
        <w:rPr/>
        <w:t>others.</w:t>
      </w:r>
    </w:p>
    <w:p>
      <w:pPr>
        <w:pStyle w:val="ListParagraph"/>
        <w:numPr>
          <w:ilvl w:val="0"/>
          <w:numId w:val="40"/>
        </w:numPr>
        <w:tabs>
          <w:tab w:pos="682" w:val="left" w:leader="none"/>
          <w:tab w:pos="683" w:val="left" w:leader="none"/>
        </w:tabs>
        <w:spacing w:line="261" w:lineRule="auto" w:before="126" w:after="0"/>
        <w:ind w:left="682" w:right="609" w:hanging="480"/>
        <w:jc w:val="left"/>
        <w:rPr>
          <w:sz w:val="22"/>
        </w:rPr>
      </w:pPr>
      <w:r>
        <w:rPr>
          <w:sz w:val="22"/>
        </w:rPr>
        <w:t>Service sector growth remained strong at a steady rate during the period, in almost all regions. The fastest growth was recorded in professional</w:t>
      </w:r>
      <w:r>
        <w:rPr>
          <w:spacing w:val="-7"/>
          <w:sz w:val="22"/>
        </w:rPr>
        <w:t> </w:t>
      </w:r>
      <w:r>
        <w:rPr>
          <w:sz w:val="22"/>
        </w:rPr>
        <w:t>services.</w:t>
      </w:r>
    </w:p>
    <w:p>
      <w:pPr>
        <w:pStyle w:val="ListParagraph"/>
        <w:numPr>
          <w:ilvl w:val="0"/>
          <w:numId w:val="40"/>
        </w:numPr>
        <w:tabs>
          <w:tab w:pos="682" w:val="left" w:leader="none"/>
          <w:tab w:pos="683" w:val="left" w:leader="none"/>
        </w:tabs>
        <w:spacing w:line="256" w:lineRule="auto" w:before="126" w:after="0"/>
        <w:ind w:left="682" w:right="425" w:hanging="480"/>
        <w:jc w:val="left"/>
        <w:rPr>
          <w:sz w:val="22"/>
        </w:rPr>
      </w:pPr>
      <w:r>
        <w:rPr>
          <w:sz w:val="22"/>
        </w:rPr>
        <w:t>While</w:t>
      </w:r>
      <w:r>
        <w:rPr>
          <w:spacing w:val="-7"/>
          <w:sz w:val="22"/>
        </w:rPr>
        <w:t> </w:t>
      </w:r>
      <w:r>
        <w:rPr>
          <w:sz w:val="22"/>
        </w:rPr>
        <w:t>the</w:t>
      </w:r>
      <w:r>
        <w:rPr>
          <w:spacing w:val="-7"/>
          <w:sz w:val="22"/>
        </w:rPr>
        <w:t> </w:t>
      </w:r>
      <w:r>
        <w:rPr>
          <w:sz w:val="22"/>
        </w:rPr>
        <w:t>rate</w:t>
      </w:r>
      <w:r>
        <w:rPr>
          <w:spacing w:val="-7"/>
          <w:sz w:val="22"/>
        </w:rPr>
        <w:t> </w:t>
      </w:r>
      <w:r>
        <w:rPr>
          <w:sz w:val="22"/>
        </w:rPr>
        <w:t>of</w:t>
      </w:r>
      <w:r>
        <w:rPr>
          <w:spacing w:val="-7"/>
          <w:sz w:val="22"/>
        </w:rPr>
        <w:t> </w:t>
      </w:r>
      <w:r>
        <w:rPr>
          <w:sz w:val="22"/>
        </w:rPr>
        <w:t>construction</w:t>
      </w:r>
      <w:r>
        <w:rPr>
          <w:spacing w:val="-7"/>
          <w:sz w:val="22"/>
        </w:rPr>
        <w:t> </w:t>
      </w:r>
      <w:r>
        <w:rPr>
          <w:sz w:val="22"/>
        </w:rPr>
        <w:t>growth</w:t>
      </w:r>
      <w:r>
        <w:rPr>
          <w:spacing w:val="-7"/>
          <w:sz w:val="22"/>
        </w:rPr>
        <w:t> </w:t>
      </w:r>
      <w:r>
        <w:rPr>
          <w:sz w:val="22"/>
        </w:rPr>
        <w:t>varied</w:t>
      </w:r>
      <w:r>
        <w:rPr>
          <w:spacing w:val="-7"/>
          <w:sz w:val="22"/>
        </w:rPr>
        <w:t> </w:t>
      </w:r>
      <w:r>
        <w:rPr>
          <w:sz w:val="22"/>
        </w:rPr>
        <w:t>considerably</w:t>
      </w:r>
      <w:r>
        <w:rPr>
          <w:spacing w:val="-7"/>
          <w:sz w:val="22"/>
        </w:rPr>
        <w:t> </w:t>
      </w:r>
      <w:r>
        <w:rPr>
          <w:sz w:val="22"/>
        </w:rPr>
        <w:t>between</w:t>
      </w:r>
      <w:r>
        <w:rPr>
          <w:spacing w:val="-7"/>
          <w:sz w:val="22"/>
        </w:rPr>
        <w:t> </w:t>
      </w:r>
      <w:r>
        <w:rPr>
          <w:sz w:val="22"/>
        </w:rPr>
        <w:t>locations,</w:t>
      </w:r>
      <w:r>
        <w:rPr>
          <w:spacing w:val="-7"/>
          <w:sz w:val="22"/>
        </w:rPr>
        <w:t> </w:t>
      </w:r>
      <w:r>
        <w:rPr>
          <w:sz w:val="22"/>
        </w:rPr>
        <w:t>most</w:t>
      </w:r>
      <w:r>
        <w:rPr>
          <w:spacing w:val="-7"/>
          <w:sz w:val="22"/>
        </w:rPr>
        <w:t> </w:t>
      </w:r>
      <w:r>
        <w:rPr>
          <w:sz w:val="22"/>
        </w:rPr>
        <w:t>Agents</w:t>
      </w:r>
      <w:r>
        <w:rPr>
          <w:spacing w:val="-7"/>
          <w:sz w:val="22"/>
        </w:rPr>
        <w:t> </w:t>
      </w:r>
      <w:r>
        <w:rPr>
          <w:sz w:val="22"/>
        </w:rPr>
        <w:t>noted</w:t>
      </w:r>
      <w:r>
        <w:rPr>
          <w:spacing w:val="-7"/>
          <w:sz w:val="22"/>
        </w:rPr>
        <w:t> </w:t>
      </w:r>
      <w:r>
        <w:rPr>
          <w:sz w:val="22"/>
        </w:rPr>
        <w:t>that</w:t>
      </w:r>
      <w:r>
        <w:rPr>
          <w:spacing w:val="-7"/>
          <w:sz w:val="22"/>
        </w:rPr>
        <w:t> </w:t>
      </w:r>
      <w:r>
        <w:rPr>
          <w:sz w:val="22"/>
        </w:rPr>
        <w:t>growth had remained broadly stable in recent months. Growth was supported by both commercial and residential </w:t>
      </w:r>
      <w:r>
        <w:rPr>
          <w:spacing w:val="-3"/>
          <w:sz w:val="22"/>
        </w:rPr>
        <w:t>activity.</w:t>
      </w:r>
    </w:p>
    <w:p>
      <w:pPr>
        <w:pStyle w:val="ListParagraph"/>
        <w:numPr>
          <w:ilvl w:val="0"/>
          <w:numId w:val="40"/>
        </w:numPr>
        <w:tabs>
          <w:tab w:pos="682" w:val="left" w:leader="none"/>
          <w:tab w:pos="683" w:val="left" w:leader="none"/>
        </w:tabs>
        <w:spacing w:line="261" w:lineRule="auto" w:before="130" w:after="0"/>
        <w:ind w:left="682" w:right="162" w:hanging="480"/>
        <w:jc w:val="left"/>
        <w:rPr>
          <w:sz w:val="22"/>
        </w:rPr>
      </w:pPr>
      <w:r>
        <w:rPr>
          <w:sz w:val="22"/>
        </w:rPr>
        <w:t>Retail</w:t>
      </w:r>
      <w:r>
        <w:rPr>
          <w:spacing w:val="-7"/>
          <w:sz w:val="22"/>
        </w:rPr>
        <w:t> </w:t>
      </w:r>
      <w:r>
        <w:rPr>
          <w:sz w:val="22"/>
        </w:rPr>
        <w:t>spending</w:t>
      </w:r>
      <w:r>
        <w:rPr>
          <w:spacing w:val="-7"/>
          <w:sz w:val="22"/>
        </w:rPr>
        <w:t> </w:t>
      </w:r>
      <w:r>
        <w:rPr>
          <w:sz w:val="22"/>
        </w:rPr>
        <w:t>growth</w:t>
      </w:r>
      <w:r>
        <w:rPr>
          <w:spacing w:val="-7"/>
          <w:sz w:val="22"/>
        </w:rPr>
        <w:t> </w:t>
      </w:r>
      <w:r>
        <w:rPr>
          <w:sz w:val="22"/>
        </w:rPr>
        <w:t>strengthened,</w:t>
      </w:r>
      <w:r>
        <w:rPr>
          <w:spacing w:val="-7"/>
          <w:sz w:val="22"/>
        </w:rPr>
        <w:t> </w:t>
      </w:r>
      <w:r>
        <w:rPr>
          <w:sz w:val="22"/>
        </w:rPr>
        <w:t>with</w:t>
      </w:r>
      <w:r>
        <w:rPr>
          <w:spacing w:val="-6"/>
          <w:sz w:val="22"/>
        </w:rPr>
        <w:t> </w:t>
      </w:r>
      <w:r>
        <w:rPr>
          <w:sz w:val="22"/>
        </w:rPr>
        <w:t>a</w:t>
      </w:r>
      <w:r>
        <w:rPr>
          <w:spacing w:val="-7"/>
          <w:sz w:val="22"/>
        </w:rPr>
        <w:t> </w:t>
      </w:r>
      <w:r>
        <w:rPr>
          <w:sz w:val="22"/>
        </w:rPr>
        <w:t>noticeable</w:t>
      </w:r>
      <w:r>
        <w:rPr>
          <w:spacing w:val="-7"/>
          <w:sz w:val="22"/>
        </w:rPr>
        <w:t> </w:t>
      </w:r>
      <w:r>
        <w:rPr>
          <w:sz w:val="22"/>
        </w:rPr>
        <w:t>pick-up</w:t>
      </w:r>
      <w:r>
        <w:rPr>
          <w:spacing w:val="-7"/>
          <w:sz w:val="22"/>
        </w:rPr>
        <w:t> </w:t>
      </w:r>
      <w:r>
        <w:rPr>
          <w:sz w:val="22"/>
        </w:rPr>
        <w:t>in</w:t>
      </w:r>
      <w:r>
        <w:rPr>
          <w:spacing w:val="-6"/>
          <w:sz w:val="22"/>
        </w:rPr>
        <w:t> </w:t>
      </w:r>
      <w:r>
        <w:rPr>
          <w:sz w:val="22"/>
        </w:rPr>
        <w:t>annual</w:t>
      </w:r>
      <w:r>
        <w:rPr>
          <w:spacing w:val="-7"/>
          <w:sz w:val="22"/>
        </w:rPr>
        <w:t> </w:t>
      </w:r>
      <w:r>
        <w:rPr>
          <w:sz w:val="22"/>
        </w:rPr>
        <w:t>growth</w:t>
      </w:r>
      <w:r>
        <w:rPr>
          <w:spacing w:val="-7"/>
          <w:sz w:val="22"/>
        </w:rPr>
        <w:t> </w:t>
      </w:r>
      <w:r>
        <w:rPr>
          <w:sz w:val="22"/>
        </w:rPr>
        <w:t>reported</w:t>
      </w:r>
      <w:r>
        <w:rPr>
          <w:spacing w:val="-7"/>
          <w:sz w:val="22"/>
        </w:rPr>
        <w:t> </w:t>
      </w:r>
      <w:r>
        <w:rPr>
          <w:sz w:val="22"/>
        </w:rPr>
        <w:t>during</w:t>
      </w:r>
      <w:r>
        <w:rPr>
          <w:spacing w:val="-7"/>
          <w:sz w:val="22"/>
        </w:rPr>
        <w:t> </w:t>
      </w:r>
      <w:r>
        <w:rPr>
          <w:sz w:val="22"/>
        </w:rPr>
        <w:t>the</w:t>
      </w:r>
      <w:r>
        <w:rPr>
          <w:spacing w:val="-6"/>
          <w:sz w:val="22"/>
        </w:rPr>
        <w:t> </w:t>
      </w:r>
      <w:r>
        <w:rPr>
          <w:sz w:val="22"/>
        </w:rPr>
        <w:t>Christmas period. Sales of </w:t>
      </w:r>
      <w:r>
        <w:rPr>
          <w:spacing w:val="-3"/>
          <w:sz w:val="22"/>
        </w:rPr>
        <w:t>new </w:t>
      </w:r>
      <w:r>
        <w:rPr>
          <w:sz w:val="22"/>
        </w:rPr>
        <w:t>and used car sales slowed further during the</w:t>
      </w:r>
      <w:r>
        <w:rPr>
          <w:spacing w:val="-18"/>
          <w:sz w:val="22"/>
        </w:rPr>
        <w:t> </w:t>
      </w:r>
      <w:r>
        <w:rPr>
          <w:sz w:val="22"/>
        </w:rPr>
        <w:t>period.</w:t>
      </w:r>
    </w:p>
    <w:p>
      <w:pPr>
        <w:pStyle w:val="ListParagraph"/>
        <w:numPr>
          <w:ilvl w:val="0"/>
          <w:numId w:val="40"/>
        </w:numPr>
        <w:tabs>
          <w:tab w:pos="682" w:val="left" w:leader="none"/>
          <w:tab w:pos="683" w:val="left" w:leader="none"/>
        </w:tabs>
        <w:spacing w:line="256" w:lineRule="auto" w:before="126" w:after="0"/>
        <w:ind w:left="682" w:right="286" w:hanging="480"/>
        <w:jc w:val="left"/>
        <w:rPr>
          <w:sz w:val="22"/>
        </w:rPr>
      </w:pPr>
      <w:r>
        <w:rPr>
          <w:sz w:val="22"/>
        </w:rPr>
        <w:t>Export demand continued to increase, though </w:t>
      </w:r>
      <w:r>
        <w:rPr>
          <w:spacing w:val="-3"/>
          <w:sz w:val="22"/>
        </w:rPr>
        <w:t>moderately. </w:t>
      </w:r>
      <w:r>
        <w:rPr>
          <w:sz w:val="22"/>
        </w:rPr>
        <w:t>There was little evidence to suggest any slowing in demand from the United States, while the recoveries in Europe and East Asia progressed </w:t>
      </w:r>
      <w:r>
        <w:rPr>
          <w:spacing w:val="-3"/>
          <w:sz w:val="22"/>
        </w:rPr>
        <w:t>further. </w:t>
      </w:r>
      <w:r>
        <w:rPr>
          <w:spacing w:val="-4"/>
          <w:sz w:val="22"/>
        </w:rPr>
        <w:t>However, </w:t>
      </w:r>
      <w:r>
        <w:rPr>
          <w:sz w:val="22"/>
        </w:rPr>
        <w:t>contacts continued to report further import</w:t>
      </w:r>
      <w:r>
        <w:rPr>
          <w:spacing w:val="-9"/>
          <w:sz w:val="22"/>
        </w:rPr>
        <w:t> </w:t>
      </w:r>
      <w:r>
        <w:rPr>
          <w:sz w:val="22"/>
        </w:rPr>
        <w:t>penetration.</w:t>
      </w:r>
    </w:p>
    <w:p>
      <w:pPr>
        <w:pStyle w:val="ListParagraph"/>
        <w:numPr>
          <w:ilvl w:val="0"/>
          <w:numId w:val="40"/>
        </w:numPr>
        <w:tabs>
          <w:tab w:pos="682" w:val="left" w:leader="none"/>
          <w:tab w:pos="683" w:val="left" w:leader="none"/>
        </w:tabs>
        <w:spacing w:line="254" w:lineRule="auto" w:before="129" w:after="0"/>
        <w:ind w:left="682" w:right="356" w:hanging="480"/>
        <w:jc w:val="left"/>
        <w:rPr>
          <w:sz w:val="22"/>
        </w:rPr>
      </w:pPr>
      <w:r>
        <w:rPr>
          <w:sz w:val="22"/>
        </w:rPr>
        <w:t>Investment trends in the manufacturing and service sectors </w:t>
      </w:r>
      <w:r>
        <w:rPr>
          <w:spacing w:val="-3"/>
          <w:sz w:val="22"/>
        </w:rPr>
        <w:t>diverged </w:t>
      </w:r>
      <w:r>
        <w:rPr>
          <w:sz w:val="22"/>
        </w:rPr>
        <w:t>further during the period. Service sector investment intentions remained strong, with most plans focused on IT development. But manufacturing investment intentions were </w:t>
      </w:r>
      <w:r>
        <w:rPr>
          <w:spacing w:val="-3"/>
          <w:sz w:val="22"/>
        </w:rPr>
        <w:t>weaker, </w:t>
      </w:r>
      <w:r>
        <w:rPr>
          <w:sz w:val="22"/>
        </w:rPr>
        <w:t>with further pressure on margins reducing the ability of companies to </w:t>
      </w:r>
      <w:r>
        <w:rPr>
          <w:spacing w:val="-3"/>
          <w:sz w:val="22"/>
        </w:rPr>
        <w:t>invest. </w:t>
      </w:r>
      <w:r>
        <w:rPr>
          <w:sz w:val="22"/>
        </w:rPr>
        <w:t>In addition, there were increased reports of firms </w:t>
      </w:r>
      <w:r>
        <w:rPr>
          <w:spacing w:val="-3"/>
          <w:sz w:val="22"/>
        </w:rPr>
        <w:t>investing </w:t>
      </w:r>
      <w:r>
        <w:rPr>
          <w:sz w:val="22"/>
        </w:rPr>
        <w:t>in capacity</w:t>
      </w:r>
      <w:r>
        <w:rPr>
          <w:spacing w:val="-17"/>
          <w:sz w:val="22"/>
        </w:rPr>
        <w:t> </w:t>
      </w:r>
      <w:r>
        <w:rPr>
          <w:sz w:val="22"/>
        </w:rPr>
        <w:t>overseas.</w:t>
      </w:r>
    </w:p>
    <w:p>
      <w:pPr>
        <w:pStyle w:val="ListParagraph"/>
        <w:numPr>
          <w:ilvl w:val="0"/>
          <w:numId w:val="40"/>
        </w:numPr>
        <w:tabs>
          <w:tab w:pos="682" w:val="left" w:leader="none"/>
          <w:tab w:pos="683" w:val="left" w:leader="none"/>
        </w:tabs>
        <w:spacing w:line="254" w:lineRule="auto" w:before="133" w:after="0"/>
        <w:ind w:left="682" w:right="177" w:hanging="480"/>
        <w:jc w:val="left"/>
        <w:rPr>
          <w:sz w:val="22"/>
        </w:rPr>
      </w:pPr>
      <w:r>
        <w:rPr>
          <w:sz w:val="22"/>
        </w:rPr>
        <w:t>There were widespread reports of increased materials prices, although these were generally confined to a </w:t>
      </w:r>
      <w:r>
        <w:rPr>
          <w:spacing w:val="-3"/>
          <w:sz w:val="22"/>
        </w:rPr>
        <w:t>few </w:t>
      </w:r>
      <w:r>
        <w:rPr>
          <w:sz w:val="22"/>
        </w:rPr>
        <w:t>commodities. Downward price pressure on manufacturing output prices continued, with most firms suggesting that it remained difficult to pass on any increases in costs. There was little change in retail prices trends, with flat or falling goods prices still being reported and service price inflation remaining relatively high. House price growth was broadly</w:t>
      </w:r>
      <w:r>
        <w:rPr>
          <w:spacing w:val="-5"/>
          <w:sz w:val="22"/>
        </w:rPr>
        <w:t> </w:t>
      </w:r>
      <w:r>
        <w:rPr>
          <w:sz w:val="22"/>
        </w:rPr>
        <w:t>stable.</w:t>
      </w:r>
    </w:p>
    <w:p>
      <w:pPr>
        <w:pStyle w:val="ListParagraph"/>
        <w:numPr>
          <w:ilvl w:val="0"/>
          <w:numId w:val="40"/>
        </w:numPr>
        <w:tabs>
          <w:tab w:pos="682" w:val="left" w:leader="none"/>
          <w:tab w:pos="683" w:val="left" w:leader="none"/>
        </w:tabs>
        <w:spacing w:line="254" w:lineRule="auto" w:before="129" w:after="0"/>
        <w:ind w:left="682" w:right="432" w:hanging="480"/>
        <w:jc w:val="left"/>
        <w:rPr>
          <w:sz w:val="22"/>
        </w:rPr>
      </w:pPr>
      <w:r>
        <w:rPr>
          <w:sz w:val="22"/>
        </w:rPr>
        <w:t>Pay pressures in the manufacturing sector remained subdued in most regions, with most settlements similar to or lower than a year ago. Settlements in the services sector were similar to or slightly stronger than in the previous period, although there was much more </w:t>
      </w:r>
      <w:r>
        <w:rPr>
          <w:spacing w:val="-3"/>
          <w:sz w:val="22"/>
        </w:rPr>
        <w:t>variability. </w:t>
      </w:r>
      <w:r>
        <w:rPr>
          <w:sz w:val="22"/>
        </w:rPr>
        <w:t>Agents noted that the use of bonus payments and non-pay rewards, such as share options, to remunerate staff had increased compared with the previous period.</w:t>
      </w:r>
    </w:p>
    <w:p>
      <w:pPr>
        <w:pStyle w:val="ListParagraph"/>
        <w:numPr>
          <w:ilvl w:val="0"/>
          <w:numId w:val="40"/>
        </w:numPr>
        <w:tabs>
          <w:tab w:pos="682" w:val="left" w:leader="none"/>
          <w:tab w:pos="683" w:val="left" w:leader="none"/>
        </w:tabs>
        <w:spacing w:line="254" w:lineRule="auto" w:before="129" w:after="0"/>
        <w:ind w:left="682" w:right="443" w:hanging="480"/>
        <w:jc w:val="left"/>
        <w:rPr>
          <w:sz w:val="22"/>
        </w:rPr>
      </w:pPr>
      <w:r>
        <w:rPr>
          <w:sz w:val="22"/>
        </w:rPr>
        <w:t>Labour market conditions tightened further, with skill shortages noted as a serious concern in the southern regions of the United Kingdom. Moderate service sector employment growth continued in most regions. Employment</w:t>
      </w:r>
      <w:r>
        <w:rPr>
          <w:spacing w:val="-8"/>
          <w:sz w:val="22"/>
        </w:rPr>
        <w:t> </w:t>
      </w:r>
      <w:r>
        <w:rPr>
          <w:sz w:val="22"/>
        </w:rPr>
        <w:t>conditions</w:t>
      </w:r>
      <w:r>
        <w:rPr>
          <w:spacing w:val="-7"/>
          <w:sz w:val="22"/>
        </w:rPr>
        <w:t> </w:t>
      </w:r>
      <w:r>
        <w:rPr>
          <w:sz w:val="22"/>
        </w:rPr>
        <w:t>in</w:t>
      </w:r>
      <w:r>
        <w:rPr>
          <w:spacing w:val="-7"/>
          <w:sz w:val="22"/>
        </w:rPr>
        <w:t> </w:t>
      </w:r>
      <w:r>
        <w:rPr>
          <w:sz w:val="22"/>
        </w:rPr>
        <w:t>the</w:t>
      </w:r>
      <w:r>
        <w:rPr>
          <w:spacing w:val="-7"/>
          <w:sz w:val="22"/>
        </w:rPr>
        <w:t> </w:t>
      </w:r>
      <w:r>
        <w:rPr>
          <w:sz w:val="22"/>
        </w:rPr>
        <w:t>manufacturing</w:t>
      </w:r>
      <w:r>
        <w:rPr>
          <w:spacing w:val="-7"/>
          <w:sz w:val="22"/>
        </w:rPr>
        <w:t> </w:t>
      </w:r>
      <w:r>
        <w:rPr>
          <w:sz w:val="22"/>
        </w:rPr>
        <w:t>sector</w:t>
      </w:r>
      <w:r>
        <w:rPr>
          <w:spacing w:val="-7"/>
          <w:sz w:val="22"/>
        </w:rPr>
        <w:t> </w:t>
      </w:r>
      <w:r>
        <w:rPr>
          <w:sz w:val="22"/>
        </w:rPr>
        <w:t>remained</w:t>
      </w:r>
      <w:r>
        <w:rPr>
          <w:spacing w:val="-7"/>
          <w:sz w:val="22"/>
        </w:rPr>
        <w:t> </w:t>
      </w:r>
      <w:r>
        <w:rPr>
          <w:sz w:val="22"/>
        </w:rPr>
        <w:t>fragile,</w:t>
      </w:r>
      <w:r>
        <w:rPr>
          <w:spacing w:val="-7"/>
          <w:sz w:val="22"/>
        </w:rPr>
        <w:t> </w:t>
      </w:r>
      <w:r>
        <w:rPr>
          <w:sz w:val="22"/>
        </w:rPr>
        <w:t>with</w:t>
      </w:r>
      <w:r>
        <w:rPr>
          <w:spacing w:val="-8"/>
          <w:sz w:val="22"/>
        </w:rPr>
        <w:t> </w:t>
      </w:r>
      <w:r>
        <w:rPr>
          <w:sz w:val="22"/>
        </w:rPr>
        <w:t>further</w:t>
      </w:r>
      <w:r>
        <w:rPr>
          <w:spacing w:val="-7"/>
          <w:sz w:val="22"/>
        </w:rPr>
        <w:t> </w:t>
      </w:r>
      <w:r>
        <w:rPr>
          <w:sz w:val="22"/>
        </w:rPr>
        <w:t>declines</w:t>
      </w:r>
      <w:r>
        <w:rPr>
          <w:spacing w:val="-7"/>
          <w:sz w:val="22"/>
        </w:rPr>
        <w:t> </w:t>
      </w:r>
      <w:r>
        <w:rPr>
          <w:sz w:val="22"/>
        </w:rPr>
        <w:t>reported,</w:t>
      </w:r>
      <w:r>
        <w:rPr>
          <w:spacing w:val="-7"/>
          <w:sz w:val="22"/>
        </w:rPr>
        <w:t> </w:t>
      </w:r>
      <w:r>
        <w:rPr>
          <w:sz w:val="22"/>
        </w:rPr>
        <w:t>though perhaps at a slower</w:t>
      </w:r>
      <w:r>
        <w:rPr>
          <w:spacing w:val="-5"/>
          <w:sz w:val="22"/>
        </w:rPr>
        <w:t> </w:t>
      </w:r>
      <w:r>
        <w:rPr>
          <w:sz w:val="22"/>
        </w:rPr>
        <w:t>pace.</w:t>
      </w:r>
    </w:p>
    <w:p>
      <w:pPr>
        <w:pStyle w:val="BodyText"/>
        <w:spacing w:before="10"/>
        <w:rPr>
          <w:sz w:val="23"/>
        </w:rPr>
      </w:pPr>
      <w:r>
        <w:rPr/>
        <w:pict>
          <v:shape style="position:absolute;margin-left:39.5pt;margin-top:15.808418pt;width:517pt;height:.1pt;mso-position-horizontal-relative:page;mso-position-vertical-relative:paragraph;z-index:-15137792;mso-wrap-distance-left:0;mso-wrap-distance-right:0" coordorigin="790,316" coordsize="10340,0" path="m790,316l11130,316e" filled="false" stroked="true" strokeweight=".125pt" strokecolor="#000000">
            <v:path arrowok="t"/>
            <v:stroke dashstyle="solid"/>
            <w10:wrap type="topAndBottom"/>
          </v:shape>
        </w:pict>
      </w:r>
    </w:p>
    <w:p>
      <w:pPr>
        <w:spacing w:line="208" w:lineRule="auto" w:before="0"/>
        <w:ind w:left="440" w:right="804" w:hanging="240"/>
        <w:jc w:val="left"/>
        <w:rPr>
          <w:sz w:val="16"/>
        </w:rPr>
      </w:pPr>
      <w:r>
        <w:rPr>
          <w:sz w:val="16"/>
        </w:rPr>
        <w:t>(1) The Bank of England has Agencies for Central Southern England, the East Midlands, Greater London, the North East &amp; Cumbria, the North West, Northern Ireland, Scotland, the South East &amp; East Anglia, the South West,Wales, the West Midlands, and Yorkshire &amp; the Humber.</w:t>
      </w:r>
    </w:p>
    <w:p>
      <w:pPr>
        <w:spacing w:after="0" w:line="208" w:lineRule="auto"/>
        <w:jc w:val="left"/>
        <w:rPr>
          <w:sz w:val="16"/>
        </w:rPr>
        <w:sectPr>
          <w:type w:val="continuous"/>
          <w:pgSz w:w="11900" w:h="16840"/>
          <w:pgMar w:top="1220" w:bottom="280" w:left="620" w:right="640"/>
        </w:sectPr>
      </w:pPr>
    </w:p>
    <w:p>
      <w:pPr>
        <w:pStyle w:val="BodyText"/>
        <w:rPr>
          <w:sz w:val="20"/>
        </w:rPr>
      </w:pPr>
    </w:p>
    <w:p>
      <w:pPr>
        <w:spacing w:after="0"/>
        <w:rPr>
          <w:sz w:val="20"/>
        </w:rPr>
        <w:sectPr>
          <w:headerReference w:type="even" r:id="rId163"/>
          <w:pgSz w:w="11900" w:h="16840"/>
          <w:pgMar w:header="566" w:footer="597" w:top="760" w:bottom="780" w:left="620" w:right="640"/>
        </w:sectPr>
      </w:pPr>
    </w:p>
    <w:p>
      <w:pPr>
        <w:spacing w:before="218"/>
        <w:ind w:left="194" w:right="0" w:firstLine="0"/>
        <w:jc w:val="left"/>
        <w:rPr>
          <w:b/>
          <w:sz w:val="28"/>
        </w:rPr>
      </w:pPr>
      <w:r>
        <w:rPr>
          <w:b/>
          <w:color w:val="006CB4"/>
          <w:sz w:val="28"/>
        </w:rPr>
        <w:t>OUTPUT</w:t>
      </w:r>
    </w:p>
    <w:p>
      <w:pPr>
        <w:pStyle w:val="Heading4"/>
        <w:spacing w:before="198"/>
        <w:rPr>
          <w:i/>
        </w:rPr>
      </w:pPr>
      <w:r>
        <w:rPr>
          <w:i/>
          <w:color w:val="006CB4"/>
        </w:rPr>
        <w:t>Agriculture</w:t>
      </w:r>
    </w:p>
    <w:p>
      <w:pPr>
        <w:spacing w:line="259" w:lineRule="auto" w:before="163"/>
        <w:ind w:left="194" w:right="98" w:firstLine="0"/>
        <w:jc w:val="left"/>
        <w:rPr>
          <w:sz w:val="21"/>
        </w:rPr>
      </w:pPr>
      <w:r>
        <w:rPr>
          <w:sz w:val="21"/>
        </w:rPr>
        <w:t>Activity in the agricultural sector remained weak during the period, with no evidence of an improvement in confidence. Pig and poultry farming were reported as the areas of most serious weakness, reflecting increased import penetration. Dairy farming was also reported as particularly subdued. Knock-on effects to ancillary sectors had increased (for example, animal feed and fertiliser producers). Structural adjustment within the sector had become more evident—there were further reports of consolidation and restructuring of farms.</w:t>
      </w:r>
    </w:p>
    <w:p>
      <w:pPr>
        <w:spacing w:line="259" w:lineRule="auto" w:before="0"/>
        <w:ind w:left="194" w:right="485" w:firstLine="0"/>
        <w:jc w:val="left"/>
        <w:rPr>
          <w:sz w:val="21"/>
        </w:rPr>
      </w:pPr>
      <w:r>
        <w:rPr>
          <w:sz w:val="21"/>
        </w:rPr>
        <w:t>Moreover, banks in many regions reported increased cash-flow problems for farmers.</w:t>
      </w:r>
    </w:p>
    <w:p>
      <w:pPr>
        <w:pStyle w:val="BodyText"/>
        <w:spacing w:before="4"/>
        <w:rPr>
          <w:sz w:val="21"/>
        </w:rPr>
      </w:pPr>
    </w:p>
    <w:p>
      <w:pPr>
        <w:spacing w:before="0"/>
        <w:ind w:left="194" w:right="0" w:firstLine="0"/>
        <w:jc w:val="left"/>
        <w:rPr>
          <w:i/>
          <w:sz w:val="28"/>
        </w:rPr>
      </w:pPr>
      <w:r>
        <w:rPr>
          <w:i/>
          <w:color w:val="006CB4"/>
          <w:sz w:val="28"/>
        </w:rPr>
        <w:t>Manufacturing</w:t>
      </w:r>
    </w:p>
    <w:p>
      <w:pPr>
        <w:spacing w:line="259" w:lineRule="auto" w:before="163"/>
        <w:ind w:left="194" w:right="13" w:firstLine="0"/>
        <w:jc w:val="left"/>
        <w:rPr>
          <w:sz w:val="21"/>
        </w:rPr>
      </w:pPr>
      <w:r>
        <w:rPr>
          <w:sz w:val="21"/>
        </w:rPr>
        <w:t>The recovery in manufacturing output continued during the period—reportedly driven by stronger demand in both domestic and external markets. But most Agents stressed that strong growth in some sectors masked subdued growth or contraction in others. The high-tech and communications sectors experienced the strongest growth, as well as chemicals (particularly pharmaceuticals).</w:t>
      </w:r>
    </w:p>
    <w:p>
      <w:pPr>
        <w:spacing w:line="259" w:lineRule="auto" w:before="0"/>
        <w:ind w:left="194" w:right="0" w:firstLine="0"/>
        <w:jc w:val="left"/>
        <w:rPr>
          <w:sz w:val="21"/>
        </w:rPr>
      </w:pPr>
      <w:r>
        <w:rPr>
          <w:sz w:val="21"/>
        </w:rPr>
        <w:t>Contacts continued to note that the textile and clothing industry remained in decline, as did the automotive components sector.</w:t>
      </w:r>
    </w:p>
    <w:p>
      <w:pPr>
        <w:pStyle w:val="BodyText"/>
        <w:spacing w:before="10"/>
        <w:rPr>
          <w:sz w:val="21"/>
        </w:rPr>
      </w:pPr>
    </w:p>
    <w:p>
      <w:pPr>
        <w:spacing w:line="259" w:lineRule="auto" w:before="1"/>
        <w:ind w:left="194" w:right="0" w:firstLine="0"/>
        <w:jc w:val="left"/>
        <w:rPr>
          <w:sz w:val="21"/>
        </w:rPr>
      </w:pPr>
      <w:r>
        <w:rPr>
          <w:sz w:val="21"/>
        </w:rPr>
        <w:t>Most manufacturing contacts continued to report that increased volumes were often associated with reduced margins, reflecting the relatively high level of sterling and increased competitive pressures (see Output prices).</w:t>
      </w:r>
    </w:p>
    <w:p>
      <w:pPr>
        <w:pStyle w:val="BodyText"/>
        <w:spacing w:before="3"/>
        <w:rPr>
          <w:sz w:val="22"/>
        </w:rPr>
      </w:pPr>
    </w:p>
    <w:p>
      <w:pPr>
        <w:spacing w:line="259" w:lineRule="auto" w:before="0"/>
        <w:ind w:left="194" w:right="40" w:firstLine="0"/>
        <w:jc w:val="left"/>
        <w:rPr>
          <w:sz w:val="21"/>
        </w:rPr>
      </w:pPr>
      <w:r>
        <w:rPr>
          <w:sz w:val="21"/>
        </w:rPr>
        <w:t>Despite the improvement in activity, capacity constraints were not an issue and much spare capacity remains in many sectors. The underlying trend for many sectors (particularly at the lower value-added end) remains fragile. There were further reports of firms, particularly those with overseas parent companies, moving production to outside the United Kingdom.</w:t>
      </w:r>
    </w:p>
    <w:p>
      <w:pPr>
        <w:pStyle w:val="BodyText"/>
        <w:spacing w:before="2"/>
        <w:rPr>
          <w:sz w:val="22"/>
        </w:rPr>
      </w:pPr>
    </w:p>
    <w:p>
      <w:pPr>
        <w:spacing w:line="259" w:lineRule="auto" w:before="0"/>
        <w:ind w:left="194" w:right="98" w:firstLine="0"/>
        <w:jc w:val="left"/>
        <w:rPr>
          <w:sz w:val="21"/>
        </w:rPr>
      </w:pPr>
      <w:r>
        <w:rPr>
          <w:sz w:val="21"/>
        </w:rPr>
        <w:t>Despite anticipated millennium-related consumer demand, there was widespread consensus that manufacturing output was not greatly affected by this. Moreover, there was little evidence of increased stockbuilding, with most contacts suggesting that stocks of finished goods were at low levels and would continue to be gradually reduced.</w:t>
      </w:r>
    </w:p>
    <w:p>
      <w:pPr>
        <w:pStyle w:val="BodyText"/>
        <w:spacing w:before="7"/>
        <w:rPr>
          <w:sz w:val="21"/>
        </w:rPr>
      </w:pPr>
    </w:p>
    <w:p>
      <w:pPr>
        <w:spacing w:before="0"/>
        <w:ind w:left="194" w:right="0" w:firstLine="0"/>
        <w:jc w:val="left"/>
        <w:rPr>
          <w:i/>
          <w:sz w:val="28"/>
        </w:rPr>
      </w:pPr>
      <w:r>
        <w:rPr>
          <w:i/>
          <w:color w:val="006CB4"/>
          <w:sz w:val="28"/>
        </w:rPr>
        <w:t>Construction and housing</w:t>
      </w:r>
    </w:p>
    <w:p>
      <w:pPr>
        <w:spacing w:line="259" w:lineRule="auto" w:before="164"/>
        <w:ind w:left="194" w:right="0" w:firstLine="0"/>
        <w:jc w:val="left"/>
        <w:rPr>
          <w:sz w:val="21"/>
        </w:rPr>
      </w:pPr>
      <w:r>
        <w:rPr>
          <w:sz w:val="21"/>
        </w:rPr>
        <w:t>While the rate of construction growth varied considerably between locations, most Agents noted that growth had remained broadly stable in recent months. Activity</w:t>
      </w:r>
    </w:p>
    <w:p>
      <w:pPr>
        <w:pStyle w:val="BodyText"/>
        <w:spacing w:before="4"/>
        <w:rPr>
          <w:sz w:val="20"/>
        </w:rPr>
      </w:pPr>
      <w:r>
        <w:rPr/>
        <w:br w:type="column"/>
      </w:r>
      <w:r>
        <w:rPr>
          <w:sz w:val="20"/>
        </w:rPr>
      </w:r>
    </w:p>
    <w:p>
      <w:pPr>
        <w:spacing w:line="259" w:lineRule="auto" w:before="0"/>
        <w:ind w:left="194" w:right="932" w:firstLine="0"/>
        <w:jc w:val="left"/>
        <w:rPr>
          <w:sz w:val="21"/>
        </w:rPr>
      </w:pPr>
      <w:r>
        <w:rPr>
          <w:sz w:val="21"/>
        </w:rPr>
        <w:t>remained strongest in the south and south-east of England.</w:t>
      </w:r>
    </w:p>
    <w:p>
      <w:pPr>
        <w:pStyle w:val="BodyText"/>
        <w:spacing w:before="5"/>
        <w:rPr>
          <w:sz w:val="22"/>
        </w:rPr>
      </w:pPr>
    </w:p>
    <w:p>
      <w:pPr>
        <w:spacing w:line="259" w:lineRule="auto" w:before="1"/>
        <w:ind w:left="194" w:right="489" w:firstLine="0"/>
        <w:jc w:val="left"/>
        <w:rPr>
          <w:sz w:val="21"/>
        </w:rPr>
      </w:pPr>
      <w:r>
        <w:rPr>
          <w:sz w:val="21"/>
        </w:rPr>
        <w:t>Growth was supported by both residential and commercial activity, with increased public spending on education and health boosting non-residential construction in some regions. However, some</w:t>
      </w:r>
    </w:p>
    <w:p>
      <w:pPr>
        <w:spacing w:line="259" w:lineRule="auto" w:before="0"/>
        <w:ind w:left="194" w:right="401" w:firstLine="0"/>
        <w:jc w:val="left"/>
        <w:rPr>
          <w:sz w:val="21"/>
        </w:rPr>
      </w:pPr>
      <w:r>
        <w:rPr>
          <w:sz w:val="21"/>
        </w:rPr>
        <w:t>Agents noted a reduction in housing demand for letting purposes. Given continued weakness in some areas</w:t>
      </w:r>
    </w:p>
    <w:p>
      <w:pPr>
        <w:spacing w:line="259" w:lineRule="auto" w:before="0"/>
        <w:ind w:left="194" w:right="489" w:firstLine="0"/>
        <w:jc w:val="left"/>
        <w:rPr>
          <w:sz w:val="21"/>
        </w:rPr>
      </w:pPr>
      <w:r>
        <w:rPr>
          <w:sz w:val="21"/>
        </w:rPr>
        <w:t>of the manufacturing sector, industrial construction growth remained relatively more subdued in most regions.</w:t>
      </w:r>
    </w:p>
    <w:p>
      <w:pPr>
        <w:pStyle w:val="BodyText"/>
        <w:spacing w:before="11"/>
        <w:rPr>
          <w:sz w:val="24"/>
        </w:rPr>
      </w:pPr>
    </w:p>
    <w:p>
      <w:pPr>
        <w:spacing w:before="0"/>
        <w:ind w:left="194" w:right="0" w:firstLine="0"/>
        <w:jc w:val="left"/>
        <w:rPr>
          <w:i/>
          <w:sz w:val="28"/>
        </w:rPr>
      </w:pPr>
      <w:r>
        <w:rPr>
          <w:i/>
          <w:color w:val="006CB4"/>
          <w:sz w:val="28"/>
        </w:rPr>
        <w:t>Services</w:t>
      </w:r>
    </w:p>
    <w:p>
      <w:pPr>
        <w:spacing w:line="259" w:lineRule="auto" w:before="163"/>
        <w:ind w:left="194" w:right="197" w:firstLine="0"/>
        <w:jc w:val="left"/>
        <w:rPr>
          <w:sz w:val="21"/>
        </w:rPr>
      </w:pPr>
      <w:r>
        <w:rPr>
          <w:sz w:val="21"/>
        </w:rPr>
        <w:t>Service sector growth was sustained at a strong rate during the period. Business services growth was reported to be stronger than consumer services growth. The strongest growth had been recorded in professional services—particularly legal, accountancy and</w:t>
      </w:r>
    </w:p>
    <w:p>
      <w:pPr>
        <w:spacing w:line="259" w:lineRule="auto" w:before="0"/>
        <w:ind w:left="194" w:right="185" w:firstLine="0"/>
        <w:jc w:val="left"/>
        <w:rPr>
          <w:sz w:val="21"/>
        </w:rPr>
      </w:pPr>
      <w:r>
        <w:rPr>
          <w:sz w:val="21"/>
        </w:rPr>
        <w:t>property-related services. The only exception to continued strong growth was the IT sector, where a pause in activity occurred in late 1999—related to Y2K caution. As expected, IT output slowed significantly prior to the </w:t>
      </w:r>
      <w:r>
        <w:rPr>
          <w:spacing w:val="-3"/>
          <w:sz w:val="21"/>
        </w:rPr>
        <w:t>new year, </w:t>
      </w:r>
      <w:r>
        <w:rPr>
          <w:sz w:val="21"/>
        </w:rPr>
        <w:t>but activity was expected to pick up again strongly in coming months—particularly in development projects such as the Internet and e-commerce. Growth of financial services more generally remained strong, boosted by continued mergers and acquisitions </w:t>
      </w:r>
      <w:r>
        <w:rPr>
          <w:spacing w:val="-3"/>
          <w:sz w:val="21"/>
        </w:rPr>
        <w:t>activity, </w:t>
      </w:r>
      <w:r>
        <w:rPr>
          <w:sz w:val="21"/>
        </w:rPr>
        <w:t>as well as company</w:t>
      </w:r>
      <w:r>
        <w:rPr>
          <w:spacing w:val="-5"/>
          <w:sz w:val="21"/>
        </w:rPr>
        <w:t> </w:t>
      </w:r>
      <w:r>
        <w:rPr>
          <w:sz w:val="21"/>
        </w:rPr>
        <w:t>restructurings.</w:t>
      </w:r>
    </w:p>
    <w:p>
      <w:pPr>
        <w:pStyle w:val="BodyText"/>
        <w:spacing w:before="7"/>
        <w:rPr>
          <w:sz w:val="21"/>
        </w:rPr>
      </w:pPr>
    </w:p>
    <w:p>
      <w:pPr>
        <w:spacing w:line="259" w:lineRule="auto" w:before="0"/>
        <w:ind w:left="194" w:right="138" w:firstLine="0"/>
        <w:jc w:val="left"/>
        <w:rPr>
          <w:sz w:val="21"/>
        </w:rPr>
      </w:pPr>
      <w:r>
        <w:rPr>
          <w:sz w:val="21"/>
        </w:rPr>
        <w:t>Increased capacity constraints had been reported by many Agents—mostly reflecting difficulties in recruiting suitably skilled staff (see Employment).</w:t>
      </w:r>
    </w:p>
    <w:p>
      <w:pPr>
        <w:pStyle w:val="BodyText"/>
        <w:spacing w:before="11"/>
        <w:rPr>
          <w:sz w:val="21"/>
        </w:rPr>
      </w:pPr>
    </w:p>
    <w:p>
      <w:pPr>
        <w:spacing w:before="0"/>
        <w:ind w:left="194" w:right="0" w:firstLine="0"/>
        <w:jc w:val="left"/>
        <w:rPr>
          <w:b/>
          <w:sz w:val="28"/>
        </w:rPr>
      </w:pPr>
      <w:r>
        <w:rPr>
          <w:b/>
          <w:color w:val="006CB4"/>
          <w:sz w:val="28"/>
        </w:rPr>
        <w:t>DEMAND</w:t>
      </w:r>
    </w:p>
    <w:p>
      <w:pPr>
        <w:spacing w:before="198"/>
        <w:ind w:left="194" w:right="0" w:firstLine="0"/>
        <w:jc w:val="left"/>
        <w:rPr>
          <w:i/>
          <w:sz w:val="28"/>
        </w:rPr>
      </w:pPr>
      <w:r>
        <w:rPr>
          <w:i/>
          <w:color w:val="006CB4"/>
          <w:sz w:val="28"/>
        </w:rPr>
        <w:t>Consumption</w:t>
      </w:r>
    </w:p>
    <w:p>
      <w:pPr>
        <w:spacing w:line="259" w:lineRule="auto" w:before="123"/>
        <w:ind w:left="194" w:right="299" w:firstLine="0"/>
        <w:jc w:val="left"/>
        <w:rPr>
          <w:sz w:val="21"/>
        </w:rPr>
      </w:pPr>
      <w:r>
        <w:rPr>
          <w:sz w:val="21"/>
        </w:rPr>
        <w:t>Retail sales growth continued to pick up during the period. There was widespread confirmation of stronger annual sales growth over the Christmas period. Even department stores, many of which had been recording </w:t>
      </w:r>
      <w:r>
        <w:rPr>
          <w:spacing w:val="-3"/>
          <w:sz w:val="21"/>
        </w:rPr>
        <w:t>negative </w:t>
      </w:r>
      <w:r>
        <w:rPr>
          <w:sz w:val="21"/>
        </w:rPr>
        <w:t>growth, reported positive growth compared with a year </w:t>
      </w:r>
      <w:r>
        <w:rPr>
          <w:spacing w:val="-3"/>
          <w:sz w:val="21"/>
        </w:rPr>
        <w:t>earlier. </w:t>
      </w:r>
      <w:r>
        <w:rPr>
          <w:sz w:val="21"/>
        </w:rPr>
        <w:t>But contacts in many regions were cautious</w:t>
      </w:r>
      <w:r>
        <w:rPr>
          <w:spacing w:val="-7"/>
          <w:sz w:val="21"/>
        </w:rPr>
        <w:t> </w:t>
      </w:r>
      <w:r>
        <w:rPr>
          <w:sz w:val="21"/>
        </w:rPr>
        <w:t>about</w:t>
      </w:r>
      <w:r>
        <w:rPr>
          <w:spacing w:val="-6"/>
          <w:sz w:val="21"/>
        </w:rPr>
        <w:t> </w:t>
      </w:r>
      <w:r>
        <w:rPr>
          <w:sz w:val="21"/>
        </w:rPr>
        <w:t>expectations</w:t>
      </w:r>
      <w:r>
        <w:rPr>
          <w:spacing w:val="-7"/>
          <w:sz w:val="21"/>
        </w:rPr>
        <w:t> </w:t>
      </w:r>
      <w:r>
        <w:rPr>
          <w:sz w:val="21"/>
        </w:rPr>
        <w:t>of</w:t>
      </w:r>
      <w:r>
        <w:rPr>
          <w:spacing w:val="-6"/>
          <w:sz w:val="21"/>
        </w:rPr>
        <w:t> </w:t>
      </w:r>
      <w:r>
        <w:rPr>
          <w:sz w:val="21"/>
        </w:rPr>
        <w:t>the</w:t>
      </w:r>
      <w:r>
        <w:rPr>
          <w:spacing w:val="-7"/>
          <w:sz w:val="21"/>
        </w:rPr>
        <w:t> </w:t>
      </w:r>
      <w:r>
        <w:rPr>
          <w:sz w:val="21"/>
        </w:rPr>
        <w:t>future</w:t>
      </w:r>
      <w:r>
        <w:rPr>
          <w:spacing w:val="-6"/>
          <w:sz w:val="21"/>
        </w:rPr>
        <w:t> </w:t>
      </w:r>
      <w:r>
        <w:rPr>
          <w:sz w:val="21"/>
        </w:rPr>
        <w:t>pace</w:t>
      </w:r>
      <w:r>
        <w:rPr>
          <w:spacing w:val="-7"/>
          <w:sz w:val="21"/>
        </w:rPr>
        <w:t> </w:t>
      </w:r>
      <w:r>
        <w:rPr>
          <w:sz w:val="21"/>
        </w:rPr>
        <w:t>of</w:t>
      </w:r>
      <w:r>
        <w:rPr>
          <w:spacing w:val="-6"/>
          <w:sz w:val="21"/>
        </w:rPr>
        <w:t> </w:t>
      </w:r>
      <w:r>
        <w:rPr>
          <w:sz w:val="21"/>
        </w:rPr>
        <w:t>growth, with most expecting an easing in coming months. In addition, most Agents continued to emphasise that sales volume</w:t>
      </w:r>
      <w:r>
        <w:rPr>
          <w:spacing w:val="-9"/>
          <w:sz w:val="21"/>
        </w:rPr>
        <w:t> </w:t>
      </w:r>
      <w:r>
        <w:rPr>
          <w:sz w:val="21"/>
        </w:rPr>
        <w:t>growth</w:t>
      </w:r>
      <w:r>
        <w:rPr>
          <w:spacing w:val="-9"/>
          <w:sz w:val="21"/>
        </w:rPr>
        <w:t> </w:t>
      </w:r>
      <w:r>
        <w:rPr>
          <w:sz w:val="21"/>
        </w:rPr>
        <w:t>still</w:t>
      </w:r>
      <w:r>
        <w:rPr>
          <w:spacing w:val="-8"/>
          <w:sz w:val="21"/>
        </w:rPr>
        <w:t> </w:t>
      </w:r>
      <w:r>
        <w:rPr>
          <w:sz w:val="21"/>
        </w:rPr>
        <w:t>exceeded</w:t>
      </w:r>
      <w:r>
        <w:rPr>
          <w:spacing w:val="-9"/>
          <w:sz w:val="21"/>
        </w:rPr>
        <w:t> </w:t>
      </w:r>
      <w:r>
        <w:rPr>
          <w:sz w:val="21"/>
        </w:rPr>
        <w:t>growth</w:t>
      </w:r>
      <w:r>
        <w:rPr>
          <w:spacing w:val="-8"/>
          <w:sz w:val="21"/>
        </w:rPr>
        <w:t> </w:t>
      </w:r>
      <w:r>
        <w:rPr>
          <w:sz w:val="21"/>
        </w:rPr>
        <w:t>in</w:t>
      </w:r>
      <w:r>
        <w:rPr>
          <w:spacing w:val="-9"/>
          <w:sz w:val="21"/>
        </w:rPr>
        <w:t> </w:t>
      </w:r>
      <w:r>
        <w:rPr>
          <w:sz w:val="21"/>
        </w:rPr>
        <w:t>the</w:t>
      </w:r>
      <w:r>
        <w:rPr>
          <w:spacing w:val="-8"/>
          <w:sz w:val="21"/>
        </w:rPr>
        <w:t> </w:t>
      </w:r>
      <w:r>
        <w:rPr>
          <w:sz w:val="21"/>
        </w:rPr>
        <w:t>overall</w:t>
      </w:r>
      <w:r>
        <w:rPr>
          <w:spacing w:val="-9"/>
          <w:sz w:val="21"/>
        </w:rPr>
        <w:t> </w:t>
      </w:r>
      <w:r>
        <w:rPr>
          <w:sz w:val="21"/>
        </w:rPr>
        <w:t>value of</w:t>
      </w:r>
      <w:r>
        <w:rPr>
          <w:spacing w:val="-2"/>
          <w:sz w:val="21"/>
        </w:rPr>
        <w:t> </w:t>
      </w:r>
      <w:r>
        <w:rPr>
          <w:sz w:val="21"/>
        </w:rPr>
        <w:t>sales.</w:t>
      </w:r>
    </w:p>
    <w:p>
      <w:pPr>
        <w:pStyle w:val="BodyText"/>
        <w:spacing w:before="4"/>
      </w:pPr>
    </w:p>
    <w:p>
      <w:pPr>
        <w:spacing w:line="259" w:lineRule="auto" w:before="0"/>
        <w:ind w:left="194" w:right="489" w:firstLine="0"/>
        <w:jc w:val="left"/>
        <w:rPr>
          <w:sz w:val="21"/>
        </w:rPr>
      </w:pPr>
      <w:r>
        <w:rPr>
          <w:sz w:val="21"/>
        </w:rPr>
        <w:t>There was evidence of strong housing activity feeding through to household good sales in some regions. But most Agents continued to report the strongest sales growth in PCs, mobile phones and electrical</w:t>
      </w:r>
      <w:r>
        <w:rPr>
          <w:spacing w:val="-30"/>
          <w:sz w:val="21"/>
        </w:rPr>
        <w:t> </w:t>
      </w:r>
      <w:r>
        <w:rPr>
          <w:sz w:val="21"/>
        </w:rPr>
        <w:t>goods.</w:t>
      </w:r>
    </w:p>
    <w:p>
      <w:pPr>
        <w:spacing w:line="238" w:lineRule="exact" w:before="0"/>
        <w:ind w:left="194" w:right="0" w:firstLine="0"/>
        <w:jc w:val="left"/>
        <w:rPr>
          <w:sz w:val="21"/>
        </w:rPr>
      </w:pPr>
      <w:r>
        <w:rPr>
          <w:sz w:val="21"/>
        </w:rPr>
        <w:t>Clothing</w:t>
      </w:r>
      <w:r>
        <w:rPr>
          <w:spacing w:val="-7"/>
          <w:sz w:val="21"/>
        </w:rPr>
        <w:t> </w:t>
      </w:r>
      <w:r>
        <w:rPr>
          <w:sz w:val="21"/>
        </w:rPr>
        <w:t>sales</w:t>
      </w:r>
      <w:r>
        <w:rPr>
          <w:spacing w:val="-7"/>
          <w:sz w:val="21"/>
        </w:rPr>
        <w:t> </w:t>
      </w:r>
      <w:r>
        <w:rPr>
          <w:sz w:val="21"/>
        </w:rPr>
        <w:t>remained</w:t>
      </w:r>
      <w:r>
        <w:rPr>
          <w:spacing w:val="-6"/>
          <w:sz w:val="21"/>
        </w:rPr>
        <w:t> </w:t>
      </w:r>
      <w:r>
        <w:rPr>
          <w:sz w:val="21"/>
        </w:rPr>
        <w:t>one</w:t>
      </w:r>
      <w:r>
        <w:rPr>
          <w:spacing w:val="-7"/>
          <w:sz w:val="21"/>
        </w:rPr>
        <w:t> </w:t>
      </w:r>
      <w:r>
        <w:rPr>
          <w:sz w:val="21"/>
        </w:rPr>
        <w:t>of</w:t>
      </w:r>
      <w:r>
        <w:rPr>
          <w:spacing w:val="-6"/>
          <w:sz w:val="21"/>
        </w:rPr>
        <w:t> </w:t>
      </w:r>
      <w:r>
        <w:rPr>
          <w:sz w:val="21"/>
        </w:rPr>
        <w:t>the</w:t>
      </w:r>
      <w:r>
        <w:rPr>
          <w:spacing w:val="-7"/>
          <w:sz w:val="21"/>
        </w:rPr>
        <w:t> </w:t>
      </w:r>
      <w:r>
        <w:rPr>
          <w:sz w:val="21"/>
        </w:rPr>
        <w:t>weakest</w:t>
      </w:r>
      <w:r>
        <w:rPr>
          <w:spacing w:val="-6"/>
          <w:sz w:val="21"/>
        </w:rPr>
        <w:t> </w:t>
      </w:r>
      <w:r>
        <w:rPr>
          <w:sz w:val="21"/>
        </w:rPr>
        <w:t>sectors,</w:t>
      </w:r>
    </w:p>
    <w:p>
      <w:pPr>
        <w:spacing w:after="0" w:line="238" w:lineRule="exact"/>
        <w:jc w:val="left"/>
        <w:rPr>
          <w:sz w:val="21"/>
        </w:rPr>
        <w:sectPr>
          <w:type w:val="continuous"/>
          <w:pgSz w:w="11900" w:h="16840"/>
          <w:pgMar w:top="1220" w:bottom="280" w:left="620" w:right="640"/>
          <w:cols w:num="2" w:equalWidth="0">
            <w:col w:w="5136" w:space="246"/>
            <w:col w:w="5258"/>
          </w:cols>
        </w:sectPr>
      </w:pPr>
    </w:p>
    <w:p>
      <w:pPr>
        <w:spacing w:before="82"/>
        <w:ind w:left="0" w:right="158" w:firstLine="0"/>
        <w:jc w:val="right"/>
        <w:rPr>
          <w:i/>
          <w:sz w:val="16"/>
        </w:rPr>
      </w:pPr>
      <w:r>
        <w:rPr>
          <w:i/>
          <w:sz w:val="16"/>
        </w:rPr>
        <w:t>Agents’ summary of business conditions</w:t>
      </w:r>
    </w:p>
    <w:p>
      <w:pPr>
        <w:pStyle w:val="BodyText"/>
        <w:spacing w:line="20" w:lineRule="exact"/>
        <w:ind w:left="15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spacing w:before="10"/>
        <w:rPr>
          <w:i/>
          <w:sz w:val="29"/>
        </w:rPr>
      </w:pPr>
    </w:p>
    <w:p>
      <w:pPr>
        <w:spacing w:after="0"/>
        <w:rPr>
          <w:sz w:val="29"/>
        </w:rPr>
        <w:sectPr>
          <w:headerReference w:type="default" r:id="rId164"/>
          <w:pgSz w:w="11900" w:h="16840"/>
          <w:pgMar w:header="0" w:footer="597" w:top="500" w:bottom="780" w:left="620" w:right="640"/>
        </w:sectPr>
      </w:pPr>
    </w:p>
    <w:p>
      <w:pPr>
        <w:spacing w:line="259" w:lineRule="auto" w:before="91"/>
        <w:ind w:left="200" w:right="511" w:firstLine="0"/>
        <w:jc w:val="left"/>
        <w:rPr>
          <w:sz w:val="21"/>
        </w:rPr>
      </w:pPr>
      <w:r>
        <w:rPr>
          <w:sz w:val="21"/>
        </w:rPr>
        <w:t>although branded items in specialist stores remained relatively strong.</w:t>
      </w:r>
    </w:p>
    <w:p>
      <w:pPr>
        <w:pStyle w:val="BodyText"/>
        <w:spacing w:before="5"/>
        <w:rPr>
          <w:sz w:val="22"/>
        </w:rPr>
      </w:pPr>
    </w:p>
    <w:p>
      <w:pPr>
        <w:spacing w:line="259" w:lineRule="auto" w:before="0"/>
        <w:ind w:left="200" w:right="9" w:firstLine="0"/>
        <w:jc w:val="left"/>
        <w:rPr>
          <w:sz w:val="21"/>
        </w:rPr>
      </w:pPr>
      <w:r>
        <w:rPr>
          <w:sz w:val="21"/>
        </w:rPr>
        <w:t>There was some evidence of retailers increasing stocks prior to the new millennium, but this had been limited to a few areas—notably food, alcohol and pharmaceuticals.</w:t>
      </w:r>
    </w:p>
    <w:p>
      <w:pPr>
        <w:pStyle w:val="BodyText"/>
        <w:spacing w:before="5"/>
        <w:rPr>
          <w:sz w:val="22"/>
        </w:rPr>
      </w:pPr>
    </w:p>
    <w:p>
      <w:pPr>
        <w:spacing w:line="259" w:lineRule="auto" w:before="0"/>
        <w:ind w:left="200" w:right="9" w:firstLine="0"/>
        <w:jc w:val="left"/>
        <w:rPr>
          <w:sz w:val="21"/>
        </w:rPr>
      </w:pPr>
      <w:r>
        <w:rPr>
          <w:sz w:val="21"/>
        </w:rPr>
        <w:t>Sales of new cars to individuals slowed considerably during the period, with consumers reported to have been awaiting the resolution of the review of car price differentials between the United Kingdom and continental Europe. Annual growth in used car sales also declined further.</w:t>
      </w:r>
    </w:p>
    <w:p>
      <w:pPr>
        <w:pStyle w:val="BodyText"/>
        <w:rPr>
          <w:sz w:val="20"/>
        </w:rPr>
      </w:pPr>
    </w:p>
    <w:p>
      <w:pPr>
        <w:spacing w:before="0"/>
        <w:ind w:left="200" w:right="0" w:firstLine="0"/>
        <w:jc w:val="left"/>
        <w:rPr>
          <w:i/>
          <w:sz w:val="28"/>
        </w:rPr>
      </w:pPr>
      <w:r>
        <w:rPr>
          <w:i/>
          <w:color w:val="006CB4"/>
          <w:sz w:val="28"/>
        </w:rPr>
        <w:t>Exports</w:t>
      </w:r>
    </w:p>
    <w:p>
      <w:pPr>
        <w:spacing w:line="259" w:lineRule="auto" w:before="123"/>
        <w:ind w:left="200" w:right="9" w:firstLine="0"/>
        <w:jc w:val="left"/>
        <w:rPr>
          <w:sz w:val="21"/>
        </w:rPr>
      </w:pPr>
      <w:r>
        <w:rPr>
          <w:sz w:val="21"/>
        </w:rPr>
        <w:t>The recovery in export demand noted in previous </w:t>
      </w:r>
      <w:r>
        <w:rPr>
          <w:i/>
          <w:sz w:val="21"/>
        </w:rPr>
        <w:t>Agents’ </w:t>
      </w:r>
      <w:r>
        <w:rPr>
          <w:i/>
          <w:sz w:val="21"/>
        </w:rPr>
        <w:t>Summaries </w:t>
      </w:r>
      <w:r>
        <w:rPr>
          <w:sz w:val="21"/>
        </w:rPr>
        <w:t>continued during the period. There was little evidence to suggest any slowing in demand from the United States. Most Agencies continued to report an improvement in East Asia. Contacts’ reports of European demand were varied but, overall, were more positive.</w:t>
      </w:r>
    </w:p>
    <w:p>
      <w:pPr>
        <w:spacing w:line="259" w:lineRule="auto" w:before="0"/>
        <w:ind w:left="200" w:right="9" w:firstLine="0"/>
        <w:jc w:val="left"/>
        <w:rPr>
          <w:sz w:val="21"/>
        </w:rPr>
      </w:pPr>
      <w:r>
        <w:rPr>
          <w:sz w:val="21"/>
        </w:rPr>
        <w:t>Several contacts also reported improvement from the Middle East.</w:t>
      </w:r>
    </w:p>
    <w:p>
      <w:pPr>
        <w:pStyle w:val="BodyText"/>
        <w:spacing w:before="1"/>
        <w:rPr>
          <w:sz w:val="22"/>
        </w:rPr>
      </w:pPr>
    </w:p>
    <w:p>
      <w:pPr>
        <w:spacing w:line="259" w:lineRule="auto" w:before="0"/>
        <w:ind w:left="200" w:right="57" w:firstLine="0"/>
        <w:jc w:val="left"/>
        <w:rPr>
          <w:sz w:val="21"/>
        </w:rPr>
      </w:pPr>
      <w:r>
        <w:rPr>
          <w:sz w:val="21"/>
        </w:rPr>
        <w:t>But reports of import penetration, particularly from Europe, intensified during the period. Contacts in the manufacturing and agricultural sectors continued to stress the negative impact of the relatively high level of sterling on domestic and overseas orders. In addition, there had been further reports of UK manufacturers switching to cheaper overseas material and component suppliers, also boosting the demand for imports.</w:t>
      </w:r>
    </w:p>
    <w:p>
      <w:pPr>
        <w:pStyle w:val="BodyText"/>
        <w:spacing w:before="10"/>
        <w:rPr>
          <w:sz w:val="19"/>
        </w:rPr>
      </w:pPr>
    </w:p>
    <w:p>
      <w:pPr>
        <w:spacing w:before="0"/>
        <w:ind w:left="200" w:right="0" w:firstLine="0"/>
        <w:jc w:val="left"/>
        <w:rPr>
          <w:i/>
          <w:sz w:val="28"/>
        </w:rPr>
      </w:pPr>
      <w:r>
        <w:rPr>
          <w:i/>
          <w:color w:val="006CB4"/>
          <w:sz w:val="28"/>
        </w:rPr>
        <w:t>Investment</w:t>
      </w:r>
    </w:p>
    <w:p>
      <w:pPr>
        <w:spacing w:line="259" w:lineRule="auto" w:before="143"/>
        <w:ind w:left="200" w:right="63" w:firstLine="0"/>
        <w:jc w:val="left"/>
        <w:rPr>
          <w:sz w:val="21"/>
        </w:rPr>
      </w:pPr>
      <w:r>
        <w:rPr>
          <w:sz w:val="21"/>
        </w:rPr>
        <w:t>Investment trends in the manufacturing and service sectors </w:t>
      </w:r>
      <w:r>
        <w:rPr>
          <w:spacing w:val="-3"/>
          <w:sz w:val="21"/>
        </w:rPr>
        <w:t>diverged </w:t>
      </w:r>
      <w:r>
        <w:rPr>
          <w:sz w:val="21"/>
        </w:rPr>
        <w:t>further during the period. Investment intentions in the manufacturing sector remained particularly weak. Investment in the sector continued to be focused on productivity improvements, with more firms investing in capacity overseas. There had been increased reports from firms about the difficulty of generating the rate of return required to justify </w:t>
      </w:r>
      <w:r>
        <w:rPr>
          <w:spacing w:val="-3"/>
          <w:sz w:val="21"/>
        </w:rPr>
        <w:t>investment </w:t>
      </w:r>
      <w:r>
        <w:rPr>
          <w:sz w:val="21"/>
        </w:rPr>
        <w:t>in the United Kingdom </w:t>
      </w:r>
      <w:r>
        <w:rPr>
          <w:spacing w:val="-3"/>
          <w:sz w:val="21"/>
        </w:rPr>
        <w:t>given </w:t>
      </w:r>
      <w:r>
        <w:rPr>
          <w:sz w:val="21"/>
        </w:rPr>
        <w:t>the attraction of lower-cost countries. There was also concern that continued downward pressure on margins would further reduce the ability of companies to </w:t>
      </w:r>
      <w:r>
        <w:rPr>
          <w:spacing w:val="-3"/>
          <w:sz w:val="21"/>
        </w:rPr>
        <w:t>invest.</w:t>
      </w:r>
    </w:p>
    <w:p>
      <w:pPr>
        <w:pStyle w:val="BodyText"/>
        <w:spacing w:before="9"/>
        <w:rPr>
          <w:sz w:val="21"/>
        </w:rPr>
      </w:pPr>
    </w:p>
    <w:p>
      <w:pPr>
        <w:spacing w:line="259" w:lineRule="auto" w:before="0"/>
        <w:ind w:left="200" w:right="84" w:firstLine="0"/>
        <w:jc w:val="left"/>
        <w:rPr>
          <w:sz w:val="21"/>
        </w:rPr>
      </w:pPr>
      <w:r>
        <w:rPr>
          <w:sz w:val="21"/>
        </w:rPr>
        <w:t>In contrast, service sector investment continued to strengthen compared with the previous period, with most plans focused on IT development. Leisure investment remained strong, as did retail investment, especially for increased floor space in discount stores. Capacity constraints in many professional services businesses led to increased demand for commercial office space. In</w:t>
      </w:r>
    </w:p>
    <w:p>
      <w:pPr>
        <w:spacing w:line="259" w:lineRule="auto" w:before="91"/>
        <w:ind w:left="200" w:right="221" w:firstLine="0"/>
        <w:jc w:val="left"/>
        <w:rPr>
          <w:sz w:val="21"/>
        </w:rPr>
      </w:pPr>
      <w:r>
        <w:rPr/>
        <w:br w:type="column"/>
      </w:r>
      <w:r>
        <w:rPr>
          <w:sz w:val="21"/>
        </w:rPr>
        <w:t>addition, increased skill shortages had prompted several firms to increase investment in staff training.</w:t>
      </w:r>
    </w:p>
    <w:p>
      <w:pPr>
        <w:pStyle w:val="BodyText"/>
        <w:spacing w:before="5"/>
        <w:rPr>
          <w:sz w:val="22"/>
        </w:rPr>
      </w:pPr>
    </w:p>
    <w:p>
      <w:pPr>
        <w:spacing w:line="259" w:lineRule="auto" w:before="0"/>
        <w:ind w:left="200" w:right="221" w:firstLine="0"/>
        <w:jc w:val="left"/>
        <w:rPr>
          <w:sz w:val="21"/>
        </w:rPr>
      </w:pPr>
      <w:r>
        <w:rPr>
          <w:sz w:val="21"/>
        </w:rPr>
        <w:t>Although IT investment in both sectors was reported to have slowed significantly in the last few months of 1999, it was expected to resume again strongly in the new year—particularly for development projects relating to the Internet and e-commerce.</w:t>
      </w:r>
    </w:p>
    <w:p>
      <w:pPr>
        <w:pStyle w:val="BodyText"/>
        <w:spacing w:before="9"/>
        <w:rPr>
          <w:sz w:val="21"/>
        </w:rPr>
      </w:pPr>
    </w:p>
    <w:p>
      <w:pPr>
        <w:spacing w:before="1"/>
        <w:ind w:left="200" w:right="0" w:firstLine="0"/>
        <w:jc w:val="left"/>
        <w:rPr>
          <w:b/>
          <w:sz w:val="28"/>
        </w:rPr>
      </w:pPr>
      <w:r>
        <w:rPr>
          <w:b/>
          <w:color w:val="006CB4"/>
          <w:sz w:val="28"/>
        </w:rPr>
        <w:t>COSTS AND PRICES</w:t>
      </w:r>
    </w:p>
    <w:p>
      <w:pPr>
        <w:spacing w:before="198"/>
        <w:ind w:left="200" w:right="0" w:firstLine="0"/>
        <w:jc w:val="left"/>
        <w:rPr>
          <w:i/>
          <w:sz w:val="28"/>
        </w:rPr>
      </w:pPr>
      <w:r>
        <w:rPr>
          <w:i/>
          <w:color w:val="006CB4"/>
          <w:sz w:val="28"/>
        </w:rPr>
        <w:t>Input</w:t>
      </w:r>
      <w:r>
        <w:rPr>
          <w:i/>
          <w:color w:val="006CB4"/>
          <w:spacing w:val="-11"/>
          <w:sz w:val="28"/>
        </w:rPr>
        <w:t> </w:t>
      </w:r>
      <w:r>
        <w:rPr>
          <w:i/>
          <w:color w:val="006CB4"/>
          <w:sz w:val="28"/>
        </w:rPr>
        <w:t>prices</w:t>
      </w:r>
    </w:p>
    <w:p>
      <w:pPr>
        <w:spacing w:line="259" w:lineRule="auto" w:before="123"/>
        <w:ind w:left="200" w:right="287" w:firstLine="0"/>
        <w:jc w:val="left"/>
        <w:rPr>
          <w:sz w:val="21"/>
        </w:rPr>
      </w:pPr>
      <w:r>
        <w:rPr>
          <w:sz w:val="21"/>
        </w:rPr>
        <w:t>Following reports of broadly flat materials prices in the previous </w:t>
      </w:r>
      <w:r>
        <w:rPr>
          <w:i/>
          <w:sz w:val="21"/>
        </w:rPr>
        <w:t>Agents’ Summary</w:t>
      </w:r>
      <w:r>
        <w:rPr>
          <w:sz w:val="21"/>
        </w:rPr>
        <w:t>, there had been widespread reports of increased prices in recent months and further increases were expected. </w:t>
      </w:r>
      <w:r>
        <w:rPr>
          <w:spacing w:val="-4"/>
          <w:sz w:val="21"/>
        </w:rPr>
        <w:t>However, </w:t>
      </w:r>
      <w:r>
        <w:rPr>
          <w:sz w:val="21"/>
        </w:rPr>
        <w:t>these reports had been confined to a </w:t>
      </w:r>
      <w:r>
        <w:rPr>
          <w:spacing w:val="-3"/>
          <w:sz w:val="21"/>
        </w:rPr>
        <w:t>few </w:t>
      </w:r>
      <w:r>
        <w:rPr>
          <w:sz w:val="21"/>
        </w:rPr>
        <w:t>specific commodities (for example,</w:t>
      </w:r>
      <w:r>
        <w:rPr>
          <w:spacing w:val="-7"/>
          <w:sz w:val="21"/>
        </w:rPr>
        <w:t> </w:t>
      </w:r>
      <w:r>
        <w:rPr>
          <w:sz w:val="21"/>
        </w:rPr>
        <w:t>oil</w:t>
      </w:r>
      <w:r>
        <w:rPr>
          <w:spacing w:val="-7"/>
          <w:sz w:val="21"/>
        </w:rPr>
        <w:t> </w:t>
      </w:r>
      <w:r>
        <w:rPr>
          <w:sz w:val="21"/>
        </w:rPr>
        <w:t>and</w:t>
      </w:r>
      <w:r>
        <w:rPr>
          <w:spacing w:val="-7"/>
          <w:sz w:val="21"/>
        </w:rPr>
        <w:t> </w:t>
      </w:r>
      <w:r>
        <w:rPr>
          <w:sz w:val="21"/>
        </w:rPr>
        <w:t>related</w:t>
      </w:r>
      <w:r>
        <w:rPr>
          <w:spacing w:val="-6"/>
          <w:sz w:val="21"/>
        </w:rPr>
        <w:t> </w:t>
      </w:r>
      <w:r>
        <w:rPr>
          <w:sz w:val="21"/>
        </w:rPr>
        <w:t>products,</w:t>
      </w:r>
      <w:r>
        <w:rPr>
          <w:spacing w:val="-7"/>
          <w:sz w:val="21"/>
        </w:rPr>
        <w:t> </w:t>
      </w:r>
      <w:r>
        <w:rPr>
          <w:sz w:val="21"/>
        </w:rPr>
        <w:t>some</w:t>
      </w:r>
      <w:r>
        <w:rPr>
          <w:spacing w:val="-7"/>
          <w:sz w:val="21"/>
        </w:rPr>
        <w:t> </w:t>
      </w:r>
      <w:r>
        <w:rPr>
          <w:sz w:val="21"/>
        </w:rPr>
        <w:t>metals,</w:t>
      </w:r>
      <w:r>
        <w:rPr>
          <w:spacing w:val="-7"/>
          <w:sz w:val="21"/>
        </w:rPr>
        <w:t> </w:t>
      </w:r>
      <w:r>
        <w:rPr>
          <w:sz w:val="21"/>
        </w:rPr>
        <w:t>plastics, paper and</w:t>
      </w:r>
      <w:r>
        <w:rPr>
          <w:spacing w:val="-3"/>
          <w:sz w:val="21"/>
        </w:rPr>
        <w:t> </w:t>
      </w:r>
      <w:r>
        <w:rPr>
          <w:sz w:val="21"/>
        </w:rPr>
        <w:t>pulp).</w:t>
      </w:r>
    </w:p>
    <w:p>
      <w:pPr>
        <w:pStyle w:val="BodyText"/>
        <w:spacing w:before="1"/>
        <w:rPr>
          <w:sz w:val="22"/>
        </w:rPr>
      </w:pPr>
    </w:p>
    <w:p>
      <w:pPr>
        <w:spacing w:line="259" w:lineRule="auto" w:before="0"/>
        <w:ind w:left="200" w:right="211" w:firstLine="0"/>
        <w:jc w:val="left"/>
        <w:rPr>
          <w:sz w:val="21"/>
        </w:rPr>
      </w:pPr>
      <w:r>
        <w:rPr>
          <w:sz w:val="21"/>
        </w:rPr>
        <w:t>Most contacts reported that the increased prices had not been a major concern as several factors had helped to constrain the effects. Contacts had been successful at keeping prices down because of more </w:t>
      </w:r>
      <w:r>
        <w:rPr>
          <w:spacing w:val="-3"/>
          <w:sz w:val="21"/>
        </w:rPr>
        <w:t>effective </w:t>
      </w:r>
      <w:r>
        <w:rPr>
          <w:sz w:val="21"/>
        </w:rPr>
        <w:t>purchasing techniques, such as centralised purchasing. In addition, sterling’s relatively high </w:t>
      </w:r>
      <w:r>
        <w:rPr>
          <w:spacing w:val="-3"/>
          <w:sz w:val="21"/>
        </w:rPr>
        <w:t>level </w:t>
      </w:r>
      <w:r>
        <w:rPr>
          <w:sz w:val="21"/>
        </w:rPr>
        <w:t>enabled companies to source components and raw materials from relatively cheaper overseas</w:t>
      </w:r>
      <w:r>
        <w:rPr>
          <w:spacing w:val="-7"/>
          <w:sz w:val="21"/>
        </w:rPr>
        <w:t> </w:t>
      </w:r>
      <w:r>
        <w:rPr>
          <w:sz w:val="21"/>
        </w:rPr>
        <w:t>suppliers.</w:t>
      </w:r>
    </w:p>
    <w:p>
      <w:pPr>
        <w:pStyle w:val="BodyText"/>
        <w:spacing w:before="10"/>
        <w:rPr>
          <w:sz w:val="19"/>
        </w:rPr>
      </w:pPr>
    </w:p>
    <w:p>
      <w:pPr>
        <w:spacing w:before="0"/>
        <w:ind w:left="200" w:right="0" w:firstLine="0"/>
        <w:jc w:val="left"/>
        <w:rPr>
          <w:i/>
          <w:sz w:val="28"/>
        </w:rPr>
      </w:pPr>
      <w:r>
        <w:rPr>
          <w:i/>
          <w:color w:val="006CB4"/>
          <w:sz w:val="28"/>
        </w:rPr>
        <w:t>Pay</w:t>
      </w:r>
    </w:p>
    <w:p>
      <w:pPr>
        <w:spacing w:line="259" w:lineRule="auto" w:before="124"/>
        <w:ind w:left="200" w:right="157" w:firstLine="0"/>
        <w:jc w:val="left"/>
        <w:rPr>
          <w:sz w:val="21"/>
        </w:rPr>
      </w:pPr>
      <w:r>
        <w:rPr>
          <w:sz w:val="21"/>
        </w:rPr>
        <w:t>Pay pressures in manufacturing varied between sectors but, overall, pay settlements were equal to or lower than a year earlier (around 2%–3%). But examples of deferrals remained. Agents noted that in almost all cases, some ‘adjustments’ had been made to the base settlement— making the assessment of underlying trends difficult.</w:t>
      </w:r>
    </w:p>
    <w:p>
      <w:pPr>
        <w:spacing w:line="259" w:lineRule="auto" w:before="0"/>
        <w:ind w:left="200" w:right="157" w:firstLine="0"/>
        <w:jc w:val="left"/>
        <w:rPr>
          <w:sz w:val="21"/>
        </w:rPr>
      </w:pPr>
      <w:r>
        <w:rPr>
          <w:sz w:val="21"/>
        </w:rPr>
        <w:t>Some contacts reported that pay settlements were becoming less industry-related and more firm-related— such that profit-based bonus payments and other non-pay rewards such as share options were an increasingly important component of overall remuneration.</w:t>
      </w:r>
    </w:p>
    <w:p>
      <w:pPr>
        <w:pStyle w:val="BodyText"/>
        <w:spacing w:before="9"/>
        <w:rPr>
          <w:sz w:val="21"/>
        </w:rPr>
      </w:pPr>
    </w:p>
    <w:p>
      <w:pPr>
        <w:spacing w:line="259" w:lineRule="auto" w:before="0"/>
        <w:ind w:left="200" w:right="157" w:firstLine="0"/>
        <w:jc w:val="left"/>
        <w:rPr>
          <w:sz w:val="21"/>
        </w:rPr>
      </w:pPr>
      <w:r>
        <w:rPr>
          <w:sz w:val="21"/>
        </w:rPr>
        <w:t>The picture of the services sector was reported to have been even more complex, with a wider range of pay increases reported. Overall, settlements had been stronger than in the manufacturing sector, but were around the same as a year earlier—although there are many exceptions of much higher payments. For example, areas of skill shortage such as professional services had recorded rates well above those of a year earlier—higher by 10% or more. Due to more evident skill shortages (see Employment), the southern regions of England reported stronger service sector pay rises—particularly for new employees.</w:t>
      </w:r>
    </w:p>
    <w:p>
      <w:pPr>
        <w:spacing w:after="0" w:line="259" w:lineRule="auto"/>
        <w:jc w:val="left"/>
        <w:rPr>
          <w:sz w:val="21"/>
        </w:rPr>
        <w:sectPr>
          <w:type w:val="continuous"/>
          <w:pgSz w:w="11900" w:h="16840"/>
          <w:pgMar w:top="1220" w:bottom="280" w:left="620" w:right="640"/>
          <w:cols w:num="2" w:equalWidth="0">
            <w:col w:w="5129" w:space="252"/>
            <w:col w:w="5259"/>
          </w:cols>
        </w:sectPr>
      </w:pPr>
    </w:p>
    <w:p>
      <w:pPr>
        <w:pStyle w:val="BodyText"/>
        <w:spacing w:before="6"/>
        <w:rPr>
          <w:sz w:val="29"/>
        </w:rPr>
      </w:pPr>
    </w:p>
    <w:p>
      <w:pPr>
        <w:spacing w:after="0"/>
        <w:rPr>
          <w:sz w:val="29"/>
        </w:rPr>
        <w:sectPr>
          <w:headerReference w:type="even" r:id="rId165"/>
          <w:footerReference w:type="even" r:id="rId166"/>
          <w:footerReference w:type="default" r:id="rId167"/>
          <w:pgSz w:w="11900" w:h="16840"/>
          <w:pgMar w:header="566" w:footer="597" w:top="760" w:bottom="780" w:left="620" w:right="640"/>
          <w:pgNumType w:start="64"/>
        </w:sectPr>
      </w:pPr>
    </w:p>
    <w:p>
      <w:pPr>
        <w:spacing w:before="88"/>
        <w:ind w:left="187" w:right="0" w:firstLine="0"/>
        <w:jc w:val="left"/>
        <w:rPr>
          <w:i/>
          <w:sz w:val="28"/>
        </w:rPr>
      </w:pPr>
      <w:r>
        <w:rPr>
          <w:i/>
          <w:color w:val="006CB4"/>
          <w:sz w:val="28"/>
        </w:rPr>
        <w:t>Output prices</w:t>
      </w:r>
    </w:p>
    <w:p>
      <w:pPr>
        <w:spacing w:line="259" w:lineRule="auto" w:before="184"/>
        <w:ind w:left="187" w:right="62" w:firstLine="0"/>
        <w:jc w:val="left"/>
        <w:rPr>
          <w:sz w:val="21"/>
        </w:rPr>
      </w:pPr>
      <w:r>
        <w:rPr>
          <w:sz w:val="21"/>
        </w:rPr>
        <w:t>The picture of output prices remained similar to that in previous </w:t>
      </w:r>
      <w:r>
        <w:rPr>
          <w:i/>
          <w:sz w:val="21"/>
        </w:rPr>
        <w:t>Agents’ Summaries</w:t>
      </w:r>
      <w:r>
        <w:rPr>
          <w:sz w:val="21"/>
        </w:rPr>
        <w:t>—widespread downward pressure on manufacturing output prices, with most contacts still reporting flat or falling prices. Despite a clear hardening in input prices, there continued to be only limited evidence of price increases being passed up the supply chain, resulting in further pressure on manufacturers’ margins. More recently, there had been isolated examples of price increases, but most firms suggested that they had been unable to pass on the full extent of cost increases.</w:t>
      </w:r>
    </w:p>
    <w:p>
      <w:pPr>
        <w:pStyle w:val="BodyText"/>
        <w:spacing w:before="9"/>
        <w:rPr>
          <w:sz w:val="21"/>
        </w:rPr>
      </w:pPr>
    </w:p>
    <w:p>
      <w:pPr>
        <w:spacing w:line="259" w:lineRule="auto" w:before="0"/>
        <w:ind w:left="188" w:right="55" w:firstLine="0"/>
        <w:jc w:val="left"/>
        <w:rPr>
          <w:sz w:val="21"/>
        </w:rPr>
      </w:pPr>
      <w:r>
        <w:rPr>
          <w:sz w:val="21"/>
        </w:rPr>
        <w:t>Persistent domestic and overseas price competition meant that only those producing niche or specialist products were able to increase their prices. Pressure from large supermarket chains had been cited as a factor by many manufacturing and agricultural contacts. The significant buying power of the supermarkets forced many producers to lower their selling prices. Contacts’ margins were eroded further by increased overheads, brought about by tighter regulatory requirements—for example, health and safety legislation and environmental standards.</w:t>
      </w:r>
    </w:p>
    <w:p>
      <w:pPr>
        <w:spacing w:line="259" w:lineRule="auto" w:before="0"/>
        <w:ind w:left="188" w:right="38" w:firstLine="0"/>
        <w:jc w:val="left"/>
        <w:rPr>
          <w:sz w:val="21"/>
        </w:rPr>
      </w:pPr>
      <w:r>
        <w:rPr>
          <w:sz w:val="21"/>
        </w:rPr>
        <w:t>Downward price pressure was also reported in the services sector, but there was greater variability in the ability of firms to increase prices.  Overall, price pressures remained stronger than in manufacturing. Professional service fees were cited as increasing more </w:t>
      </w:r>
      <w:r>
        <w:rPr>
          <w:spacing w:val="-3"/>
          <w:sz w:val="21"/>
        </w:rPr>
        <w:t>recently, </w:t>
      </w:r>
      <w:r>
        <w:rPr>
          <w:sz w:val="21"/>
        </w:rPr>
        <w:t>but many Agents reported downward pressure on travel costs (eg low-cost</w:t>
      </w:r>
      <w:r>
        <w:rPr>
          <w:spacing w:val="-8"/>
          <w:sz w:val="21"/>
        </w:rPr>
        <w:t> </w:t>
      </w:r>
      <w:r>
        <w:rPr>
          <w:sz w:val="21"/>
        </w:rPr>
        <w:t>airlines).</w:t>
      </w:r>
    </w:p>
    <w:p>
      <w:pPr>
        <w:pStyle w:val="BodyText"/>
        <w:rPr>
          <w:sz w:val="21"/>
        </w:rPr>
      </w:pPr>
    </w:p>
    <w:p>
      <w:pPr>
        <w:spacing w:before="0"/>
        <w:ind w:left="187" w:right="0" w:firstLine="0"/>
        <w:jc w:val="left"/>
        <w:rPr>
          <w:i/>
          <w:sz w:val="28"/>
        </w:rPr>
      </w:pPr>
      <w:r>
        <w:rPr>
          <w:i/>
          <w:color w:val="006CB4"/>
          <w:sz w:val="28"/>
        </w:rPr>
        <w:t>Retail prices</w:t>
      </w:r>
    </w:p>
    <w:p>
      <w:pPr>
        <w:spacing w:line="259" w:lineRule="auto" w:before="163"/>
        <w:ind w:left="187" w:right="166" w:firstLine="0"/>
        <w:jc w:val="left"/>
        <w:rPr>
          <w:sz w:val="21"/>
        </w:rPr>
      </w:pPr>
      <w:r>
        <w:rPr>
          <w:sz w:val="21"/>
        </w:rPr>
        <w:t>The trend of flat or falling retail goods prices, reported in previous </w:t>
      </w:r>
      <w:r>
        <w:rPr>
          <w:i/>
          <w:sz w:val="21"/>
        </w:rPr>
        <w:t>Agents’ Summaries</w:t>
      </w:r>
      <w:r>
        <w:rPr>
          <w:sz w:val="21"/>
        </w:rPr>
        <w:t>, continued during the period. Consumers were reported to </w:t>
      </w:r>
      <w:r>
        <w:rPr>
          <w:spacing w:val="-3"/>
          <w:sz w:val="21"/>
        </w:rPr>
        <w:t>have </w:t>
      </w:r>
      <w:r>
        <w:rPr>
          <w:sz w:val="21"/>
        </w:rPr>
        <w:t>remained very price-sensitive. In addition, department stores</w:t>
      </w:r>
      <w:r>
        <w:rPr>
          <w:spacing w:val="-22"/>
          <w:sz w:val="21"/>
        </w:rPr>
        <w:t> </w:t>
      </w:r>
      <w:r>
        <w:rPr>
          <w:sz w:val="21"/>
        </w:rPr>
        <w:t>and</w:t>
      </w:r>
    </w:p>
    <w:p>
      <w:pPr>
        <w:spacing w:line="259" w:lineRule="auto" w:before="0"/>
        <w:ind w:left="188" w:right="62" w:firstLine="0"/>
        <w:jc w:val="left"/>
        <w:rPr>
          <w:sz w:val="21"/>
        </w:rPr>
      </w:pPr>
      <w:r>
        <w:rPr>
          <w:sz w:val="21"/>
        </w:rPr>
        <w:t>traditional high-street stores faced increasing competition from discount stores and Internet purchasing. The majority of contacts do not foresee any changes to this trend in coming months. Food and clothing continued to be noted as the areas of greatest competitive pressure. In addition, significant price declines occurred in telecommunications and PC prices. Where goods prices had not fallen, Agents suggest that quality improvements had occurred.</w:t>
      </w:r>
    </w:p>
    <w:p>
      <w:pPr>
        <w:pStyle w:val="BodyText"/>
        <w:spacing w:before="8"/>
        <w:rPr>
          <w:sz w:val="21"/>
        </w:rPr>
      </w:pPr>
    </w:p>
    <w:p>
      <w:pPr>
        <w:spacing w:line="259" w:lineRule="auto" w:before="0"/>
        <w:ind w:left="188" w:right="0" w:firstLine="0"/>
        <w:jc w:val="left"/>
        <w:rPr>
          <w:sz w:val="21"/>
        </w:rPr>
      </w:pPr>
      <w:r>
        <w:rPr>
          <w:sz w:val="21"/>
        </w:rPr>
        <w:t>Service price inflation remained relatively high, although some contacts noted a moderation in growth of some consumer services prices (for example, package holidays,</w:t>
      </w:r>
    </w:p>
    <w:p>
      <w:pPr>
        <w:spacing w:line="259" w:lineRule="auto" w:before="105"/>
        <w:ind w:left="187" w:right="428" w:firstLine="0"/>
        <w:jc w:val="left"/>
        <w:rPr>
          <w:sz w:val="21"/>
        </w:rPr>
      </w:pPr>
      <w:r>
        <w:rPr/>
        <w:br w:type="column"/>
      </w:r>
      <w:r>
        <w:rPr>
          <w:sz w:val="21"/>
        </w:rPr>
        <w:t>mobile phone charges). In contrast, many professional service fees (for example, legal fees, recruitment consultancies) rose further. In addition, contacts also noted increases in the price of insurance premiums and car servicing.</w:t>
      </w:r>
    </w:p>
    <w:p>
      <w:pPr>
        <w:pStyle w:val="BodyText"/>
        <w:spacing w:before="2"/>
        <w:rPr>
          <w:sz w:val="22"/>
        </w:rPr>
      </w:pPr>
    </w:p>
    <w:p>
      <w:pPr>
        <w:spacing w:line="259" w:lineRule="auto" w:before="1"/>
        <w:ind w:left="187" w:right="210" w:firstLine="0"/>
        <w:jc w:val="left"/>
        <w:rPr>
          <w:sz w:val="21"/>
        </w:rPr>
      </w:pPr>
      <w:r>
        <w:rPr>
          <w:sz w:val="21"/>
        </w:rPr>
        <w:t>The rate of annual decline in new car prices quickened during the period, ahead of the outcome of the review of car prices in the United Kingdom. Contacts in most regions also noted further falls in the price of used cars.</w:t>
      </w:r>
    </w:p>
    <w:p>
      <w:pPr>
        <w:pStyle w:val="BodyText"/>
        <w:spacing w:before="3"/>
        <w:rPr>
          <w:sz w:val="22"/>
        </w:rPr>
      </w:pPr>
    </w:p>
    <w:p>
      <w:pPr>
        <w:spacing w:line="259" w:lineRule="auto" w:before="0"/>
        <w:ind w:left="187" w:right="210" w:firstLine="0"/>
        <w:jc w:val="left"/>
        <w:rPr>
          <w:sz w:val="21"/>
        </w:rPr>
      </w:pPr>
      <w:r>
        <w:rPr>
          <w:sz w:val="21"/>
        </w:rPr>
        <w:t>Overall, house price growth in most regions appears to have been similar to or slightly slower than in recent periods. But much disparity exists between locations. On balance, house price growth remained stronger in the south and around city-centres.</w:t>
      </w:r>
    </w:p>
    <w:p>
      <w:pPr>
        <w:pStyle w:val="BodyText"/>
        <w:spacing w:before="9"/>
        <w:rPr>
          <w:sz w:val="21"/>
        </w:rPr>
      </w:pPr>
    </w:p>
    <w:p>
      <w:pPr>
        <w:spacing w:before="1"/>
        <w:ind w:left="188" w:right="0" w:firstLine="0"/>
        <w:jc w:val="left"/>
        <w:rPr>
          <w:b/>
          <w:sz w:val="28"/>
        </w:rPr>
      </w:pPr>
      <w:r>
        <w:rPr>
          <w:b/>
          <w:color w:val="006CB4"/>
          <w:sz w:val="28"/>
        </w:rPr>
        <w:t>EMPLOYMENT</w:t>
      </w:r>
    </w:p>
    <w:p>
      <w:pPr>
        <w:spacing w:line="259" w:lineRule="auto" w:before="163"/>
        <w:ind w:left="188" w:right="191" w:firstLine="0"/>
        <w:jc w:val="left"/>
        <w:rPr>
          <w:sz w:val="21"/>
        </w:rPr>
      </w:pPr>
      <w:r>
        <w:rPr>
          <w:sz w:val="21"/>
        </w:rPr>
        <w:t>The</w:t>
      </w:r>
      <w:r>
        <w:rPr>
          <w:spacing w:val="-7"/>
          <w:sz w:val="21"/>
        </w:rPr>
        <w:t> </w:t>
      </w:r>
      <w:r>
        <w:rPr>
          <w:sz w:val="21"/>
        </w:rPr>
        <w:t>labour</w:t>
      </w:r>
      <w:r>
        <w:rPr>
          <w:spacing w:val="-7"/>
          <w:sz w:val="21"/>
        </w:rPr>
        <w:t> </w:t>
      </w:r>
      <w:r>
        <w:rPr>
          <w:sz w:val="21"/>
        </w:rPr>
        <w:t>market</w:t>
      </w:r>
      <w:r>
        <w:rPr>
          <w:spacing w:val="-6"/>
          <w:sz w:val="21"/>
        </w:rPr>
        <w:t> </w:t>
      </w:r>
      <w:r>
        <w:rPr>
          <w:sz w:val="21"/>
        </w:rPr>
        <w:t>picture</w:t>
      </w:r>
      <w:r>
        <w:rPr>
          <w:spacing w:val="-7"/>
          <w:sz w:val="21"/>
        </w:rPr>
        <w:t> </w:t>
      </w:r>
      <w:r>
        <w:rPr>
          <w:sz w:val="21"/>
        </w:rPr>
        <w:t>had</w:t>
      </w:r>
      <w:r>
        <w:rPr>
          <w:spacing w:val="-6"/>
          <w:sz w:val="21"/>
        </w:rPr>
        <w:t> </w:t>
      </w:r>
      <w:r>
        <w:rPr>
          <w:sz w:val="21"/>
        </w:rPr>
        <w:t>tightened</w:t>
      </w:r>
      <w:r>
        <w:rPr>
          <w:spacing w:val="-7"/>
          <w:sz w:val="21"/>
        </w:rPr>
        <w:t> </w:t>
      </w:r>
      <w:r>
        <w:rPr>
          <w:sz w:val="21"/>
        </w:rPr>
        <w:t>further</w:t>
      </w:r>
      <w:r>
        <w:rPr>
          <w:spacing w:val="-6"/>
          <w:sz w:val="21"/>
        </w:rPr>
        <w:t> </w:t>
      </w:r>
      <w:r>
        <w:rPr>
          <w:sz w:val="21"/>
        </w:rPr>
        <w:t>compared with the previous </w:t>
      </w:r>
      <w:r>
        <w:rPr>
          <w:i/>
          <w:sz w:val="21"/>
        </w:rPr>
        <w:t>Agents’ Summary</w:t>
      </w:r>
      <w:r>
        <w:rPr>
          <w:sz w:val="21"/>
        </w:rPr>
        <w:t>, particularly in the southern regions of the United Kingdom, where skill shortages were reported as a major concern. Skill shortages continued to be reported in </w:t>
      </w:r>
      <w:r>
        <w:rPr>
          <w:spacing w:val="-6"/>
          <w:sz w:val="21"/>
        </w:rPr>
        <w:t>IT, </w:t>
      </w:r>
      <w:r>
        <w:rPr>
          <w:sz w:val="21"/>
        </w:rPr>
        <w:t>engineering, managerial and professional positions. In addition, the availability of staff had become an increasing problem in construction, retailing and call-centres. And some contacts cited difficulties in obtaining unskilled</w:t>
      </w:r>
      <w:r>
        <w:rPr>
          <w:spacing w:val="-30"/>
          <w:sz w:val="21"/>
        </w:rPr>
        <w:t> </w:t>
      </w:r>
      <w:r>
        <w:rPr>
          <w:sz w:val="21"/>
        </w:rPr>
        <w:t>staff.</w:t>
      </w:r>
    </w:p>
    <w:p>
      <w:pPr>
        <w:spacing w:line="259" w:lineRule="auto" w:before="0"/>
        <w:ind w:left="188" w:right="428" w:firstLine="0"/>
        <w:jc w:val="left"/>
        <w:rPr>
          <w:sz w:val="21"/>
        </w:rPr>
      </w:pPr>
      <w:r>
        <w:rPr>
          <w:sz w:val="21"/>
        </w:rPr>
        <w:t>Difficulties were also reported in obtaining staff from other areas because of the relatively higher cost of housing in the southern regions.</w:t>
      </w:r>
    </w:p>
    <w:p>
      <w:pPr>
        <w:pStyle w:val="BodyText"/>
        <w:spacing w:before="9"/>
        <w:rPr>
          <w:sz w:val="21"/>
        </w:rPr>
      </w:pPr>
    </w:p>
    <w:p>
      <w:pPr>
        <w:spacing w:line="259" w:lineRule="auto" w:before="0"/>
        <w:ind w:left="188" w:right="210" w:firstLine="0"/>
        <w:jc w:val="left"/>
        <w:rPr>
          <w:sz w:val="21"/>
        </w:rPr>
      </w:pPr>
      <w:r>
        <w:rPr>
          <w:sz w:val="21"/>
        </w:rPr>
        <w:t>Skill shortages remained less of a concern outside the southern regions, although shortages became more evident during the period—almost entirely in the service sector.</w:t>
      </w:r>
    </w:p>
    <w:p>
      <w:pPr>
        <w:pStyle w:val="BodyText"/>
        <w:spacing w:before="4"/>
        <w:rPr>
          <w:sz w:val="22"/>
        </w:rPr>
      </w:pPr>
    </w:p>
    <w:p>
      <w:pPr>
        <w:spacing w:line="259" w:lineRule="auto" w:before="0"/>
        <w:ind w:left="188" w:right="169" w:firstLine="0"/>
        <w:jc w:val="left"/>
        <w:rPr>
          <w:sz w:val="21"/>
        </w:rPr>
      </w:pPr>
      <w:r>
        <w:rPr>
          <w:sz w:val="21"/>
        </w:rPr>
        <w:t>Service sector employment continued to grow </w:t>
      </w:r>
      <w:r>
        <w:rPr>
          <w:spacing w:val="-3"/>
          <w:sz w:val="21"/>
        </w:rPr>
        <w:t>moderately, </w:t>
      </w:r>
      <w:r>
        <w:rPr>
          <w:sz w:val="21"/>
        </w:rPr>
        <w:t>at broadly similar rates to the previous period. Growth was reported as being fairly widespread across the sector, although the financial sector was reported as an area of weakness—reflecting bank branch closures and consolidation. </w:t>
      </w:r>
      <w:r>
        <w:rPr>
          <w:spacing w:val="-4"/>
          <w:sz w:val="21"/>
        </w:rPr>
        <w:t>However, </w:t>
      </w:r>
      <w:r>
        <w:rPr>
          <w:sz w:val="21"/>
        </w:rPr>
        <w:t>increased employment</w:t>
      </w:r>
      <w:r>
        <w:rPr>
          <w:spacing w:val="-9"/>
          <w:sz w:val="21"/>
        </w:rPr>
        <w:t> </w:t>
      </w:r>
      <w:r>
        <w:rPr>
          <w:sz w:val="21"/>
        </w:rPr>
        <w:t>in</w:t>
      </w:r>
    </w:p>
    <w:p>
      <w:pPr>
        <w:spacing w:line="237" w:lineRule="exact" w:before="0"/>
        <w:ind w:left="188" w:right="0" w:firstLine="0"/>
        <w:jc w:val="left"/>
        <w:rPr>
          <w:sz w:val="21"/>
        </w:rPr>
      </w:pPr>
      <w:r>
        <w:rPr>
          <w:sz w:val="21"/>
        </w:rPr>
        <w:t>call-centre</w:t>
      </w:r>
      <w:r>
        <w:rPr>
          <w:spacing w:val="-8"/>
          <w:sz w:val="21"/>
        </w:rPr>
        <w:t> </w:t>
      </w:r>
      <w:r>
        <w:rPr>
          <w:sz w:val="21"/>
        </w:rPr>
        <w:t>positions</w:t>
      </w:r>
      <w:r>
        <w:rPr>
          <w:spacing w:val="-8"/>
          <w:sz w:val="21"/>
        </w:rPr>
        <w:t> </w:t>
      </w:r>
      <w:r>
        <w:rPr>
          <w:sz w:val="21"/>
        </w:rPr>
        <w:t>had</w:t>
      </w:r>
      <w:r>
        <w:rPr>
          <w:spacing w:val="-8"/>
          <w:sz w:val="21"/>
        </w:rPr>
        <w:t> </w:t>
      </w:r>
      <w:r>
        <w:rPr>
          <w:sz w:val="21"/>
        </w:rPr>
        <w:t>offset</w:t>
      </w:r>
      <w:r>
        <w:rPr>
          <w:spacing w:val="-7"/>
          <w:sz w:val="21"/>
        </w:rPr>
        <w:t> </w:t>
      </w:r>
      <w:r>
        <w:rPr>
          <w:sz w:val="21"/>
        </w:rPr>
        <w:t>this</w:t>
      </w:r>
      <w:r>
        <w:rPr>
          <w:spacing w:val="-8"/>
          <w:sz w:val="21"/>
        </w:rPr>
        <w:t> </w:t>
      </w:r>
      <w:r>
        <w:rPr>
          <w:sz w:val="21"/>
        </w:rPr>
        <w:t>to</w:t>
      </w:r>
      <w:r>
        <w:rPr>
          <w:spacing w:val="-8"/>
          <w:sz w:val="21"/>
        </w:rPr>
        <w:t> </w:t>
      </w:r>
      <w:r>
        <w:rPr>
          <w:sz w:val="21"/>
        </w:rPr>
        <w:t>some</w:t>
      </w:r>
      <w:r>
        <w:rPr>
          <w:spacing w:val="-7"/>
          <w:sz w:val="21"/>
        </w:rPr>
        <w:t> </w:t>
      </w:r>
      <w:r>
        <w:rPr>
          <w:sz w:val="21"/>
        </w:rPr>
        <w:t>extent.</w:t>
      </w:r>
    </w:p>
    <w:p>
      <w:pPr>
        <w:pStyle w:val="BodyText"/>
        <w:spacing w:before="2"/>
        <w:rPr>
          <w:sz w:val="24"/>
        </w:rPr>
      </w:pPr>
    </w:p>
    <w:p>
      <w:pPr>
        <w:spacing w:line="259" w:lineRule="auto" w:before="0"/>
        <w:ind w:left="188" w:right="59" w:firstLine="0"/>
        <w:jc w:val="left"/>
        <w:rPr>
          <w:sz w:val="21"/>
        </w:rPr>
      </w:pPr>
      <w:r>
        <w:rPr>
          <w:sz w:val="21"/>
        </w:rPr>
        <w:t>There had been widespread confirmation of the continued fragility of manufacturing employment, despite the recovery in activity. Employment levels continued to decline in almost all regions, although the pace of decline may have moderated. In addition, examples of further expected job losses from restructuring had been cited.</w:t>
      </w:r>
    </w:p>
    <w:p>
      <w:pPr>
        <w:spacing w:after="0" w:line="259" w:lineRule="auto"/>
        <w:jc w:val="left"/>
        <w:rPr>
          <w:sz w:val="21"/>
        </w:rPr>
        <w:sectPr>
          <w:type w:val="continuous"/>
          <w:pgSz w:w="11900" w:h="16840"/>
          <w:pgMar w:top="1220" w:bottom="280" w:left="620" w:right="640"/>
          <w:cols w:num="2" w:equalWidth="0">
            <w:col w:w="5121" w:space="265"/>
            <w:col w:w="5254"/>
          </w:cols>
        </w:sectPr>
      </w:pPr>
    </w:p>
    <w:p>
      <w:pPr>
        <w:pStyle w:val="BodyText"/>
        <w:rPr>
          <w:sz w:val="20"/>
        </w:rPr>
      </w:pPr>
      <w:r>
        <w:rPr/>
        <w:pict>
          <v:group style="position:absolute;margin-left:39pt;margin-top:39.669998pt;width:517pt;height:740.35pt;mso-position-horizontal-relative:page;mso-position-vertical-relative:page;z-index:-21824512" coordorigin="780,793" coordsize="10340,14807">
            <v:shape style="position:absolute;left:940;top:953;width:10020;height:14487" coordorigin="940,953" coordsize="10020,14487" path="m10960,953l5964,953,5936,953,940,953,940,8168,940,8226,940,15440,5936,15440,5964,15440,10960,15440,10960,8225,10960,8168,10960,953xe" filled="true" fillcolor="#d7e8e7" stroked="false">
              <v:path arrowok="t"/>
              <v:fill type="solid"/>
            </v:shape>
            <v:shape style="position:absolute;left:1016;top:1073;width:9867;height:14248" coordorigin="1017,1073" coordsize="9867,14248" path="m5950,1073l1017,8197,5950,15320,10883,8197,5950,1073xe" filled="true" fillcolor="#d9e8e7" stroked="false">
              <v:path arrowok="t"/>
              <v:fill type="solid"/>
            </v:shape>
            <v:shape style="position:absolute;left:1113;top:1212;width:9673;height:13968" coordorigin="1113,1213" coordsize="9673,13968" path="m5950,1213l1113,8197,5950,15180,10786,8197,5950,1213xe" filled="true" fillcolor="#dae9e8" stroked="false">
              <v:path arrowok="t"/>
              <v:fill type="solid"/>
            </v:shape>
            <v:shape style="position:absolute;left:1210;top:1352;width:9480;height:13689" coordorigin="1210,1352" coordsize="9480,13689" path="m5950,1352l1210,8197,5950,15041,10690,8197,5950,1352xe" filled="true" fillcolor="#daeae8" stroked="false">
              <v:path arrowok="t"/>
              <v:fill type="solid"/>
            </v:shape>
            <v:shape style="position:absolute;left:1306;top:1492;width:9286;height:13410" coordorigin="1307,1492" coordsize="9286,13410" path="m5950,1492l1307,8197,5950,14901,10593,8197,5950,1492xe" filled="true" fillcolor="#dbeae8" stroked="false">
              <v:path arrowok="t"/>
              <v:fill type="solid"/>
            </v:shape>
            <v:shape style="position:absolute;left:1403;top:1631;width:9093;height:13130" coordorigin="1404,1632" coordsize="9093,13130" path="m5950,1632l1404,8197,5950,14761,10496,8197,5950,1632xe" filled="true" fillcolor="#dcebe9" stroked="false">
              <v:path arrowok="t"/>
              <v:fill type="solid"/>
            </v:shape>
            <v:shape style="position:absolute;left:1500;top:1771;width:8900;height:12851" coordorigin="1500,1771" coordsize="8900,12851" path="m5950,1771l1500,8197,5950,14622,10399,8197,5950,1771xe" filled="true" fillcolor="#ddebe9" stroked="false">
              <v:path arrowok="t"/>
              <v:fill type="solid"/>
            </v:shape>
            <v:shape style="position:absolute;left:1597;top:1911;width:8706;height:12571" coordorigin="1597,1911" coordsize="8706,12571" path="m5950,1911l1597,8197,5950,14482,10303,8197,5950,1911xe" filled="true" fillcolor="#ddebea" stroked="false">
              <v:path arrowok="t"/>
              <v:fill type="solid"/>
            </v:shape>
            <v:shape style="position:absolute;left:1693;top:2050;width:8513;height:12292" coordorigin="1694,2051" coordsize="8513,12292" path="m5950,2051l1694,8197,5950,14342,10206,8197,5950,2051xe" filled="true" fillcolor="#dfebea" stroked="false">
              <v:path arrowok="t"/>
              <v:fill type="solid"/>
            </v:shape>
            <v:shape style="position:absolute;left:1790;top:2190;width:8319;height:12013" coordorigin="1791,2190" coordsize="8319,12013" path="m10109,8197l5950,2190,1791,8197,5950,14203,10109,8197xe" filled="true" fillcolor="#dfeceb" stroked="false">
              <v:path arrowok="t"/>
              <v:fill type="solid"/>
            </v:shape>
            <v:shape style="position:absolute;left:1984;top:2469;width:7932;height:11454" coordorigin="1984,2470" coordsize="7932,11454" path="m5950,2470l1984,8197,5950,13923,9916,8197,5950,2470xe" filled="true" fillcolor="#e0eceb" stroked="false">
              <v:path arrowok="t"/>
              <v:fill type="solid"/>
            </v:shape>
            <v:shape style="position:absolute;left:2080;top:2609;width:7739;height:11175" coordorigin="2081,2610" coordsize="7739,11175" path="m5950,2610l2081,8197,5950,13784,9819,8197,5950,2610xe" filled="true" fillcolor="#e0edeb" stroked="false">
              <v:path arrowok="t"/>
              <v:fill type="solid"/>
            </v:shape>
            <v:shape style="position:absolute;left:2177;top:2749;width:7545;height:10895" coordorigin="2177,2749" coordsize="7545,10895" path="m5950,2749l2177,8197,5950,13644,9722,8197,5950,2749xe" filled="true" fillcolor="#e1edeb" stroked="false">
              <v:path arrowok="t"/>
              <v:fill type="solid"/>
            </v:shape>
            <v:shape style="position:absolute;left:2274;top:2888;width:7352;height:10616" coordorigin="2274,2889" coordsize="7352,10616" path="m5950,2889l2274,8197,5950,13504,9626,8197,5950,2889xe" filled="true" fillcolor="#e2edec" stroked="false">
              <v:path arrowok="t"/>
              <v:fill type="solid"/>
            </v:shape>
            <v:shape style="position:absolute;left:2370;top:3028;width:7158;height:10337" coordorigin="2371,3029" coordsize="7158,10337" path="m5950,3029l2371,8197,5950,13365,9529,8197,5950,3029xe" filled="true" fillcolor="#e3eeec" stroked="false">
              <v:path arrowok="t"/>
              <v:fill type="solid"/>
            </v:shape>
            <v:shape style="position:absolute;left:2467;top:3168;width:6965;height:10057" coordorigin="2468,3168" coordsize="6965,10057" path="m5950,3168l2468,8197,5950,13225,9432,8197,5950,3168xe" filled="true" fillcolor="#e4efed" stroked="false">
              <v:path arrowok="t"/>
              <v:fill type="solid"/>
            </v:shape>
            <v:shape style="position:absolute;left:2564;top:3307;width:6771;height:9778" coordorigin="2564,3308" coordsize="6771,9778" path="m5950,3308l2564,8197,5950,13085,9335,8197,5950,3308xe" filled="true" fillcolor="#e6efed" stroked="false">
              <v:path arrowok="t"/>
              <v:fill type="solid"/>
            </v:shape>
            <v:shape style="position:absolute;left:2661;top:3447;width:6578;height:9499" coordorigin="2661,3448" coordsize="6578,9499" path="m5950,3448l2661,8197,5950,12946,9239,8197,5950,3448xe" filled="true" fillcolor="#e6efee" stroked="false">
              <v:path arrowok="t"/>
              <v:fill type="solid"/>
            </v:shape>
            <v:shape style="position:absolute;left:2757;top:3587;width:6385;height:9219" coordorigin="2758,3587" coordsize="6385,9219" path="m5950,3587l2758,8197,5950,12806,9142,8197,5950,3587xe" filled="true" fillcolor="#e7f0ee" stroked="false">
              <v:path arrowok="t"/>
              <v:fill type="solid"/>
            </v:shape>
            <v:shape style="position:absolute;left:2854;top:3726;width:6191;height:8940" coordorigin="2855,3727" coordsize="6191,8940" path="m9045,8197l5950,3727,2855,8197,5950,12666,9045,8197xe" filled="true" fillcolor="#e8f0ee" stroked="false">
              <v:path arrowok="t"/>
              <v:fill type="solid"/>
            </v:shape>
            <v:shape style="position:absolute;left:3048;top:4006;width:5804;height:8381" coordorigin="3048,4006" coordsize="5804,8381" path="m5950,4006l3048,8197,5950,12387,8852,8197,5950,4006xe" filled="true" fillcolor="#eaf1f0" stroked="false">
              <v:path arrowok="t"/>
              <v:fill type="solid"/>
            </v:shape>
            <v:shape style="position:absolute;left:3144;top:4145;width:5611;height:8102" coordorigin="3145,4146" coordsize="5611,8102" path="m8755,8197l5950,4146,3145,8197,5950,12247,8755,8197xe" filled="true" fillcolor="#ebf3f0" stroked="false">
              <v:path arrowok="t"/>
              <v:fill type="solid"/>
            </v:shape>
            <v:shape style="position:absolute;left:3338;top:4425;width:5224;height:7543" coordorigin="3338,4425" coordsize="5224,7543" path="m5950,4425l3338,8197,5950,11968,8562,8197,5950,4425xe" filled="true" fillcolor="#ebf4f1" stroked="false">
              <v:path arrowok="t"/>
              <v:fill type="solid"/>
            </v:shape>
            <v:shape style="position:absolute;left:3434;top:4565;width:5030;height:7264" coordorigin="3435,4565" coordsize="5030,7264" path="m5950,4565l3435,8197,5950,11828,8465,8197,5950,4565xe" filled="true" fillcolor="#ecf4f1" stroked="false">
              <v:path arrowok="t"/>
              <v:fill type="solid"/>
            </v:shape>
            <v:shape style="position:absolute;left:3531;top:4704;width:4837;height:6984" coordorigin="3532,4705" coordsize="4837,6984" path="m5950,4705l3532,8197,5950,11689,8368,8197,5950,4705xe" filled="true" fillcolor="#ecf4f3" stroked="false">
              <v:path arrowok="t"/>
              <v:fill type="solid"/>
            </v:shape>
            <v:shape style="position:absolute;left:3628;top:4844;width:4643;height:6705" coordorigin="3628,4844" coordsize="4643,6705" path="m5950,4844l3628,8197,5950,11549,8271,8197,5950,4844xe" filled="true" fillcolor="#edf5f3" stroked="false">
              <v:path arrowok="t"/>
              <v:fill type="solid"/>
            </v:shape>
            <v:shape style="position:absolute;left:3725;top:4984;width:4450;height:6426" coordorigin="3725,4984" coordsize="4450,6426" path="m5950,4984l3725,8197,5950,11409,8175,8197,5950,4984xe" filled="true" fillcolor="#eef5f4" stroked="false">
              <v:path arrowok="t"/>
              <v:fill type="solid"/>
            </v:shape>
            <v:shape style="position:absolute;left:3821;top:5123;width:4257;height:6146" coordorigin="3822,5124" coordsize="4257,6146" path="m5950,5124l3822,8197,5950,11270,8078,8197,5950,5124xe" filled="true" fillcolor="#eff6f4" stroked="false">
              <v:path arrowok="t"/>
              <v:fill type="solid"/>
            </v:shape>
            <v:shape style="position:absolute;left:3918;top:5263;width:4063;height:5867" coordorigin="3919,5263" coordsize="4063,5867" path="m5950,5263l3919,8197,5950,11130,7981,8197,5950,5263xe" filled="true" fillcolor="#eff6f5" stroked="false">
              <v:path arrowok="t"/>
              <v:fill type="solid"/>
            </v:shape>
            <v:shape style="position:absolute;left:4015;top:5403;width:3870;height:5588" coordorigin="4015,5403" coordsize="3870,5588" path="m5950,5403l4015,8197,5950,10990,7884,8197,5950,5403xe" filled="true" fillcolor="#f0f7f6" stroked="false">
              <v:path arrowok="t"/>
              <v:fill type="solid"/>
            </v:shape>
            <v:shape style="position:absolute;left:4112;top:5542;width:3676;height:5308" coordorigin="4112,5543" coordsize="3676,5308" path="m7788,8197l5950,5543,4112,8197,5950,10850,7788,8197xe" filled="true" fillcolor="#f1f7f6" stroked="false">
              <v:path arrowok="t"/>
              <v:fill type="solid"/>
            </v:shape>
            <v:shape style="position:absolute;left:4305;top:5822;width:3289;height:4750" coordorigin="4305,5822" coordsize="3289,4750" path="m5950,5822l4305,8197,5950,10571,7594,8197,5950,5822xe" filled="true" fillcolor="#f4f8f7" stroked="false">
              <v:path arrowok="t"/>
              <v:fill type="solid"/>
            </v:shape>
            <v:shape style="position:absolute;left:4402;top:5961;width:3096;height:4470" coordorigin="4402,5962" coordsize="3096,4470" path="m5950,5962l4402,8197,5950,10431,7498,8197,5950,5962xe" filled="true" fillcolor="#f4f8f8" stroked="false">
              <v:path arrowok="t"/>
              <v:fill type="solid"/>
            </v:shape>
            <v:shape style="position:absolute;left:4498;top:6101;width:2902;height:4191" coordorigin="4499,6101" coordsize="2902,4191" path="m5950,6101l4499,8197,5950,10292,7401,8197,5950,6101xe" filled="true" fillcolor="#f5f8f8" stroked="false">
              <v:path arrowok="t"/>
              <v:fill type="solid"/>
            </v:shape>
            <v:shape style="position:absolute;left:4595;top:6241;width:2709;height:3911" coordorigin="4596,6241" coordsize="2709,3911" path="m7304,8197l5950,6241,4596,8197,5950,10152,7304,8197xe" filled="true" fillcolor="#f6f8f8" stroked="false">
              <v:path arrowok="t"/>
              <v:fill type="solid"/>
            </v:shape>
            <v:shape style="position:absolute;left:4789;top:6520;width:2322;height:3353" coordorigin="4789,6521" coordsize="2322,3353" path="m5950,6521l4789,8197,5950,9873,7111,8197,5950,6521xe" filled="true" fillcolor="#f7f9f8" stroked="false">
              <v:path arrowok="t"/>
              <v:fill type="solid"/>
            </v:shape>
            <v:shape style="position:absolute;left:4885;top:6660;width:2129;height:3073" coordorigin="4886,6660" coordsize="2129,3073" path="m5950,6660l4886,8197,5950,9733,7014,8197,5950,6660xe" filled="true" fillcolor="#f8f9f8" stroked="false">
              <v:path arrowok="t"/>
              <v:fill type="solid"/>
            </v:shape>
            <v:shape style="position:absolute;left:4982;top:6799;width:1935;height:2794" coordorigin="4983,6800" coordsize="1935,2794" path="m5950,6800l4983,8197,5950,9593,6917,8197,5950,6800xe" filled="true" fillcolor="#f8fafa" stroked="false">
              <v:path arrowok="t"/>
              <v:fill type="solid"/>
            </v:shape>
            <v:shape style="position:absolute;left:5079;top:6939;width:1742;height:2515" coordorigin="5079,6940" coordsize="1742,2515" path="m5950,6940l5079,8197,5950,9454,6820,8197,5950,6940xe" filled="true" fillcolor="#f8fbfa" stroked="false">
              <v:path arrowok="t"/>
              <v:fill type="solid"/>
            </v:shape>
            <v:shape style="position:absolute;left:5176;top:7079;width:1548;height:2235" coordorigin="5176,7079" coordsize="1548,2235" path="m5950,7079l5176,8197,5950,9314,6724,8197,5950,7079xe" filled="true" fillcolor="#f9fbfa" stroked="false">
              <v:path arrowok="t"/>
              <v:fill type="solid"/>
            </v:shape>
            <v:shape style="position:absolute;left:5272;top:7218;width:1355;height:1956" coordorigin="5273,7219" coordsize="1355,1956" path="m5950,7219l5273,8197,5950,9174,6627,8197,5950,7219xe" filled="true" fillcolor="#fafbfb" stroked="false">
              <v:path arrowok="t"/>
              <v:fill type="solid"/>
            </v:shape>
            <v:shape style="position:absolute;left:5369;top:7358;width:1161;height:1677" coordorigin="5370,7359" coordsize="1161,1677" path="m5950,7359l5370,8197,5950,9035,6530,8197,5950,7359xe" filled="true" fillcolor="#fafcfb" stroked="false">
              <v:path arrowok="t"/>
              <v:fill type="solid"/>
            </v:shape>
            <v:shape style="position:absolute;left:5466;top:7498;width:968;height:1397" coordorigin="5466,7498" coordsize="968,1397" path="m5950,7498l5466,8197,5950,8895,6434,8197,5950,7498xe" filled="true" fillcolor="#fbfcfc" stroked="false">
              <v:path arrowok="t"/>
              <v:fill type="solid"/>
            </v:shape>
            <v:shape style="position:absolute;left:5562;top:7637;width:774;height:1118" coordorigin="5563,7638" coordsize="774,1118" path="m5950,7638l5563,8197,5950,8755,6337,8197,5950,7638xe" filled="true" fillcolor="#fcfdfd" stroked="false">
              <v:path arrowok="t"/>
              <v:fill type="solid"/>
            </v:shape>
            <v:shape style="position:absolute;left:5659;top:7777;width:581;height:839" coordorigin="5660,7778" coordsize="581,839" path="m5950,7778l5660,8197,5950,8616,6240,8197,5950,7778xe" filled="true" fillcolor="#fdfdfd" stroked="false">
              <v:path arrowok="t"/>
              <v:fill type="solid"/>
            </v:shape>
            <v:shape style="position:absolute;left:5756;top:7917;width:387;height:559" coordorigin="5756,7917" coordsize="387,559" path="m5950,7917l5756,8197,5950,8476,6143,8197,5950,7917xe" filled="true" fillcolor="#fdfffd" stroked="false">
              <v:path arrowok="t"/>
              <v:fill type="solid"/>
            </v:shape>
            <v:shape style="position:absolute;left:5853;top:8056;width:194;height:280" coordorigin="5853,8057" coordsize="194,280" path="m5950,8057l5853,8197,5950,8336,6047,8197,5950,8057xe" filled="true" fillcolor="#ffffff" stroked="false">
              <v:path arrowok="t"/>
              <v:fill type="solid"/>
            </v:shape>
            <v:rect style="position:absolute;left:820;top:833;width:10260;height:14727" filled="false" stroked="true" strokeweight="4pt" strokecolor="#009391">
              <v:stroke dashstyle="solid"/>
            </v:rect>
            <v:rect style="position:absolute;left:926;top:939;width:10048;height:14515" filled="false" stroked="true" strokeweight="1.37pt" strokecolor="#009391">
              <v:stroke dashstyle="solid"/>
            </v:rect>
            <v:rect style="position:absolute;left:1533;top:1473;width:8840;height:13460" filled="false" stroked="true" strokeweight="2pt" strokecolor="#009391">
              <v:stroke dashstyle="solid"/>
            </v:rect>
            <v:rect style="position:absolute;left:1587;top:1527;width:8733;height:13353" filled="false" stroked="true" strokeweight=".62pt" strokecolor="#009391">
              <v:stroke dashstyle="solid"/>
            </v:rect>
            <v:shape style="position:absolute;left:3078;top:7233;width:5858;height:5887" type="#_x0000_t75" stroked="false">
              <v:imagedata r:id="rId169"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spacing w:line="665" w:lineRule="exact" w:before="212"/>
        <w:ind w:left="2167" w:right="2034" w:firstLine="0"/>
        <w:jc w:val="center"/>
        <w:rPr>
          <w:b/>
          <w:sz w:val="60"/>
        </w:rPr>
      </w:pPr>
      <w:bookmarkStart w:name="Monetary Policy Committee meetings minut" w:id="81"/>
      <w:bookmarkEnd w:id="81"/>
      <w:r>
        <w:rPr/>
      </w:r>
      <w:bookmarkStart w:name="_bookmark34" w:id="82"/>
      <w:bookmarkEnd w:id="82"/>
      <w:r>
        <w:rPr/>
      </w:r>
      <w:r>
        <w:rPr>
          <w:b/>
          <w:sz w:val="60"/>
        </w:rPr>
        <w:t>Annex:</w:t>
      </w:r>
    </w:p>
    <w:p>
      <w:pPr>
        <w:spacing w:line="223" w:lineRule="auto" w:before="15"/>
        <w:ind w:left="1995" w:right="1859" w:firstLine="0"/>
        <w:jc w:val="center"/>
        <w:rPr>
          <w:b/>
          <w:sz w:val="60"/>
        </w:rPr>
      </w:pPr>
      <w:r>
        <w:rPr>
          <w:b/>
          <w:sz w:val="60"/>
        </w:rPr>
        <w:t>Minutes and Press Notices of the monthly</w:t>
      </w:r>
    </w:p>
    <w:p>
      <w:pPr>
        <w:spacing w:line="223" w:lineRule="auto" w:before="0"/>
        <w:ind w:left="1754" w:right="1620" w:firstLine="0"/>
        <w:jc w:val="center"/>
        <w:rPr>
          <w:b/>
          <w:sz w:val="60"/>
        </w:rPr>
      </w:pPr>
      <w:r>
        <w:rPr>
          <w:b/>
          <w:sz w:val="60"/>
        </w:rPr>
        <w:t>Monetary Policy Committee meetings</w:t>
      </w:r>
    </w:p>
    <w:p>
      <w:pPr>
        <w:spacing w:after="0" w:line="223" w:lineRule="auto"/>
        <w:jc w:val="center"/>
        <w:rPr>
          <w:sz w:val="60"/>
        </w:rPr>
        <w:sectPr>
          <w:headerReference w:type="default" r:id="rId168"/>
          <w:pgSz w:w="11900" w:h="16840"/>
          <w:pgMar w:header="0" w:footer="597" w:top="800" w:bottom="780" w:left="620" w:right="640"/>
        </w:sectPr>
      </w:pPr>
    </w:p>
    <w:p>
      <w:pPr>
        <w:pStyle w:val="BodyText"/>
        <w:rPr>
          <w:b/>
          <w:sz w:val="20"/>
        </w:rPr>
      </w:pPr>
    </w:p>
    <w:p>
      <w:pPr>
        <w:pStyle w:val="BodyText"/>
        <w:rPr>
          <w:b/>
          <w:sz w:val="20"/>
        </w:rPr>
      </w:pPr>
    </w:p>
    <w:p>
      <w:pPr>
        <w:pStyle w:val="BodyText"/>
        <w:spacing w:before="2"/>
        <w:rPr>
          <w:b/>
          <w:sz w:val="20"/>
        </w:rPr>
      </w:pPr>
    </w:p>
    <w:p>
      <w:pPr>
        <w:spacing w:before="86"/>
        <w:ind w:left="190" w:right="0" w:firstLine="0"/>
        <w:jc w:val="left"/>
        <w:rPr>
          <w:b/>
          <w:sz w:val="32"/>
        </w:rPr>
      </w:pPr>
      <w:bookmarkStart w:name="November minutes" w:id="83"/>
      <w:bookmarkEnd w:id="83"/>
      <w:r>
        <w:rPr/>
      </w:r>
      <w:bookmarkStart w:name="_bookmark35" w:id="84"/>
      <w:bookmarkEnd w:id="84"/>
      <w:r>
        <w:rPr/>
      </w:r>
      <w:r>
        <w:rPr>
          <w:b/>
          <w:color w:val="009391"/>
          <w:sz w:val="32"/>
        </w:rPr>
        <w:t>Minutes of the Monetary Policy Committee meeting on 3–4 November</w:t>
      </w:r>
      <w:r>
        <w:rPr>
          <w:b/>
          <w:color w:val="009391"/>
          <w:spacing w:val="-55"/>
          <w:sz w:val="32"/>
        </w:rPr>
        <w:t> </w:t>
      </w:r>
      <w:r>
        <w:rPr>
          <w:b/>
          <w:color w:val="009391"/>
          <w:sz w:val="32"/>
        </w:rPr>
        <w:t>1999</w:t>
      </w:r>
    </w:p>
    <w:p>
      <w:pPr>
        <w:pStyle w:val="BodyText"/>
        <w:spacing w:before="1"/>
        <w:rPr>
          <w:b/>
          <w:sz w:val="28"/>
        </w:rPr>
      </w:pPr>
    </w:p>
    <w:p>
      <w:pPr>
        <w:spacing w:after="0"/>
        <w:rPr>
          <w:sz w:val="28"/>
        </w:rPr>
        <w:sectPr>
          <w:headerReference w:type="default" r:id="rId170"/>
          <w:headerReference w:type="even" r:id="rId171"/>
          <w:footerReference w:type="default" r:id="rId172"/>
          <w:footerReference w:type="even" r:id="rId173"/>
          <w:pgSz w:w="11900" w:h="16840"/>
          <w:pgMar w:header="566" w:footer="597" w:top="760" w:bottom="780" w:left="620" w:right="640"/>
          <w:pgNumType w:start="67"/>
        </w:sectPr>
      </w:pPr>
    </w:p>
    <w:p>
      <w:pPr>
        <w:pStyle w:val="ListParagraph"/>
        <w:numPr>
          <w:ilvl w:val="0"/>
          <w:numId w:val="41"/>
        </w:numPr>
        <w:tabs>
          <w:tab w:pos="659" w:val="left" w:leader="none"/>
          <w:tab w:pos="660" w:val="left" w:leader="none"/>
        </w:tabs>
        <w:spacing w:line="232" w:lineRule="auto" w:before="97" w:after="0"/>
        <w:ind w:left="180" w:right="47" w:firstLine="0"/>
        <w:jc w:val="left"/>
        <w:rPr>
          <w:sz w:val="18"/>
        </w:rPr>
      </w:pPr>
      <w:r>
        <w:rPr>
          <w:sz w:val="18"/>
        </w:rPr>
        <w:t>Before completing their November inflation and output growth projections and turning to their immediate policy decision, the Committee discussed demand and output; the labour market; prices and costs; money, credit and asset prices; and the world economic outlook. Prior to the meeting, the Committee was briefed by Treasury officials on the Chancellor’s latest projections for economic activity and the public</w:t>
      </w:r>
      <w:r>
        <w:rPr>
          <w:spacing w:val="-9"/>
          <w:sz w:val="18"/>
        </w:rPr>
        <w:t> </w:t>
      </w:r>
      <w:r>
        <w:rPr>
          <w:sz w:val="18"/>
        </w:rPr>
        <w:t>finances.</w:t>
      </w:r>
    </w:p>
    <w:p>
      <w:pPr>
        <w:pStyle w:val="BodyText"/>
        <w:spacing w:before="2"/>
        <w:rPr>
          <w:sz w:val="20"/>
        </w:rPr>
      </w:pPr>
    </w:p>
    <w:p>
      <w:pPr>
        <w:spacing w:before="0"/>
        <w:ind w:left="180" w:right="0" w:firstLine="0"/>
        <w:jc w:val="left"/>
        <w:rPr>
          <w:b/>
          <w:sz w:val="22"/>
        </w:rPr>
      </w:pPr>
      <w:r>
        <w:rPr>
          <w:b/>
          <w:color w:val="009391"/>
          <w:sz w:val="22"/>
        </w:rPr>
        <w:t>Demand and output</w:t>
      </w:r>
    </w:p>
    <w:p>
      <w:pPr>
        <w:pStyle w:val="ListParagraph"/>
        <w:numPr>
          <w:ilvl w:val="0"/>
          <w:numId w:val="41"/>
        </w:numPr>
        <w:tabs>
          <w:tab w:pos="659" w:val="left" w:leader="none"/>
          <w:tab w:pos="660" w:val="left" w:leader="none"/>
        </w:tabs>
        <w:spacing w:line="232" w:lineRule="auto" w:before="110" w:after="0"/>
        <w:ind w:left="180" w:right="38" w:firstLine="0"/>
        <w:jc w:val="left"/>
        <w:rPr>
          <w:sz w:val="18"/>
        </w:rPr>
      </w:pPr>
      <w:r>
        <w:rPr>
          <w:sz w:val="18"/>
        </w:rPr>
        <w:t>Output was estimated to have increased by 0.9% between Q2 and Q3, significantly higher than projected in the Committee’s August </w:t>
      </w:r>
      <w:r>
        <w:rPr>
          <w:i/>
          <w:sz w:val="18"/>
        </w:rPr>
        <w:t>Inflation Report</w:t>
      </w:r>
      <w:r>
        <w:rPr>
          <w:sz w:val="18"/>
        </w:rPr>
        <w:t>; and growth in the first half of the year had been revised upwards, so that the level of activity was also higher than expected. The quarterly rate of manufacturing output growth had been 1% in Q3. The recovery seemed to be spreading both regionally and, with some exceptions such as agriculture, sectorally. The twelve-month growth rate of final domestic demand in Q2, the latest period for which data were available, had been 4.5%, well above trend. Strong domestic demand had to some extent been offset in the first part of the year by destocking and, over a longer period, by weak net trade, reflecting the rise in sterling’s exchange rate and shocks to world economic growth. Aggregate demand had therefore grown more slowly than final domestic demand, and this had contained pressures on the economy’s supply capacity. More recently, however, net trade had been stronger than expected, and in Q2 had even made a positive contribution to GDP growth. Against this background, the Committee discussed whether the growth in demand was sustainable, and if not whether it would slow spontaneously, ie without a further policy</w:t>
      </w:r>
      <w:r>
        <w:rPr>
          <w:spacing w:val="-6"/>
          <w:sz w:val="18"/>
        </w:rPr>
        <w:t> </w:t>
      </w:r>
      <w:r>
        <w:rPr>
          <w:sz w:val="18"/>
        </w:rPr>
        <w:t>tightening.</w:t>
      </w:r>
    </w:p>
    <w:p>
      <w:pPr>
        <w:pStyle w:val="BodyText"/>
        <w:spacing w:before="11"/>
        <w:rPr>
          <w:sz w:val="15"/>
        </w:rPr>
      </w:pPr>
    </w:p>
    <w:p>
      <w:pPr>
        <w:pStyle w:val="ListParagraph"/>
        <w:numPr>
          <w:ilvl w:val="0"/>
          <w:numId w:val="41"/>
        </w:numPr>
        <w:tabs>
          <w:tab w:pos="659" w:val="left" w:leader="none"/>
          <w:tab w:pos="660" w:val="left" w:leader="none"/>
        </w:tabs>
        <w:spacing w:line="232" w:lineRule="auto" w:before="0" w:after="0"/>
        <w:ind w:left="179" w:right="47" w:firstLine="0"/>
        <w:jc w:val="left"/>
        <w:rPr>
          <w:sz w:val="18"/>
        </w:rPr>
      </w:pPr>
      <w:r>
        <w:rPr>
          <w:sz w:val="18"/>
        </w:rPr>
        <w:t>Within final domestic demand, consumption growth had been especially buoyant. A number of possible special factors were identified.  First, strong growth in real earnings, and so real personal disposable income, might have reflected not just tight labour market conditions, but also inflation outturns that had been lower than expected when pay bargains were struck. Other things being equal, any such effect was unlikely to continue as inflation expectations had come down over the past few years, and were now broadly in line with the 2</w:t>
      </w:r>
      <w:r>
        <w:rPr>
          <w:position w:val="6"/>
          <w:sz w:val="9"/>
        </w:rPr>
        <w:t>1</w:t>
      </w:r>
      <w:r>
        <w:rPr>
          <w:sz w:val="18"/>
        </w:rPr>
        <w:t>/</w:t>
      </w:r>
      <w:r>
        <w:rPr>
          <w:sz w:val="9"/>
        </w:rPr>
        <w:t>2</w:t>
      </w:r>
      <w:r>
        <w:rPr>
          <w:sz w:val="18"/>
        </w:rPr>
        <w:t>% target. However, the Committee had built into its latest central projection for inflation a number of particular downward influences on prices—such as utility price cuts and the effects of increased competition on retailers’ margins— which would tend to reduce RPIX inflation, and it was unclear to what extent these were incorporated into wage bargainers’ inflation expectations.</w:t>
      </w:r>
    </w:p>
    <w:p>
      <w:pPr>
        <w:pStyle w:val="BodyText"/>
        <w:spacing w:before="4"/>
        <w:rPr>
          <w:sz w:val="16"/>
        </w:rPr>
      </w:pPr>
    </w:p>
    <w:p>
      <w:pPr>
        <w:pStyle w:val="ListParagraph"/>
        <w:numPr>
          <w:ilvl w:val="0"/>
          <w:numId w:val="41"/>
        </w:numPr>
        <w:tabs>
          <w:tab w:pos="659" w:val="left" w:leader="none"/>
          <w:tab w:pos="660" w:val="left" w:leader="none"/>
        </w:tabs>
        <w:spacing w:line="232" w:lineRule="auto" w:before="1" w:after="0"/>
        <w:ind w:left="179" w:right="172" w:firstLine="0"/>
        <w:jc w:val="left"/>
        <w:rPr>
          <w:sz w:val="18"/>
        </w:rPr>
      </w:pPr>
      <w:r>
        <w:rPr>
          <w:sz w:val="18"/>
        </w:rPr>
        <w:t>Second, the rapid growth in consumption in Q1 and Q2 partly reflected recovery from the slowdown last autumn, when confidence had been hit by the shocks to the world economy and international financial markets. Third, consumer spending growth earlier in the year had partly been accounted for by</w:t>
      </w:r>
      <w:r>
        <w:rPr>
          <w:spacing w:val="-22"/>
          <w:sz w:val="18"/>
        </w:rPr>
        <w:t> </w:t>
      </w:r>
      <w:r>
        <w:rPr>
          <w:sz w:val="18"/>
        </w:rPr>
        <w:t>an</w:t>
      </w:r>
    </w:p>
    <w:p>
      <w:pPr>
        <w:pStyle w:val="BodyText"/>
        <w:spacing w:line="232" w:lineRule="auto"/>
        <w:ind w:left="179" w:right="38"/>
      </w:pPr>
      <w:r>
        <w:rPr/>
        <w:t>earlier-than-usual spike in car sales, reflecting changes in the timing of new registrations. That was expected to unwind in the second half of the year. Retail sales growth appeared, however, to have strengthened during the year according to data for Q3 and some surveys, so that overall consumption growth might not slow much. Moreover, strong output growth in Q3, evidence of strong tax receipts (including corporate taxes), and the relative strength of household money and credit growth and of the housing market suggested that strong final domestic demand growth might have continued beyond the first half of the</w:t>
      </w:r>
      <w:r>
        <w:rPr>
          <w:spacing w:val="-12"/>
        </w:rPr>
        <w:t> </w:t>
      </w:r>
      <w:r>
        <w:rPr/>
        <w:t>year.</w:t>
      </w:r>
    </w:p>
    <w:p>
      <w:pPr>
        <w:pStyle w:val="BodyText"/>
        <w:spacing w:before="4"/>
        <w:rPr>
          <w:sz w:val="16"/>
        </w:rPr>
      </w:pPr>
    </w:p>
    <w:p>
      <w:pPr>
        <w:pStyle w:val="ListParagraph"/>
        <w:numPr>
          <w:ilvl w:val="0"/>
          <w:numId w:val="41"/>
        </w:numPr>
        <w:tabs>
          <w:tab w:pos="659" w:val="left" w:leader="none"/>
          <w:tab w:pos="660" w:val="left" w:leader="none"/>
        </w:tabs>
        <w:spacing w:line="232" w:lineRule="auto" w:before="0" w:after="0"/>
        <w:ind w:left="179" w:right="212" w:firstLine="0"/>
        <w:jc w:val="left"/>
        <w:rPr>
          <w:sz w:val="18"/>
        </w:rPr>
      </w:pPr>
      <w:r>
        <w:rPr>
          <w:sz w:val="18"/>
        </w:rPr>
        <w:t>There were, though, some possible indications that consumption growth had steadied. Indicators of retail sales in</w:t>
      </w:r>
      <w:r>
        <w:rPr>
          <w:spacing w:val="-6"/>
          <w:sz w:val="18"/>
        </w:rPr>
        <w:t> </w:t>
      </w:r>
      <w:r>
        <w:rPr>
          <w:sz w:val="18"/>
        </w:rPr>
        <w:t>Q4</w:t>
      </w:r>
    </w:p>
    <w:p>
      <w:pPr>
        <w:pStyle w:val="BodyText"/>
        <w:spacing w:line="232" w:lineRule="auto" w:before="97"/>
        <w:ind w:left="179" w:right="165"/>
      </w:pPr>
      <w:r>
        <w:rPr/>
        <w:br w:type="column"/>
      </w:r>
      <w:r>
        <w:rPr/>
        <w:t>appeared firm, but probably not more so than during Q3. Both the CBI Distributive Trades Survey and the C</w:t>
      </w:r>
      <w:r>
        <w:rPr>
          <w:sz w:val="14"/>
        </w:rPr>
        <w:t>IPS </w:t>
      </w:r>
      <w:r>
        <w:rPr/>
        <w:t>Services Index pointed to a moderation of activity.  Consumer confidence measures were positive but had been steady for about eight months, and in particular had not been driven upwards along with the rapid rise in house prices. And some indicators of housing market activity, such as particulars delivered, had ticked down slightly over the past two months. The Committee judged, however, that the recent strength in house prices would tend to support continuing buoyant consumption growth. House prices were generally expected to continue rising over the next year or so at an annual rate which was higher than mortgage interest rates. In the view of some members, the resulting negative own-real rate of interest should,</w:t>
      </w:r>
      <w:r>
        <w:rPr>
          <w:spacing w:val="-5"/>
        </w:rPr>
        <w:t> </w:t>
      </w:r>
      <w:r>
        <w:rPr/>
        <w:t>other</w:t>
      </w:r>
      <w:r>
        <w:rPr>
          <w:spacing w:val="-4"/>
        </w:rPr>
        <w:t> </w:t>
      </w:r>
      <w:r>
        <w:rPr/>
        <w:t>things</w:t>
      </w:r>
      <w:r>
        <w:rPr>
          <w:spacing w:val="-5"/>
        </w:rPr>
        <w:t> </w:t>
      </w:r>
      <w:r>
        <w:rPr/>
        <w:t>being</w:t>
      </w:r>
      <w:r>
        <w:rPr>
          <w:spacing w:val="-4"/>
        </w:rPr>
        <w:t> </w:t>
      </w:r>
      <w:r>
        <w:rPr/>
        <w:t>equal,</w:t>
      </w:r>
      <w:r>
        <w:rPr>
          <w:spacing w:val="-5"/>
        </w:rPr>
        <w:t> </w:t>
      </w:r>
      <w:r>
        <w:rPr/>
        <w:t>make</w:t>
      </w:r>
      <w:r>
        <w:rPr>
          <w:spacing w:val="-4"/>
        </w:rPr>
        <w:t> </w:t>
      </w:r>
      <w:r>
        <w:rPr/>
        <w:t>house</w:t>
      </w:r>
      <w:r>
        <w:rPr>
          <w:spacing w:val="-5"/>
        </w:rPr>
        <w:t> </w:t>
      </w:r>
      <w:r>
        <w:rPr/>
        <w:t>purchase</w:t>
      </w:r>
      <w:r>
        <w:rPr>
          <w:spacing w:val="-4"/>
        </w:rPr>
        <w:t> </w:t>
      </w:r>
      <w:r>
        <w:rPr/>
        <w:t>attractive.</w:t>
      </w:r>
    </w:p>
    <w:p>
      <w:pPr>
        <w:pStyle w:val="BodyText"/>
        <w:spacing w:line="232" w:lineRule="auto"/>
        <w:ind w:left="180" w:right="165"/>
      </w:pPr>
      <w:r>
        <w:rPr/>
        <w:t>This could alternatively be thought of as expected real capital gains more than offsetting the real cost of borrowing (measured by mortgage interest rates less expected consumer price inflation).</w:t>
      </w:r>
    </w:p>
    <w:p>
      <w:pPr>
        <w:pStyle w:val="BodyText"/>
        <w:spacing w:before="3"/>
        <w:rPr>
          <w:sz w:val="16"/>
        </w:rPr>
      </w:pPr>
    </w:p>
    <w:p>
      <w:pPr>
        <w:pStyle w:val="ListParagraph"/>
        <w:numPr>
          <w:ilvl w:val="0"/>
          <w:numId w:val="41"/>
        </w:numPr>
        <w:tabs>
          <w:tab w:pos="659" w:val="left" w:leader="none"/>
          <w:tab w:pos="660" w:val="left" w:leader="none"/>
        </w:tabs>
        <w:spacing w:line="232" w:lineRule="auto" w:before="0" w:after="0"/>
        <w:ind w:left="180" w:right="311" w:firstLine="0"/>
        <w:jc w:val="left"/>
        <w:rPr>
          <w:sz w:val="18"/>
        </w:rPr>
      </w:pPr>
      <w:r>
        <w:rPr>
          <w:sz w:val="18"/>
        </w:rPr>
        <w:t>Other parts of the economy were, however, facing quite different own-real interest rates. In particular, the nominal cost of borrowing for companies was still considerably higher than manufacturing output price inflation, which might hold back investment</w:t>
      </w:r>
      <w:r>
        <w:rPr>
          <w:spacing w:val="-2"/>
          <w:sz w:val="18"/>
        </w:rPr>
        <w:t> </w:t>
      </w:r>
      <w:r>
        <w:rPr>
          <w:sz w:val="18"/>
        </w:rPr>
        <w:t>spending.</w:t>
      </w:r>
    </w:p>
    <w:p>
      <w:pPr>
        <w:pStyle w:val="BodyText"/>
        <w:rPr>
          <w:sz w:val="17"/>
        </w:rPr>
      </w:pPr>
    </w:p>
    <w:p>
      <w:pPr>
        <w:pStyle w:val="ListParagraph"/>
        <w:numPr>
          <w:ilvl w:val="0"/>
          <w:numId w:val="41"/>
        </w:numPr>
        <w:tabs>
          <w:tab w:pos="659" w:val="left" w:leader="none"/>
          <w:tab w:pos="660" w:val="left" w:leader="none"/>
        </w:tabs>
        <w:spacing w:line="232" w:lineRule="auto" w:before="1" w:after="0"/>
        <w:ind w:left="180" w:right="315" w:firstLine="0"/>
        <w:jc w:val="left"/>
        <w:rPr>
          <w:sz w:val="18"/>
        </w:rPr>
      </w:pPr>
      <w:r>
        <w:rPr>
          <w:sz w:val="18"/>
        </w:rPr>
        <w:t>More generally, since August the sterling yield curve had steepened, with rates in the two-to-five year range up by at least 50 basis points and the gap between fixed and variable mortgage rates having closed. This had increased the cost of borrowing for both companies and fixed rate mortgage borrowers. This would help</w:t>
      </w:r>
      <w:r>
        <w:rPr>
          <w:spacing w:val="-4"/>
          <w:sz w:val="18"/>
        </w:rPr>
        <w:t> </w:t>
      </w:r>
      <w:r>
        <w:rPr>
          <w:sz w:val="18"/>
        </w:rPr>
        <w:t>to</w:t>
      </w:r>
      <w:r>
        <w:rPr>
          <w:spacing w:val="-4"/>
          <w:sz w:val="18"/>
        </w:rPr>
        <w:t> </w:t>
      </w:r>
      <w:r>
        <w:rPr>
          <w:sz w:val="18"/>
        </w:rPr>
        <w:t>restrain</w:t>
      </w:r>
      <w:r>
        <w:rPr>
          <w:spacing w:val="-4"/>
          <w:sz w:val="18"/>
        </w:rPr>
        <w:t> </w:t>
      </w:r>
      <w:r>
        <w:rPr>
          <w:sz w:val="18"/>
        </w:rPr>
        <w:t>demand</w:t>
      </w:r>
      <w:r>
        <w:rPr>
          <w:spacing w:val="-4"/>
          <w:sz w:val="18"/>
        </w:rPr>
        <w:t> </w:t>
      </w:r>
      <w:r>
        <w:rPr>
          <w:sz w:val="18"/>
        </w:rPr>
        <w:t>in</w:t>
      </w:r>
      <w:r>
        <w:rPr>
          <w:spacing w:val="-4"/>
          <w:sz w:val="18"/>
        </w:rPr>
        <w:t> </w:t>
      </w:r>
      <w:r>
        <w:rPr>
          <w:sz w:val="18"/>
        </w:rPr>
        <w:t>the</w:t>
      </w:r>
      <w:r>
        <w:rPr>
          <w:spacing w:val="-4"/>
          <w:sz w:val="18"/>
        </w:rPr>
        <w:t> </w:t>
      </w:r>
      <w:r>
        <w:rPr>
          <w:sz w:val="18"/>
        </w:rPr>
        <w:t>medium</w:t>
      </w:r>
      <w:r>
        <w:rPr>
          <w:spacing w:val="-4"/>
          <w:sz w:val="18"/>
        </w:rPr>
        <w:t> </w:t>
      </w:r>
      <w:r>
        <w:rPr>
          <w:sz w:val="18"/>
        </w:rPr>
        <w:t>term,</w:t>
      </w:r>
      <w:r>
        <w:rPr>
          <w:spacing w:val="-4"/>
          <w:sz w:val="18"/>
        </w:rPr>
        <w:t> </w:t>
      </w:r>
      <w:r>
        <w:rPr>
          <w:sz w:val="18"/>
        </w:rPr>
        <w:t>and</w:t>
      </w:r>
      <w:r>
        <w:rPr>
          <w:spacing w:val="-4"/>
          <w:sz w:val="18"/>
        </w:rPr>
        <w:t> </w:t>
      </w:r>
      <w:r>
        <w:rPr>
          <w:sz w:val="18"/>
        </w:rPr>
        <w:t>on</w:t>
      </w:r>
      <w:r>
        <w:rPr>
          <w:spacing w:val="-4"/>
          <w:sz w:val="18"/>
        </w:rPr>
        <w:t> </w:t>
      </w:r>
      <w:r>
        <w:rPr>
          <w:sz w:val="18"/>
        </w:rPr>
        <w:t>one</w:t>
      </w:r>
      <w:r>
        <w:rPr>
          <w:spacing w:val="-4"/>
          <w:sz w:val="18"/>
        </w:rPr>
        <w:t> </w:t>
      </w:r>
      <w:r>
        <w:rPr>
          <w:sz w:val="18"/>
        </w:rPr>
        <w:t>view</w:t>
      </w:r>
      <w:r>
        <w:rPr>
          <w:spacing w:val="-4"/>
          <w:sz w:val="18"/>
        </w:rPr>
        <w:t> </w:t>
      </w:r>
      <w:r>
        <w:rPr>
          <w:sz w:val="18"/>
        </w:rPr>
        <w:t>was not fully reflected in the forecast. Others felt that the effects were likely to be small. (The Committee’s discussion of whether the shift in market interest rate expectations had more</w:t>
      </w:r>
      <w:r>
        <w:rPr>
          <w:spacing w:val="-24"/>
          <w:sz w:val="18"/>
        </w:rPr>
        <w:t> </w:t>
      </w:r>
      <w:r>
        <w:rPr>
          <w:sz w:val="18"/>
        </w:rPr>
        <w:t>general</w:t>
      </w:r>
    </w:p>
    <w:p>
      <w:pPr>
        <w:pStyle w:val="BodyText"/>
        <w:spacing w:line="232" w:lineRule="auto"/>
        <w:ind w:left="180" w:right="181"/>
      </w:pPr>
      <w:r>
        <w:rPr/>
        <w:t>implications for policy setting is summarised below under ‘Tactical considerations’.)</w:t>
      </w:r>
    </w:p>
    <w:p>
      <w:pPr>
        <w:pStyle w:val="BodyText"/>
        <w:spacing w:before="7"/>
        <w:rPr>
          <w:sz w:val="16"/>
        </w:rPr>
      </w:pPr>
    </w:p>
    <w:p>
      <w:pPr>
        <w:pStyle w:val="ListParagraph"/>
        <w:numPr>
          <w:ilvl w:val="0"/>
          <w:numId w:val="41"/>
        </w:numPr>
        <w:tabs>
          <w:tab w:pos="659" w:val="left" w:leader="none"/>
          <w:tab w:pos="660" w:val="left" w:leader="none"/>
        </w:tabs>
        <w:spacing w:line="232" w:lineRule="auto" w:before="0" w:after="0"/>
        <w:ind w:left="180" w:right="220" w:firstLine="0"/>
        <w:jc w:val="left"/>
        <w:rPr>
          <w:sz w:val="18"/>
        </w:rPr>
      </w:pPr>
      <w:r>
        <w:rPr>
          <w:sz w:val="18"/>
        </w:rPr>
        <w:t>The</w:t>
      </w:r>
      <w:r>
        <w:rPr>
          <w:spacing w:val="-6"/>
          <w:sz w:val="18"/>
        </w:rPr>
        <w:t> </w:t>
      </w:r>
      <w:r>
        <w:rPr>
          <w:sz w:val="18"/>
        </w:rPr>
        <w:t>Committee</w:t>
      </w:r>
      <w:r>
        <w:rPr>
          <w:spacing w:val="-5"/>
          <w:sz w:val="18"/>
        </w:rPr>
        <w:t> </w:t>
      </w:r>
      <w:r>
        <w:rPr>
          <w:sz w:val="18"/>
        </w:rPr>
        <w:t>agreed</w:t>
      </w:r>
      <w:r>
        <w:rPr>
          <w:spacing w:val="-6"/>
          <w:sz w:val="18"/>
        </w:rPr>
        <w:t> </w:t>
      </w:r>
      <w:r>
        <w:rPr>
          <w:sz w:val="18"/>
        </w:rPr>
        <w:t>that</w:t>
      </w:r>
      <w:r>
        <w:rPr>
          <w:spacing w:val="-5"/>
          <w:sz w:val="18"/>
        </w:rPr>
        <w:t> </w:t>
      </w:r>
      <w:r>
        <w:rPr>
          <w:sz w:val="18"/>
        </w:rPr>
        <w:t>final</w:t>
      </w:r>
      <w:r>
        <w:rPr>
          <w:spacing w:val="-6"/>
          <w:sz w:val="18"/>
        </w:rPr>
        <w:t> </w:t>
      </w:r>
      <w:r>
        <w:rPr>
          <w:sz w:val="18"/>
        </w:rPr>
        <w:t>domestic</w:t>
      </w:r>
      <w:r>
        <w:rPr>
          <w:spacing w:val="-5"/>
          <w:sz w:val="18"/>
        </w:rPr>
        <w:t> </w:t>
      </w:r>
      <w:r>
        <w:rPr>
          <w:sz w:val="18"/>
        </w:rPr>
        <w:t>demand</w:t>
      </w:r>
      <w:r>
        <w:rPr>
          <w:spacing w:val="-6"/>
          <w:sz w:val="18"/>
        </w:rPr>
        <w:t> </w:t>
      </w:r>
      <w:r>
        <w:rPr>
          <w:sz w:val="18"/>
        </w:rPr>
        <w:t>could</w:t>
      </w:r>
      <w:r>
        <w:rPr>
          <w:spacing w:val="-5"/>
          <w:sz w:val="18"/>
        </w:rPr>
        <w:t> </w:t>
      </w:r>
      <w:r>
        <w:rPr>
          <w:sz w:val="18"/>
        </w:rPr>
        <w:t>not continue to grow at the current rate without jeopardizing achievement of the inflation target in the medium term. Even without further monetary tightening some of the factors mentioned above were likely to restrain domestic demand growth. The Committee’s latest projection incorporated a slowdown to around 3% by the end of the two-year forecast horizon, but that would probably still place pressures on supply capacity unless the contribution to GDP growth from stockbuilding and net trade was negative.</w:t>
      </w:r>
    </w:p>
    <w:p>
      <w:pPr>
        <w:pStyle w:val="BodyText"/>
        <w:spacing w:before="8"/>
        <w:rPr>
          <w:sz w:val="16"/>
        </w:rPr>
      </w:pPr>
    </w:p>
    <w:p>
      <w:pPr>
        <w:pStyle w:val="ListParagraph"/>
        <w:numPr>
          <w:ilvl w:val="0"/>
          <w:numId w:val="41"/>
        </w:numPr>
        <w:tabs>
          <w:tab w:pos="659" w:val="left" w:leader="none"/>
          <w:tab w:pos="660" w:val="left" w:leader="none"/>
        </w:tabs>
        <w:spacing w:line="232" w:lineRule="auto" w:before="0" w:after="0"/>
        <w:ind w:left="180" w:right="235" w:firstLine="0"/>
        <w:jc w:val="left"/>
        <w:rPr>
          <w:sz w:val="18"/>
        </w:rPr>
      </w:pPr>
      <w:r>
        <w:rPr>
          <w:sz w:val="18"/>
        </w:rPr>
        <w:t>Stocks had been reduced in the first part of the year, consistent with reports of excess inventory holdings at the end of 1998. More recent reports suggested that there was little reason to expect</w:t>
      </w:r>
      <w:r>
        <w:rPr>
          <w:spacing w:val="-6"/>
          <w:sz w:val="18"/>
        </w:rPr>
        <w:t> </w:t>
      </w:r>
      <w:r>
        <w:rPr>
          <w:sz w:val="18"/>
        </w:rPr>
        <w:t>a</w:t>
      </w:r>
      <w:r>
        <w:rPr>
          <w:spacing w:val="-6"/>
          <w:sz w:val="18"/>
        </w:rPr>
        <w:t> </w:t>
      </w:r>
      <w:r>
        <w:rPr>
          <w:sz w:val="18"/>
        </w:rPr>
        <w:t>continuing</w:t>
      </w:r>
      <w:r>
        <w:rPr>
          <w:spacing w:val="-5"/>
          <w:sz w:val="18"/>
        </w:rPr>
        <w:t> </w:t>
      </w:r>
      <w:r>
        <w:rPr>
          <w:sz w:val="18"/>
        </w:rPr>
        <w:t>negative</w:t>
      </w:r>
      <w:r>
        <w:rPr>
          <w:spacing w:val="-6"/>
          <w:sz w:val="18"/>
        </w:rPr>
        <w:t> </w:t>
      </w:r>
      <w:r>
        <w:rPr>
          <w:sz w:val="18"/>
        </w:rPr>
        <w:t>contribution</w:t>
      </w:r>
      <w:r>
        <w:rPr>
          <w:spacing w:val="-5"/>
          <w:sz w:val="18"/>
        </w:rPr>
        <w:t> </w:t>
      </w:r>
      <w:r>
        <w:rPr>
          <w:sz w:val="18"/>
        </w:rPr>
        <w:t>to</w:t>
      </w:r>
      <w:r>
        <w:rPr>
          <w:spacing w:val="-6"/>
          <w:sz w:val="18"/>
        </w:rPr>
        <w:t> </w:t>
      </w:r>
      <w:r>
        <w:rPr>
          <w:sz w:val="18"/>
        </w:rPr>
        <w:t>GDP</w:t>
      </w:r>
      <w:r>
        <w:rPr>
          <w:spacing w:val="-5"/>
          <w:sz w:val="18"/>
        </w:rPr>
        <w:t> </w:t>
      </w:r>
      <w:r>
        <w:rPr>
          <w:sz w:val="18"/>
        </w:rPr>
        <w:t>growth</w:t>
      </w:r>
      <w:r>
        <w:rPr>
          <w:spacing w:val="-6"/>
          <w:sz w:val="18"/>
        </w:rPr>
        <w:t> </w:t>
      </w:r>
      <w:r>
        <w:rPr>
          <w:sz w:val="18"/>
        </w:rPr>
        <w:t>from</w:t>
      </w:r>
      <w:r>
        <w:rPr>
          <w:spacing w:val="-6"/>
          <w:sz w:val="18"/>
        </w:rPr>
        <w:t> </w:t>
      </w:r>
      <w:r>
        <w:rPr>
          <w:sz w:val="18"/>
        </w:rPr>
        <w:t>this source in the short</w:t>
      </w:r>
      <w:r>
        <w:rPr>
          <w:spacing w:val="-5"/>
          <w:sz w:val="18"/>
        </w:rPr>
        <w:t> </w:t>
      </w:r>
      <w:r>
        <w:rPr>
          <w:sz w:val="18"/>
        </w:rPr>
        <w:t>run.</w:t>
      </w:r>
    </w:p>
    <w:p>
      <w:pPr>
        <w:pStyle w:val="BodyText"/>
        <w:spacing w:before="1"/>
        <w:rPr>
          <w:sz w:val="17"/>
        </w:rPr>
      </w:pPr>
    </w:p>
    <w:p>
      <w:pPr>
        <w:pStyle w:val="ListParagraph"/>
        <w:numPr>
          <w:ilvl w:val="0"/>
          <w:numId w:val="41"/>
        </w:numPr>
        <w:tabs>
          <w:tab w:pos="659" w:val="left" w:leader="none"/>
          <w:tab w:pos="660" w:val="left" w:leader="none"/>
        </w:tabs>
        <w:spacing w:line="232" w:lineRule="auto" w:before="0" w:after="0"/>
        <w:ind w:left="180" w:right="270" w:firstLine="0"/>
        <w:jc w:val="left"/>
        <w:rPr>
          <w:sz w:val="18"/>
        </w:rPr>
      </w:pPr>
      <w:r>
        <w:rPr>
          <w:sz w:val="18"/>
        </w:rPr>
        <w:t>The principal influences on net trade pointed in different directions. On the one hand, sterling continued to be strong, and was higher than in August. On the other hand, the world economy was recovering more quickly than expected. Exports of goods (excluding oil and erratics) to countries outside the EU had grown at an annual rate of 11% between Q2 and Q3; and total goods exports grew by 6% in the three months to August compared with the previous three months. Surveys suggested that manufacturers’ expectations of export volume growth were higher than for around three</w:t>
      </w:r>
      <w:r>
        <w:rPr>
          <w:spacing w:val="-2"/>
          <w:sz w:val="18"/>
        </w:rPr>
        <w:t> </w:t>
      </w:r>
      <w:r>
        <w:rPr>
          <w:sz w:val="18"/>
        </w:rPr>
        <w:t>years.</w:t>
      </w:r>
    </w:p>
    <w:p>
      <w:pPr>
        <w:pStyle w:val="BodyText"/>
        <w:spacing w:before="8"/>
        <w:rPr>
          <w:sz w:val="16"/>
        </w:rPr>
      </w:pPr>
    </w:p>
    <w:p>
      <w:pPr>
        <w:pStyle w:val="ListParagraph"/>
        <w:numPr>
          <w:ilvl w:val="0"/>
          <w:numId w:val="41"/>
        </w:numPr>
        <w:tabs>
          <w:tab w:pos="659" w:val="left" w:leader="none"/>
          <w:tab w:pos="660" w:val="left" w:leader="none"/>
        </w:tabs>
        <w:spacing w:line="232" w:lineRule="auto" w:before="0" w:after="0"/>
        <w:ind w:left="180" w:right="320" w:firstLine="0"/>
        <w:jc w:val="left"/>
        <w:rPr>
          <w:sz w:val="18"/>
        </w:rPr>
      </w:pPr>
      <w:r>
        <w:rPr>
          <w:sz w:val="18"/>
        </w:rPr>
        <w:t>While it was possible that the strength of the recent exports data</w:t>
      </w:r>
      <w:r>
        <w:rPr>
          <w:spacing w:val="-5"/>
          <w:sz w:val="18"/>
        </w:rPr>
        <w:t> </w:t>
      </w:r>
      <w:r>
        <w:rPr>
          <w:sz w:val="18"/>
        </w:rPr>
        <w:t>partly</w:t>
      </w:r>
      <w:r>
        <w:rPr>
          <w:spacing w:val="-4"/>
          <w:sz w:val="18"/>
        </w:rPr>
        <w:t> </w:t>
      </w:r>
      <w:r>
        <w:rPr>
          <w:sz w:val="18"/>
        </w:rPr>
        <w:t>reflected</w:t>
      </w:r>
      <w:r>
        <w:rPr>
          <w:spacing w:val="-4"/>
          <w:sz w:val="18"/>
        </w:rPr>
        <w:t> </w:t>
      </w:r>
      <w:r>
        <w:rPr>
          <w:sz w:val="18"/>
        </w:rPr>
        <w:t>temporary</w:t>
      </w:r>
      <w:r>
        <w:rPr>
          <w:spacing w:val="-5"/>
          <w:sz w:val="18"/>
        </w:rPr>
        <w:t> </w:t>
      </w:r>
      <w:r>
        <w:rPr>
          <w:sz w:val="18"/>
        </w:rPr>
        <w:t>factors,</w:t>
      </w:r>
      <w:r>
        <w:rPr>
          <w:spacing w:val="-4"/>
          <w:sz w:val="18"/>
        </w:rPr>
        <w:t> </w:t>
      </w:r>
      <w:r>
        <w:rPr>
          <w:sz w:val="18"/>
        </w:rPr>
        <w:t>it</w:t>
      </w:r>
      <w:r>
        <w:rPr>
          <w:spacing w:val="-4"/>
          <w:sz w:val="18"/>
        </w:rPr>
        <w:t> </w:t>
      </w:r>
      <w:r>
        <w:rPr>
          <w:sz w:val="18"/>
        </w:rPr>
        <w:t>was</w:t>
      </w:r>
      <w:r>
        <w:rPr>
          <w:spacing w:val="-4"/>
          <w:sz w:val="18"/>
        </w:rPr>
        <w:t> </w:t>
      </w:r>
      <w:r>
        <w:rPr>
          <w:sz w:val="18"/>
        </w:rPr>
        <w:t>also</w:t>
      </w:r>
      <w:r>
        <w:rPr>
          <w:spacing w:val="-5"/>
          <w:sz w:val="18"/>
        </w:rPr>
        <w:t> </w:t>
      </w:r>
      <w:r>
        <w:rPr>
          <w:sz w:val="18"/>
        </w:rPr>
        <w:t>possible</w:t>
      </w:r>
      <w:r>
        <w:rPr>
          <w:spacing w:val="-4"/>
          <w:sz w:val="18"/>
        </w:rPr>
        <w:t> </w:t>
      </w:r>
      <w:r>
        <w:rPr>
          <w:sz w:val="18"/>
        </w:rPr>
        <w:t>that</w:t>
      </w:r>
    </w:p>
    <w:p>
      <w:pPr>
        <w:spacing w:after="0" w:line="232" w:lineRule="auto"/>
        <w:jc w:val="left"/>
        <w:rPr>
          <w:sz w:val="18"/>
        </w:rPr>
        <w:sectPr>
          <w:type w:val="continuous"/>
          <w:pgSz w:w="11900" w:h="16840"/>
          <w:pgMar w:top="1220" w:bottom="280" w:left="620" w:right="640"/>
          <w:cols w:num="2" w:equalWidth="0">
            <w:col w:w="5128" w:space="262"/>
            <w:col w:w="525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4"/>
        <w:rPr>
          <w:sz w:val="21"/>
        </w:rPr>
      </w:pPr>
    </w:p>
    <w:p>
      <w:pPr>
        <w:pStyle w:val="BodyText"/>
        <w:spacing w:line="232" w:lineRule="auto" w:before="1"/>
        <w:ind w:left="194" w:right="50"/>
      </w:pPr>
      <w:r>
        <w:rPr/>
        <w:t>exporters had to some extent adjusted to a level of sterling that they now expected to persist. If so, the equilibrium real exchange rate might have risen, but it was too early to be at all confident about that possibility.</w:t>
      </w:r>
    </w:p>
    <w:p>
      <w:pPr>
        <w:pStyle w:val="BodyText"/>
        <w:spacing w:before="1"/>
        <w:rPr>
          <w:sz w:val="17"/>
        </w:rPr>
      </w:pPr>
    </w:p>
    <w:p>
      <w:pPr>
        <w:pStyle w:val="ListParagraph"/>
        <w:numPr>
          <w:ilvl w:val="0"/>
          <w:numId w:val="41"/>
        </w:numPr>
        <w:tabs>
          <w:tab w:pos="674" w:val="left" w:leader="none"/>
          <w:tab w:pos="675" w:val="left" w:leader="none"/>
        </w:tabs>
        <w:spacing w:line="232" w:lineRule="auto" w:before="0" w:after="0"/>
        <w:ind w:left="194" w:right="63" w:firstLine="0"/>
        <w:jc w:val="left"/>
        <w:rPr>
          <w:sz w:val="18"/>
        </w:rPr>
      </w:pPr>
      <w:r>
        <w:rPr>
          <w:sz w:val="18"/>
        </w:rPr>
        <w:t>To the extent that export strength were to persist, a negative contribution to GDP growth from net trade would have to come from a relatively faster increase in imports, so that the UK would in effect be relying on spare capacity abroad to contain incipient inflationary pressures from strong domestic demand growth. But while there was probably still spare capacity abroad, some members felt that it would be eroded as the world economy recovered, tending to put upward pressure on import</w:t>
      </w:r>
      <w:r>
        <w:rPr>
          <w:spacing w:val="-24"/>
          <w:sz w:val="18"/>
        </w:rPr>
        <w:t> </w:t>
      </w:r>
      <w:r>
        <w:rPr>
          <w:sz w:val="18"/>
        </w:rPr>
        <w:t>prices.</w:t>
      </w:r>
    </w:p>
    <w:p>
      <w:pPr>
        <w:pStyle w:val="BodyText"/>
        <w:spacing w:before="10"/>
        <w:rPr>
          <w:sz w:val="16"/>
        </w:rPr>
      </w:pPr>
    </w:p>
    <w:p>
      <w:pPr>
        <w:pStyle w:val="ListParagraph"/>
        <w:numPr>
          <w:ilvl w:val="0"/>
          <w:numId w:val="41"/>
        </w:numPr>
        <w:tabs>
          <w:tab w:pos="674" w:val="left" w:leader="none"/>
          <w:tab w:pos="675" w:val="left" w:leader="none"/>
        </w:tabs>
        <w:spacing w:line="232" w:lineRule="auto" w:before="0" w:after="0"/>
        <w:ind w:left="194" w:right="38" w:firstLine="0"/>
        <w:jc w:val="left"/>
        <w:rPr>
          <w:sz w:val="18"/>
        </w:rPr>
      </w:pPr>
      <w:r>
        <w:rPr>
          <w:sz w:val="18"/>
        </w:rPr>
        <w:t>On balance, the Committee had assumed that net trade would make a negative contribution to GDP throughout the forecast period, reflecting the further rise in the sterling exchange rate and a likely increase in</w:t>
      </w:r>
      <w:r>
        <w:rPr>
          <w:spacing w:val="-4"/>
          <w:sz w:val="18"/>
        </w:rPr>
        <w:t> </w:t>
      </w:r>
      <w:r>
        <w:rPr>
          <w:sz w:val="18"/>
        </w:rPr>
        <w:t>imports.</w:t>
      </w:r>
    </w:p>
    <w:p>
      <w:pPr>
        <w:pStyle w:val="BodyText"/>
        <w:spacing w:before="4"/>
        <w:rPr>
          <w:sz w:val="20"/>
        </w:rPr>
      </w:pPr>
    </w:p>
    <w:p>
      <w:pPr>
        <w:pStyle w:val="Heading7"/>
      </w:pPr>
      <w:r>
        <w:rPr>
          <w:color w:val="009391"/>
        </w:rPr>
        <w:t>The labour market</w:t>
      </w:r>
    </w:p>
    <w:p>
      <w:pPr>
        <w:pStyle w:val="ListParagraph"/>
        <w:numPr>
          <w:ilvl w:val="0"/>
          <w:numId w:val="41"/>
        </w:numPr>
        <w:tabs>
          <w:tab w:pos="674" w:val="left" w:leader="none"/>
          <w:tab w:pos="675" w:val="left" w:leader="none"/>
        </w:tabs>
        <w:spacing w:line="232" w:lineRule="auto" w:before="110" w:after="0"/>
        <w:ind w:left="194" w:right="52" w:firstLine="0"/>
        <w:jc w:val="left"/>
        <w:rPr>
          <w:sz w:val="18"/>
        </w:rPr>
      </w:pPr>
      <w:r>
        <w:rPr>
          <w:sz w:val="18"/>
        </w:rPr>
        <w:t>There was some evidence that the labour market had tightened further. Over the quarter, claimant count unemployment had fallen to 4.2%, and the Labour Force Survey (LFS) measure to 5.9%. Employment had continued to rise, as had total hours worked. Some forward-looking indicators suggested continued tightening. Employment intentions, as measured by surveys, were up in all sectors and were above average historical levels. Skill shortages persisted according to the Bank’s regional Agents and surveys, but with differences across regions and different types of skill. The picture from surveys was mixed. The BCC measure of recruitment difficulties had fallen slightly in both manufacturing and services. The CBI survey showed skill shortages rising slightly but with the level still below its historical</w:t>
      </w:r>
      <w:r>
        <w:rPr>
          <w:spacing w:val="-17"/>
          <w:sz w:val="18"/>
        </w:rPr>
        <w:t> </w:t>
      </w:r>
      <w:r>
        <w:rPr>
          <w:sz w:val="18"/>
        </w:rPr>
        <w:t>average.</w:t>
      </w:r>
    </w:p>
    <w:p>
      <w:pPr>
        <w:pStyle w:val="BodyText"/>
        <w:spacing w:before="6"/>
        <w:rPr>
          <w:sz w:val="16"/>
        </w:rPr>
      </w:pPr>
    </w:p>
    <w:p>
      <w:pPr>
        <w:pStyle w:val="ListParagraph"/>
        <w:numPr>
          <w:ilvl w:val="0"/>
          <w:numId w:val="41"/>
        </w:numPr>
        <w:tabs>
          <w:tab w:pos="674" w:val="left" w:leader="none"/>
          <w:tab w:pos="675" w:val="left" w:leader="none"/>
        </w:tabs>
        <w:spacing w:line="232" w:lineRule="auto" w:before="0" w:after="0"/>
        <w:ind w:left="194" w:right="133" w:firstLine="0"/>
        <w:jc w:val="left"/>
        <w:rPr>
          <w:sz w:val="18"/>
        </w:rPr>
      </w:pPr>
      <w:r>
        <w:rPr>
          <w:sz w:val="18"/>
        </w:rPr>
        <w:t>Real earnings growth calculated on the basis of the Average Earnings Index (AEI) had been rising for some time, with the recent rate faster than would have been expected on the basis of the changes in unemployment and employment. As</w:t>
      </w:r>
      <w:r>
        <w:rPr>
          <w:spacing w:val="-21"/>
          <w:sz w:val="18"/>
        </w:rPr>
        <w:t> </w:t>
      </w:r>
      <w:r>
        <w:rPr>
          <w:sz w:val="18"/>
        </w:rPr>
        <w:t>noted</w:t>
      </w:r>
    </w:p>
    <w:p>
      <w:pPr>
        <w:pStyle w:val="BodyText"/>
        <w:spacing w:line="195" w:lineRule="exact"/>
        <w:ind w:left="194"/>
        <w:jc w:val="both"/>
      </w:pPr>
      <w:r>
        <w:rPr/>
        <w:t>above, one possible explanation for this was that a</w:t>
      </w:r>
    </w:p>
    <w:p>
      <w:pPr>
        <w:pStyle w:val="BodyText"/>
        <w:spacing w:line="232" w:lineRule="auto" w:before="1"/>
        <w:ind w:left="194" w:right="313"/>
        <w:jc w:val="both"/>
      </w:pPr>
      <w:r>
        <w:rPr/>
        <w:t>greater-than-generally-expected decline in inflation had boosted </w:t>
      </w:r>
      <w:r>
        <w:rPr>
          <w:i/>
        </w:rPr>
        <w:t>ex post </w:t>
      </w:r>
      <w:r>
        <w:rPr/>
        <w:t>real earnings. Another possible explanation was that the ‘natural’ rate of unemployment, the rate consistent with stable</w:t>
      </w:r>
    </w:p>
    <w:p>
      <w:pPr>
        <w:pStyle w:val="BodyText"/>
        <w:spacing w:line="232" w:lineRule="auto"/>
        <w:ind w:left="194" w:right="52"/>
      </w:pPr>
      <w:r>
        <w:rPr/>
        <w:t>inflation, was higher than the Committee had assumed in its August projections. Some members thought it unlikely that the ‘natural’ rate was below the current actual rate or that it was continuing to fall at the same rate as actual unemployment, so that there was good reason to think that labour market pressures had been increasing. Other members noted that the Reward Index showed earnings growth still trending lower and the New Earnings Survey also gave a more benign picture of earnings growth than the AEI. Although there were different interpretations of the latest data, the Committee agreed to take as its central projection a higher assumption for real earnings growth than in</w:t>
      </w:r>
      <w:r>
        <w:rPr>
          <w:spacing w:val="-15"/>
        </w:rPr>
        <w:t> </w:t>
      </w:r>
      <w:r>
        <w:rPr/>
        <w:t>August.</w:t>
      </w:r>
    </w:p>
    <w:p>
      <w:pPr>
        <w:pStyle w:val="BodyText"/>
        <w:spacing w:before="5"/>
        <w:rPr>
          <w:sz w:val="16"/>
        </w:rPr>
      </w:pPr>
    </w:p>
    <w:p>
      <w:pPr>
        <w:pStyle w:val="ListParagraph"/>
        <w:numPr>
          <w:ilvl w:val="0"/>
          <w:numId w:val="41"/>
        </w:numPr>
        <w:tabs>
          <w:tab w:pos="674" w:val="left" w:leader="none"/>
          <w:tab w:pos="675" w:val="left" w:leader="none"/>
        </w:tabs>
        <w:spacing w:line="232" w:lineRule="auto" w:before="0" w:after="0"/>
        <w:ind w:left="194" w:right="57" w:firstLine="0"/>
        <w:jc w:val="left"/>
        <w:rPr>
          <w:sz w:val="18"/>
        </w:rPr>
      </w:pPr>
      <w:r>
        <w:rPr>
          <w:sz w:val="18"/>
        </w:rPr>
        <w:t>The recent nominal pay data presented a second puzzle. On the one hand, settlements had remained around 3.5%. On the other hand, the AEI had risen at an annual rate of 4.9% in the three months to August.  Allowing for month-to-month volatility, the AEI series had been edging upwards in recent months. If the difference was a good guide to wage drift, it was possible that the recent rise in nominal earnings would be consolidated in forthcoming settlements. A survey by Industrial Relations Services pointed in the opposite direction, however.  In its latest survey, 43% of respondents had expected to make lower settlements than last year, 46% the same, and 11% higher. Last year, only 23% had expected lower settlements than the previous year, and 26% had expected higher. It was suggested that the apparent fall in expected settlements this year might reflect the low recent RPI outturns (1.1% in August and September) and expectations that RPIX would remain below the 2</w:t>
      </w:r>
      <w:r>
        <w:rPr>
          <w:position w:val="6"/>
          <w:sz w:val="9"/>
        </w:rPr>
        <w:t>1</w:t>
      </w:r>
      <w:r>
        <w:rPr>
          <w:sz w:val="18"/>
        </w:rPr>
        <w:t>/</w:t>
      </w:r>
      <w:r>
        <w:rPr>
          <w:sz w:val="9"/>
        </w:rPr>
        <w:t>2</w:t>
      </w:r>
      <w:r>
        <w:rPr>
          <w:sz w:val="18"/>
        </w:rPr>
        <w:t>% target for a while. Anecdotal evidence on this, based partly on Committee members’ own regional</w:t>
      </w:r>
      <w:r>
        <w:rPr>
          <w:spacing w:val="-29"/>
          <w:sz w:val="18"/>
        </w:rPr>
        <w:t> </w:t>
      </w:r>
      <w:r>
        <w:rPr>
          <w:sz w:val="18"/>
        </w:rPr>
        <w:t>visits,</w:t>
      </w:r>
    </w:p>
    <w:p>
      <w:pPr>
        <w:pStyle w:val="BodyText"/>
        <w:spacing w:before="4"/>
        <w:rPr>
          <w:sz w:val="21"/>
        </w:rPr>
      </w:pPr>
      <w:r>
        <w:rPr/>
        <w:br w:type="column"/>
      </w:r>
      <w:r>
        <w:rPr>
          <w:sz w:val="21"/>
        </w:rPr>
      </w:r>
    </w:p>
    <w:p>
      <w:pPr>
        <w:pStyle w:val="BodyText"/>
        <w:spacing w:line="232" w:lineRule="auto" w:before="1"/>
        <w:ind w:left="194" w:right="149"/>
      </w:pPr>
      <w:r>
        <w:rPr/>
        <w:t>varied. There were suggestions both that RPI was the starting point in negotiations, and that the benchmark was the higher of RPI or RPIX. Some employers had suggested that the recent outturn of around 1% was not a feasible starting point; before allowing for productivity improvements, it was easier to argue either for zero if necessary on the basis of a particular company’s circumstances,</w:t>
      </w:r>
    </w:p>
    <w:p>
      <w:pPr>
        <w:pStyle w:val="BodyText"/>
        <w:spacing w:line="232" w:lineRule="auto"/>
        <w:ind w:left="194" w:right="262" w:hanging="1"/>
      </w:pPr>
      <w:r>
        <w:rPr/>
        <w:t>or alternatively for 2</w:t>
      </w:r>
      <w:r>
        <w:rPr>
          <w:position w:val="6"/>
          <w:sz w:val="9"/>
        </w:rPr>
        <w:t>1</w:t>
      </w:r>
      <w:r>
        <w:rPr/>
        <w:t>/</w:t>
      </w:r>
      <w:r>
        <w:rPr>
          <w:sz w:val="9"/>
        </w:rPr>
        <w:t>2</w:t>
      </w:r>
      <w:r>
        <w:rPr/>
        <w:t>% reflecting the inflation target and so medium-term inflation expectations. The Committee noted that there would not be much hard data on settlements until the new year, although the Bank’s regional Agents would monitor, through their contacts, the emerging evidence.</w:t>
      </w:r>
    </w:p>
    <w:p>
      <w:pPr>
        <w:pStyle w:val="BodyText"/>
        <w:spacing w:before="7"/>
        <w:rPr>
          <w:sz w:val="16"/>
        </w:rPr>
      </w:pPr>
    </w:p>
    <w:p>
      <w:pPr>
        <w:pStyle w:val="ListParagraph"/>
        <w:numPr>
          <w:ilvl w:val="0"/>
          <w:numId w:val="41"/>
        </w:numPr>
        <w:tabs>
          <w:tab w:pos="674" w:val="left" w:leader="none"/>
          <w:tab w:pos="675" w:val="left" w:leader="none"/>
        </w:tabs>
        <w:spacing w:line="232" w:lineRule="auto" w:before="0" w:after="0"/>
        <w:ind w:left="194" w:right="172" w:firstLine="0"/>
        <w:jc w:val="left"/>
        <w:rPr>
          <w:sz w:val="18"/>
        </w:rPr>
      </w:pPr>
      <w:r>
        <w:rPr>
          <w:sz w:val="18"/>
        </w:rPr>
        <w:t>Whatever</w:t>
      </w:r>
      <w:r>
        <w:rPr>
          <w:spacing w:val="-7"/>
          <w:sz w:val="18"/>
        </w:rPr>
        <w:t> </w:t>
      </w:r>
      <w:r>
        <w:rPr>
          <w:sz w:val="18"/>
        </w:rPr>
        <w:t>the</w:t>
      </w:r>
      <w:r>
        <w:rPr>
          <w:spacing w:val="-7"/>
          <w:sz w:val="18"/>
        </w:rPr>
        <w:t> </w:t>
      </w:r>
      <w:r>
        <w:rPr>
          <w:sz w:val="18"/>
        </w:rPr>
        <w:t>position,</w:t>
      </w:r>
      <w:r>
        <w:rPr>
          <w:spacing w:val="-6"/>
          <w:sz w:val="18"/>
        </w:rPr>
        <w:t> </w:t>
      </w:r>
      <w:r>
        <w:rPr>
          <w:sz w:val="18"/>
        </w:rPr>
        <w:t>it</w:t>
      </w:r>
      <w:r>
        <w:rPr>
          <w:spacing w:val="-7"/>
          <w:sz w:val="18"/>
        </w:rPr>
        <w:t> </w:t>
      </w:r>
      <w:r>
        <w:rPr>
          <w:sz w:val="18"/>
        </w:rPr>
        <w:t>was</w:t>
      </w:r>
      <w:r>
        <w:rPr>
          <w:spacing w:val="-6"/>
          <w:sz w:val="18"/>
        </w:rPr>
        <w:t> </w:t>
      </w:r>
      <w:r>
        <w:rPr>
          <w:sz w:val="18"/>
        </w:rPr>
        <w:t>possible</w:t>
      </w:r>
      <w:r>
        <w:rPr>
          <w:spacing w:val="-7"/>
          <w:sz w:val="18"/>
        </w:rPr>
        <w:t> </w:t>
      </w:r>
      <w:r>
        <w:rPr>
          <w:sz w:val="18"/>
        </w:rPr>
        <w:t>that</w:t>
      </w:r>
      <w:r>
        <w:rPr>
          <w:spacing w:val="-7"/>
          <w:sz w:val="18"/>
        </w:rPr>
        <w:t> </w:t>
      </w:r>
      <w:r>
        <w:rPr>
          <w:sz w:val="18"/>
        </w:rPr>
        <w:t>settlements—both backward-looking data and forward-looking surveys—were now less reliable indicators of labour market conditions given the decline in collective bargaining, and the increase in personalised remuneration, over recent years. If so, relatively more weight needed</w:t>
      </w:r>
      <w:r>
        <w:rPr>
          <w:spacing w:val="-4"/>
          <w:sz w:val="18"/>
        </w:rPr>
        <w:t> </w:t>
      </w:r>
      <w:r>
        <w:rPr>
          <w:sz w:val="18"/>
        </w:rPr>
        <w:t>to</w:t>
      </w:r>
      <w:r>
        <w:rPr>
          <w:spacing w:val="-3"/>
          <w:sz w:val="18"/>
        </w:rPr>
        <w:t> </w:t>
      </w:r>
      <w:r>
        <w:rPr>
          <w:sz w:val="18"/>
        </w:rPr>
        <w:t>be</w:t>
      </w:r>
      <w:r>
        <w:rPr>
          <w:spacing w:val="-4"/>
          <w:sz w:val="18"/>
        </w:rPr>
        <w:t> </w:t>
      </w:r>
      <w:r>
        <w:rPr>
          <w:sz w:val="18"/>
        </w:rPr>
        <w:t>placed</w:t>
      </w:r>
      <w:r>
        <w:rPr>
          <w:spacing w:val="-3"/>
          <w:sz w:val="18"/>
        </w:rPr>
        <w:t> </w:t>
      </w:r>
      <w:r>
        <w:rPr>
          <w:sz w:val="18"/>
        </w:rPr>
        <w:t>on</w:t>
      </w:r>
      <w:r>
        <w:rPr>
          <w:spacing w:val="-4"/>
          <w:sz w:val="18"/>
        </w:rPr>
        <w:t> </w:t>
      </w:r>
      <w:r>
        <w:rPr>
          <w:sz w:val="18"/>
        </w:rPr>
        <w:t>the</w:t>
      </w:r>
      <w:r>
        <w:rPr>
          <w:spacing w:val="-3"/>
          <w:sz w:val="18"/>
        </w:rPr>
        <w:t> </w:t>
      </w:r>
      <w:r>
        <w:rPr>
          <w:sz w:val="18"/>
        </w:rPr>
        <w:t>path</w:t>
      </w:r>
      <w:r>
        <w:rPr>
          <w:spacing w:val="-4"/>
          <w:sz w:val="18"/>
        </w:rPr>
        <w:t> </w:t>
      </w:r>
      <w:r>
        <w:rPr>
          <w:sz w:val="18"/>
        </w:rPr>
        <w:t>of</w:t>
      </w:r>
      <w:r>
        <w:rPr>
          <w:spacing w:val="-3"/>
          <w:sz w:val="18"/>
        </w:rPr>
        <w:t> </w:t>
      </w:r>
      <w:r>
        <w:rPr>
          <w:sz w:val="18"/>
        </w:rPr>
        <w:t>broader</w:t>
      </w:r>
      <w:r>
        <w:rPr>
          <w:spacing w:val="-3"/>
          <w:sz w:val="18"/>
        </w:rPr>
        <w:t> </w:t>
      </w:r>
      <w:r>
        <w:rPr>
          <w:sz w:val="18"/>
        </w:rPr>
        <w:t>measures</w:t>
      </w:r>
      <w:r>
        <w:rPr>
          <w:spacing w:val="-4"/>
          <w:sz w:val="18"/>
        </w:rPr>
        <w:t> </w:t>
      </w:r>
      <w:r>
        <w:rPr>
          <w:sz w:val="18"/>
        </w:rPr>
        <w:t>of</w:t>
      </w:r>
      <w:r>
        <w:rPr>
          <w:spacing w:val="-3"/>
          <w:sz w:val="18"/>
        </w:rPr>
        <w:t> </w:t>
      </w:r>
      <w:r>
        <w:rPr>
          <w:sz w:val="18"/>
        </w:rPr>
        <w:t>earnings.</w:t>
      </w:r>
    </w:p>
    <w:p>
      <w:pPr>
        <w:pStyle w:val="BodyText"/>
        <w:rPr>
          <w:sz w:val="17"/>
        </w:rPr>
      </w:pPr>
    </w:p>
    <w:p>
      <w:pPr>
        <w:pStyle w:val="ListParagraph"/>
        <w:numPr>
          <w:ilvl w:val="0"/>
          <w:numId w:val="41"/>
        </w:numPr>
        <w:tabs>
          <w:tab w:pos="674" w:val="left" w:leader="none"/>
          <w:tab w:pos="675" w:val="left" w:leader="none"/>
        </w:tabs>
        <w:spacing w:line="232" w:lineRule="auto" w:before="0" w:after="0"/>
        <w:ind w:left="194" w:right="248" w:firstLine="0"/>
        <w:jc w:val="left"/>
        <w:rPr>
          <w:sz w:val="18"/>
        </w:rPr>
      </w:pPr>
      <w:r>
        <w:rPr>
          <w:sz w:val="18"/>
        </w:rPr>
        <w:t>The Committee as a whole agreed that its assessment of labour market conditions was highly uncertain. Structural changes and the new monetary regime meant that behaviour may have changed, but it was impossible to know by how much. Looking forward, the quantity data, particularly the LFS series, would be important indicators of whether there were any further tightening, and possibly of its speed. But what mattered was the extent of pressure on labour supply, for which there was no direct measure, and the extent to which this was translated into nominal earnings growth and</w:t>
      </w:r>
      <w:r>
        <w:rPr>
          <w:spacing w:val="-3"/>
          <w:sz w:val="18"/>
        </w:rPr>
        <w:t> </w:t>
      </w:r>
      <w:r>
        <w:rPr>
          <w:sz w:val="18"/>
        </w:rPr>
        <w:t>settlements.</w:t>
      </w:r>
    </w:p>
    <w:p>
      <w:pPr>
        <w:pStyle w:val="BodyText"/>
        <w:rPr>
          <w:sz w:val="20"/>
        </w:rPr>
      </w:pPr>
    </w:p>
    <w:p>
      <w:pPr>
        <w:pStyle w:val="Heading7"/>
      </w:pPr>
      <w:r>
        <w:rPr>
          <w:color w:val="009391"/>
        </w:rPr>
        <w:t>Prices and costs</w:t>
      </w:r>
    </w:p>
    <w:p>
      <w:pPr>
        <w:pStyle w:val="ListParagraph"/>
        <w:numPr>
          <w:ilvl w:val="0"/>
          <w:numId w:val="41"/>
        </w:numPr>
        <w:tabs>
          <w:tab w:pos="674" w:val="left" w:leader="none"/>
          <w:tab w:pos="675" w:val="left" w:leader="none"/>
        </w:tabs>
        <w:spacing w:line="232" w:lineRule="auto" w:before="109" w:after="0"/>
        <w:ind w:left="194" w:right="253" w:firstLine="0"/>
        <w:jc w:val="left"/>
        <w:rPr>
          <w:sz w:val="18"/>
        </w:rPr>
      </w:pPr>
      <w:r>
        <w:rPr>
          <w:sz w:val="18"/>
        </w:rPr>
        <w:t>The</w:t>
      </w:r>
      <w:r>
        <w:rPr>
          <w:spacing w:val="-6"/>
          <w:sz w:val="18"/>
        </w:rPr>
        <w:t> </w:t>
      </w:r>
      <w:r>
        <w:rPr>
          <w:sz w:val="18"/>
        </w:rPr>
        <w:t>main</w:t>
      </w:r>
      <w:r>
        <w:rPr>
          <w:spacing w:val="-6"/>
          <w:sz w:val="18"/>
        </w:rPr>
        <w:t> </w:t>
      </w:r>
      <w:r>
        <w:rPr>
          <w:sz w:val="18"/>
        </w:rPr>
        <w:t>issue</w:t>
      </w:r>
      <w:r>
        <w:rPr>
          <w:spacing w:val="-6"/>
          <w:sz w:val="18"/>
        </w:rPr>
        <w:t> </w:t>
      </w:r>
      <w:r>
        <w:rPr>
          <w:sz w:val="18"/>
        </w:rPr>
        <w:t>concerning</w:t>
      </w:r>
      <w:r>
        <w:rPr>
          <w:spacing w:val="-5"/>
          <w:sz w:val="18"/>
        </w:rPr>
        <w:t> </w:t>
      </w:r>
      <w:r>
        <w:rPr>
          <w:sz w:val="18"/>
        </w:rPr>
        <w:t>prices</w:t>
      </w:r>
      <w:r>
        <w:rPr>
          <w:spacing w:val="-6"/>
          <w:sz w:val="18"/>
        </w:rPr>
        <w:t> </w:t>
      </w:r>
      <w:r>
        <w:rPr>
          <w:sz w:val="18"/>
        </w:rPr>
        <w:t>was</w:t>
      </w:r>
      <w:r>
        <w:rPr>
          <w:spacing w:val="-6"/>
          <w:sz w:val="18"/>
        </w:rPr>
        <w:t> </w:t>
      </w:r>
      <w:r>
        <w:rPr>
          <w:sz w:val="18"/>
        </w:rPr>
        <w:t>the</w:t>
      </w:r>
      <w:r>
        <w:rPr>
          <w:spacing w:val="-5"/>
          <w:sz w:val="18"/>
        </w:rPr>
        <w:t> </w:t>
      </w:r>
      <w:r>
        <w:rPr>
          <w:sz w:val="18"/>
        </w:rPr>
        <w:t>prospective</w:t>
      </w:r>
      <w:r>
        <w:rPr>
          <w:spacing w:val="-6"/>
          <w:sz w:val="18"/>
        </w:rPr>
        <w:t> </w:t>
      </w:r>
      <w:r>
        <w:rPr>
          <w:sz w:val="18"/>
        </w:rPr>
        <w:t>effect on the aggregate price level, and thus on measured inflation in the short-to-medium term, of various expected developments. In particular, the Committee had made allowance in its </w:t>
      </w:r>
      <w:r>
        <w:rPr>
          <w:i/>
          <w:sz w:val="18"/>
        </w:rPr>
        <w:t>Inflation </w:t>
      </w:r>
      <w:r>
        <w:rPr>
          <w:i/>
          <w:sz w:val="18"/>
        </w:rPr>
        <w:t>Report </w:t>
      </w:r>
      <w:r>
        <w:rPr>
          <w:sz w:val="18"/>
        </w:rPr>
        <w:t>projections for falls in price-cost margins reflecting an increase in competition; utility prices changes; and the Government’s intention, announced in its pre-Budget Report published on 9 November, of removing the</w:t>
      </w:r>
      <w:r>
        <w:rPr>
          <w:spacing w:val="-15"/>
          <w:sz w:val="18"/>
        </w:rPr>
        <w:t> </w:t>
      </w:r>
      <w:r>
        <w:rPr>
          <w:sz w:val="18"/>
        </w:rPr>
        <w:t>automatic</w:t>
      </w:r>
    </w:p>
    <w:p>
      <w:pPr>
        <w:pStyle w:val="BodyText"/>
        <w:spacing w:line="232" w:lineRule="auto"/>
        <w:ind w:left="194" w:right="149"/>
      </w:pPr>
      <w:r>
        <w:rPr/>
        <w:t>over-indexation of duties on tobacco and fuel. Taken together, on the agreed assumptions these reduced the central projection for RPIX inflation by around half a percentage point at the two-year horizon (and more before that).</w:t>
      </w:r>
    </w:p>
    <w:p>
      <w:pPr>
        <w:pStyle w:val="BodyText"/>
        <w:spacing w:before="7"/>
        <w:rPr>
          <w:sz w:val="16"/>
        </w:rPr>
      </w:pPr>
    </w:p>
    <w:p>
      <w:pPr>
        <w:pStyle w:val="ListParagraph"/>
        <w:numPr>
          <w:ilvl w:val="0"/>
          <w:numId w:val="41"/>
        </w:numPr>
        <w:tabs>
          <w:tab w:pos="674" w:val="left" w:leader="none"/>
          <w:tab w:pos="675" w:val="left" w:leader="none"/>
        </w:tabs>
        <w:spacing w:line="232" w:lineRule="auto" w:before="0" w:after="0"/>
        <w:ind w:left="194" w:right="283" w:firstLine="0"/>
        <w:jc w:val="left"/>
        <w:rPr>
          <w:sz w:val="18"/>
        </w:rPr>
      </w:pPr>
      <w:r>
        <w:rPr>
          <w:sz w:val="18"/>
        </w:rPr>
        <w:t>Some members were content with the assumed effects for the first year but preferred a smaller effect in the second year. This was for two reasons. First, they were concerned that the Committee</w:t>
      </w:r>
      <w:r>
        <w:rPr>
          <w:spacing w:val="-6"/>
          <w:sz w:val="18"/>
        </w:rPr>
        <w:t> </w:t>
      </w:r>
      <w:r>
        <w:rPr>
          <w:sz w:val="18"/>
        </w:rPr>
        <w:t>had</w:t>
      </w:r>
      <w:r>
        <w:rPr>
          <w:spacing w:val="-5"/>
          <w:sz w:val="18"/>
        </w:rPr>
        <w:t> </w:t>
      </w:r>
      <w:r>
        <w:rPr>
          <w:sz w:val="18"/>
        </w:rPr>
        <w:t>focused</w:t>
      </w:r>
      <w:r>
        <w:rPr>
          <w:spacing w:val="-6"/>
          <w:sz w:val="18"/>
        </w:rPr>
        <w:t> </w:t>
      </w:r>
      <w:r>
        <w:rPr>
          <w:sz w:val="18"/>
        </w:rPr>
        <w:t>on</w:t>
      </w:r>
      <w:r>
        <w:rPr>
          <w:spacing w:val="-5"/>
          <w:sz w:val="18"/>
        </w:rPr>
        <w:t> </w:t>
      </w:r>
      <w:r>
        <w:rPr>
          <w:sz w:val="18"/>
        </w:rPr>
        <w:t>some</w:t>
      </w:r>
      <w:r>
        <w:rPr>
          <w:spacing w:val="-6"/>
          <w:sz w:val="18"/>
        </w:rPr>
        <w:t> </w:t>
      </w:r>
      <w:r>
        <w:rPr>
          <w:sz w:val="18"/>
        </w:rPr>
        <w:t>one-off</w:t>
      </w:r>
      <w:r>
        <w:rPr>
          <w:spacing w:val="-5"/>
          <w:sz w:val="18"/>
        </w:rPr>
        <w:t> </w:t>
      </w:r>
      <w:r>
        <w:rPr>
          <w:sz w:val="18"/>
        </w:rPr>
        <w:t>price</w:t>
      </w:r>
      <w:r>
        <w:rPr>
          <w:spacing w:val="-6"/>
          <w:sz w:val="18"/>
        </w:rPr>
        <w:t> </w:t>
      </w:r>
      <w:r>
        <w:rPr>
          <w:sz w:val="18"/>
        </w:rPr>
        <w:t>falls,</w:t>
      </w:r>
      <w:r>
        <w:rPr>
          <w:spacing w:val="-5"/>
          <w:sz w:val="18"/>
        </w:rPr>
        <w:t> </w:t>
      </w:r>
      <w:r>
        <w:rPr>
          <w:sz w:val="18"/>
        </w:rPr>
        <w:t>whereas</w:t>
      </w:r>
      <w:r>
        <w:rPr>
          <w:spacing w:val="-6"/>
          <w:sz w:val="18"/>
        </w:rPr>
        <w:t> </w:t>
      </w:r>
      <w:r>
        <w:rPr>
          <w:sz w:val="18"/>
        </w:rPr>
        <w:t>there might be some one-off upward pressures as well; for example, it was conceivable that, as real incomes and wealth rose, consumers were switching from cheaper, standard goods to</w:t>
      </w:r>
      <w:r>
        <w:rPr>
          <w:spacing w:val="-33"/>
          <w:sz w:val="18"/>
        </w:rPr>
        <w:t> </w:t>
      </w:r>
      <w:r>
        <w:rPr>
          <w:sz w:val="18"/>
        </w:rPr>
        <w:t>higher-margin,</w:t>
      </w:r>
    </w:p>
    <w:p>
      <w:pPr>
        <w:pStyle w:val="BodyText"/>
        <w:spacing w:line="232" w:lineRule="auto"/>
        <w:ind w:left="194" w:right="149"/>
      </w:pPr>
      <w:r>
        <w:rPr/>
        <w:t>customised or designer products. Second, there were doubts about reflecting expected changes in relative prices in the aggregate nominal price level at longer horizons given that, by targeting inflation, the Committee influenced nominal, not real, demand growth over the medium term. While the particular downward pressures might plausibly be unanticipated in the near-term, they would more likely be anticipated as time passed. In that case, the effects of relative price changes might not show up as a decline in the overall rate of inflation over the medium run.</w:t>
      </w:r>
    </w:p>
    <w:p>
      <w:pPr>
        <w:pStyle w:val="BodyText"/>
        <w:spacing w:before="3"/>
        <w:rPr>
          <w:sz w:val="16"/>
        </w:rPr>
      </w:pPr>
    </w:p>
    <w:p>
      <w:pPr>
        <w:pStyle w:val="ListParagraph"/>
        <w:numPr>
          <w:ilvl w:val="0"/>
          <w:numId w:val="41"/>
        </w:numPr>
        <w:tabs>
          <w:tab w:pos="674" w:val="left" w:leader="none"/>
          <w:tab w:pos="675" w:val="left" w:leader="none"/>
        </w:tabs>
        <w:spacing w:line="232" w:lineRule="auto" w:before="1" w:after="0"/>
        <w:ind w:left="194" w:right="168" w:firstLine="0"/>
        <w:jc w:val="left"/>
        <w:rPr>
          <w:sz w:val="18"/>
        </w:rPr>
      </w:pPr>
      <w:r>
        <w:rPr>
          <w:sz w:val="18"/>
        </w:rPr>
        <w:t>While agreeing that this analysis applied in the medium to long run, those members who supported the central assumption in the forecast argued that there was sufficiently clear evidence that the downward influences on prices would increase during at least the next two years. They agreed that it was difficult to calibrate the short-run impact of longer-term structural changes such as intensified competition. The Committee agreed that the size and persistence of the specific effects were inevitably uncertain, making it important to monitor the specific effects reflected in the published</w:t>
      </w:r>
      <w:r>
        <w:rPr>
          <w:spacing w:val="-2"/>
          <w:sz w:val="18"/>
        </w:rPr>
        <w:t> </w:t>
      </w:r>
      <w:r>
        <w:rPr>
          <w:sz w:val="18"/>
        </w:rPr>
        <w:t>projections.</w:t>
      </w:r>
    </w:p>
    <w:p>
      <w:pPr>
        <w:spacing w:after="0" w:line="232" w:lineRule="auto"/>
        <w:jc w:val="left"/>
        <w:rPr>
          <w:sz w:val="18"/>
        </w:rPr>
        <w:sectPr>
          <w:type w:val="continuous"/>
          <w:pgSz w:w="11900" w:h="16840"/>
          <w:pgMar w:top="1220" w:bottom="280" w:left="620" w:right="640"/>
          <w:cols w:num="2" w:equalWidth="0">
            <w:col w:w="5133" w:space="250"/>
            <w:col w:w="5257"/>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3"/>
        <w:rPr>
          <w:sz w:val="19"/>
        </w:rPr>
      </w:pPr>
    </w:p>
    <w:p>
      <w:pPr>
        <w:pStyle w:val="Heading7"/>
        <w:ind w:left="200"/>
      </w:pPr>
      <w:r>
        <w:rPr>
          <w:color w:val="009391"/>
        </w:rPr>
        <w:t>Money, credit and asset prices</w:t>
      </w:r>
    </w:p>
    <w:p>
      <w:pPr>
        <w:pStyle w:val="ListParagraph"/>
        <w:numPr>
          <w:ilvl w:val="0"/>
          <w:numId w:val="41"/>
        </w:numPr>
        <w:tabs>
          <w:tab w:pos="679" w:val="left" w:leader="none"/>
          <w:tab w:pos="680" w:val="left" w:leader="none"/>
        </w:tabs>
        <w:spacing w:line="232" w:lineRule="auto" w:before="110" w:after="0"/>
        <w:ind w:left="200" w:right="92" w:firstLine="0"/>
        <w:jc w:val="left"/>
        <w:rPr>
          <w:sz w:val="18"/>
        </w:rPr>
      </w:pPr>
      <w:r>
        <w:rPr>
          <w:sz w:val="18"/>
        </w:rPr>
        <w:t>M4 growth had continued to fall, the twelve-month rate reaching 2.8% in Q3, the slowest growth rate since 1963 (when the series began). But this reflected continued falls in the money holdings of non-bank financial institutions (OFCs). OFC money and credit were generally regarded as being most relevant to analysis of monetary conditions during periods of financial market instability.</w:t>
      </w:r>
    </w:p>
    <w:p>
      <w:pPr>
        <w:pStyle w:val="BodyText"/>
        <w:spacing w:before="10"/>
        <w:rPr>
          <w:sz w:val="16"/>
        </w:rPr>
      </w:pPr>
    </w:p>
    <w:p>
      <w:pPr>
        <w:pStyle w:val="ListParagraph"/>
        <w:numPr>
          <w:ilvl w:val="0"/>
          <w:numId w:val="41"/>
        </w:numPr>
        <w:tabs>
          <w:tab w:pos="679" w:val="left" w:leader="none"/>
          <w:tab w:pos="680" w:val="left" w:leader="none"/>
        </w:tabs>
        <w:spacing w:line="232" w:lineRule="auto" w:before="0" w:after="0"/>
        <w:ind w:left="200" w:right="46" w:firstLine="0"/>
        <w:jc w:val="left"/>
        <w:rPr>
          <w:sz w:val="18"/>
        </w:rPr>
      </w:pPr>
      <w:r>
        <w:rPr>
          <w:sz w:val="18"/>
        </w:rPr>
        <w:t>Excluding OFCs, annual broad money growth had been 6.1% in Q3. Within this, household M4 growth was 6.4%. M0 and household Divisia growth were each around 7%. Growth in net credit to households was 8.6% in Q3, the highest rate since 1991. These data were broadly corroborative of the real-side evidence of continuing robust consumption</w:t>
      </w:r>
      <w:r>
        <w:rPr>
          <w:spacing w:val="-5"/>
          <w:sz w:val="18"/>
        </w:rPr>
        <w:t> </w:t>
      </w:r>
      <w:r>
        <w:rPr>
          <w:sz w:val="18"/>
        </w:rPr>
        <w:t>growth.</w:t>
      </w:r>
    </w:p>
    <w:p>
      <w:pPr>
        <w:pStyle w:val="BodyText"/>
        <w:rPr>
          <w:sz w:val="17"/>
        </w:rPr>
      </w:pPr>
    </w:p>
    <w:p>
      <w:pPr>
        <w:pStyle w:val="ListParagraph"/>
        <w:numPr>
          <w:ilvl w:val="0"/>
          <w:numId w:val="41"/>
        </w:numPr>
        <w:tabs>
          <w:tab w:pos="679" w:val="left" w:leader="none"/>
          <w:tab w:pos="680" w:val="left" w:leader="none"/>
        </w:tabs>
        <w:spacing w:line="232" w:lineRule="auto" w:before="0" w:after="0"/>
        <w:ind w:left="199" w:right="87" w:firstLine="0"/>
        <w:jc w:val="left"/>
        <w:rPr>
          <w:sz w:val="18"/>
        </w:rPr>
      </w:pPr>
      <w:r>
        <w:rPr>
          <w:sz w:val="18"/>
        </w:rPr>
        <w:t>The FT All-Share Index had risen by about 2</w:t>
      </w:r>
      <w:r>
        <w:rPr>
          <w:position w:val="6"/>
          <w:sz w:val="9"/>
        </w:rPr>
        <w:t>1</w:t>
      </w:r>
      <w:r>
        <w:rPr>
          <w:sz w:val="18"/>
        </w:rPr>
        <w:t>/</w:t>
      </w:r>
      <w:r>
        <w:rPr>
          <w:sz w:val="9"/>
        </w:rPr>
        <w:t>2</w:t>
      </w:r>
      <w:r>
        <w:rPr>
          <w:sz w:val="18"/>
        </w:rPr>
        <w:t>% over the past month, and was at about the same level as in August. House prices continued to rise rapidly, with the twelve month rate on both the Halifax and Nationwide indices above 10%. As already noted, since the August </w:t>
      </w:r>
      <w:r>
        <w:rPr>
          <w:i/>
          <w:sz w:val="18"/>
        </w:rPr>
        <w:t>Inflation Report </w:t>
      </w:r>
      <w:r>
        <w:rPr>
          <w:sz w:val="18"/>
        </w:rPr>
        <w:t>the sterling yield curve had steepened out to medium</w:t>
      </w:r>
      <w:r>
        <w:rPr>
          <w:spacing w:val="-6"/>
          <w:sz w:val="18"/>
        </w:rPr>
        <w:t> </w:t>
      </w:r>
      <w:r>
        <w:rPr>
          <w:sz w:val="18"/>
        </w:rPr>
        <w:t>maturities.</w:t>
      </w:r>
    </w:p>
    <w:p>
      <w:pPr>
        <w:pStyle w:val="BodyText"/>
        <w:rPr>
          <w:sz w:val="17"/>
        </w:rPr>
      </w:pPr>
    </w:p>
    <w:p>
      <w:pPr>
        <w:pStyle w:val="ListParagraph"/>
        <w:numPr>
          <w:ilvl w:val="0"/>
          <w:numId w:val="41"/>
        </w:numPr>
        <w:tabs>
          <w:tab w:pos="679" w:val="left" w:leader="none"/>
          <w:tab w:pos="680" w:val="left" w:leader="none"/>
        </w:tabs>
        <w:spacing w:line="232" w:lineRule="auto" w:before="0" w:after="0"/>
        <w:ind w:left="199" w:right="38" w:firstLine="0"/>
        <w:jc w:val="left"/>
        <w:rPr>
          <w:sz w:val="18"/>
        </w:rPr>
      </w:pPr>
      <w:r>
        <w:rPr>
          <w:sz w:val="18"/>
        </w:rPr>
        <w:t>The sterling exchange rate index had risen by over half a percentage point since the Committee’s October meeting and was about three percentage points above the path assumed in the August fan chart projections. The Committee agreed to incorporate in its published November projections an assumption that sterling would be half way between its current rate and a path related to market interest rate differentials, with the sensitivity of the projections to both shown in the </w:t>
      </w:r>
      <w:r>
        <w:rPr>
          <w:i/>
          <w:sz w:val="18"/>
        </w:rPr>
        <w:t>Inflation Report</w:t>
      </w:r>
      <w:r>
        <w:rPr>
          <w:sz w:val="18"/>
        </w:rPr>
        <w:t>. Some members inclined towards the former, and some preferred the</w:t>
      </w:r>
      <w:r>
        <w:rPr>
          <w:spacing w:val="-14"/>
          <w:sz w:val="18"/>
        </w:rPr>
        <w:t> </w:t>
      </w:r>
      <w:r>
        <w:rPr>
          <w:sz w:val="18"/>
        </w:rPr>
        <w:t>latter.</w:t>
      </w:r>
    </w:p>
    <w:p>
      <w:pPr>
        <w:pStyle w:val="BodyText"/>
        <w:rPr>
          <w:sz w:val="20"/>
        </w:rPr>
      </w:pPr>
    </w:p>
    <w:p>
      <w:pPr>
        <w:pStyle w:val="Heading7"/>
        <w:spacing w:before="1"/>
        <w:ind w:left="200"/>
      </w:pPr>
      <w:r>
        <w:rPr>
          <w:color w:val="009391"/>
        </w:rPr>
        <w:t>The world economic</w:t>
      </w:r>
      <w:r>
        <w:rPr>
          <w:color w:val="009391"/>
          <w:spacing w:val="-25"/>
        </w:rPr>
        <w:t> </w:t>
      </w:r>
      <w:r>
        <w:rPr>
          <w:color w:val="009391"/>
        </w:rPr>
        <w:t>outlook</w:t>
      </w:r>
    </w:p>
    <w:p>
      <w:pPr>
        <w:pStyle w:val="ListParagraph"/>
        <w:numPr>
          <w:ilvl w:val="0"/>
          <w:numId w:val="41"/>
        </w:numPr>
        <w:tabs>
          <w:tab w:pos="679" w:val="left" w:leader="none"/>
          <w:tab w:pos="680" w:val="left" w:leader="none"/>
        </w:tabs>
        <w:spacing w:line="232" w:lineRule="auto" w:before="109" w:after="0"/>
        <w:ind w:left="200" w:right="73" w:firstLine="0"/>
        <w:jc w:val="left"/>
        <w:rPr>
          <w:sz w:val="18"/>
        </w:rPr>
      </w:pPr>
      <w:r>
        <w:rPr>
          <w:sz w:val="18"/>
        </w:rPr>
        <w:t>The Committee noted the assumptions it had made in its latest projections. The outlook in each of the US, the euro area and Japan was somewhat better, and prospects among the emerging market economies had generally improved.  The overall picture was therefore slightly stronger than assumed in the Committee’s August projection, although there remained clear downside risks from the possibility of an equity price correction in the USA and persistent current account</w:t>
      </w:r>
      <w:r>
        <w:rPr>
          <w:spacing w:val="-5"/>
          <w:sz w:val="18"/>
        </w:rPr>
        <w:t> </w:t>
      </w:r>
      <w:r>
        <w:rPr>
          <w:sz w:val="18"/>
        </w:rPr>
        <w:t>imbalances.</w:t>
      </w:r>
    </w:p>
    <w:p>
      <w:pPr>
        <w:pStyle w:val="BodyText"/>
        <w:spacing w:before="10"/>
        <w:rPr>
          <w:sz w:val="16"/>
        </w:rPr>
      </w:pPr>
    </w:p>
    <w:p>
      <w:pPr>
        <w:pStyle w:val="ListParagraph"/>
        <w:numPr>
          <w:ilvl w:val="0"/>
          <w:numId w:val="41"/>
        </w:numPr>
        <w:tabs>
          <w:tab w:pos="679" w:val="left" w:leader="none"/>
          <w:tab w:pos="680" w:val="left" w:leader="none"/>
        </w:tabs>
        <w:spacing w:line="232" w:lineRule="auto" w:before="0" w:after="0"/>
        <w:ind w:left="200" w:right="177" w:firstLine="0"/>
        <w:jc w:val="left"/>
        <w:rPr>
          <w:sz w:val="18"/>
        </w:rPr>
      </w:pPr>
      <w:r>
        <w:rPr>
          <w:sz w:val="18"/>
        </w:rPr>
        <w:t>Against this background, Committee members agreed that the outlook for world prices looked less benign than at the time of the August </w:t>
      </w:r>
      <w:r>
        <w:rPr>
          <w:i/>
          <w:sz w:val="18"/>
        </w:rPr>
        <w:t>Inflation Report</w:t>
      </w:r>
      <w:r>
        <w:rPr>
          <w:sz w:val="18"/>
        </w:rPr>
        <w:t>. While there was still spare capacity in parts of the world economy, this was being utilised as</w:t>
      </w:r>
      <w:r>
        <w:rPr>
          <w:spacing w:val="-27"/>
          <w:sz w:val="18"/>
        </w:rPr>
        <w:t> </w:t>
      </w:r>
      <w:r>
        <w:rPr>
          <w:sz w:val="18"/>
        </w:rPr>
        <w:t>a</w:t>
      </w:r>
    </w:p>
    <w:p>
      <w:pPr>
        <w:pStyle w:val="BodyText"/>
        <w:spacing w:line="232" w:lineRule="auto"/>
        <w:ind w:left="200" w:right="19"/>
      </w:pPr>
      <w:r>
        <w:rPr/>
        <w:t>generalised recovery progressed. Imported price inflation had been weak (or negative) over the past few years, but had recently begun to rise.</w:t>
      </w:r>
    </w:p>
    <w:p>
      <w:pPr>
        <w:pStyle w:val="BodyText"/>
        <w:spacing w:before="2"/>
        <w:rPr>
          <w:sz w:val="20"/>
        </w:rPr>
      </w:pPr>
    </w:p>
    <w:p>
      <w:pPr>
        <w:pStyle w:val="Heading7"/>
        <w:spacing w:line="266" w:lineRule="auto"/>
        <w:ind w:left="200"/>
      </w:pPr>
      <w:r>
        <w:rPr>
          <w:color w:val="009391"/>
        </w:rPr>
        <w:t>The November inflation and output growth projections</w:t>
      </w:r>
    </w:p>
    <w:p>
      <w:pPr>
        <w:pStyle w:val="ListParagraph"/>
        <w:numPr>
          <w:ilvl w:val="0"/>
          <w:numId w:val="41"/>
        </w:numPr>
        <w:tabs>
          <w:tab w:pos="679" w:val="left" w:leader="none"/>
          <w:tab w:pos="680" w:val="left" w:leader="none"/>
        </w:tabs>
        <w:spacing w:line="203" w:lineRule="exact" w:before="76" w:after="0"/>
        <w:ind w:left="679" w:right="0" w:hanging="480"/>
        <w:jc w:val="left"/>
        <w:rPr>
          <w:sz w:val="18"/>
        </w:rPr>
      </w:pPr>
      <w:r>
        <w:rPr>
          <w:sz w:val="18"/>
        </w:rPr>
        <w:t>The</w:t>
      </w:r>
      <w:r>
        <w:rPr>
          <w:spacing w:val="-5"/>
          <w:sz w:val="18"/>
        </w:rPr>
        <w:t> </w:t>
      </w:r>
      <w:r>
        <w:rPr>
          <w:sz w:val="18"/>
        </w:rPr>
        <w:t>Committee</w:t>
      </w:r>
      <w:r>
        <w:rPr>
          <w:spacing w:val="-4"/>
          <w:sz w:val="18"/>
        </w:rPr>
        <w:t> </w:t>
      </w:r>
      <w:r>
        <w:rPr>
          <w:sz w:val="18"/>
        </w:rPr>
        <w:t>agreed</w:t>
      </w:r>
      <w:r>
        <w:rPr>
          <w:spacing w:val="-4"/>
          <w:sz w:val="18"/>
        </w:rPr>
        <w:t> </w:t>
      </w:r>
      <w:r>
        <w:rPr>
          <w:sz w:val="18"/>
        </w:rPr>
        <w:t>the</w:t>
      </w:r>
      <w:r>
        <w:rPr>
          <w:spacing w:val="-5"/>
          <w:sz w:val="18"/>
        </w:rPr>
        <w:t> </w:t>
      </w:r>
      <w:r>
        <w:rPr>
          <w:sz w:val="18"/>
        </w:rPr>
        <w:t>projections</w:t>
      </w:r>
      <w:r>
        <w:rPr>
          <w:spacing w:val="-4"/>
          <w:sz w:val="18"/>
        </w:rPr>
        <w:t> </w:t>
      </w:r>
      <w:r>
        <w:rPr>
          <w:sz w:val="18"/>
        </w:rPr>
        <w:t>to</w:t>
      </w:r>
      <w:r>
        <w:rPr>
          <w:spacing w:val="-4"/>
          <w:sz w:val="18"/>
        </w:rPr>
        <w:t> </w:t>
      </w:r>
      <w:r>
        <w:rPr>
          <w:sz w:val="18"/>
        </w:rPr>
        <w:t>be</w:t>
      </w:r>
      <w:r>
        <w:rPr>
          <w:spacing w:val="-5"/>
          <w:sz w:val="18"/>
        </w:rPr>
        <w:t> </w:t>
      </w:r>
      <w:r>
        <w:rPr>
          <w:sz w:val="18"/>
        </w:rPr>
        <w:t>published</w:t>
      </w:r>
      <w:r>
        <w:rPr>
          <w:spacing w:val="-4"/>
          <w:sz w:val="18"/>
        </w:rPr>
        <w:t> </w:t>
      </w:r>
      <w:r>
        <w:rPr>
          <w:sz w:val="18"/>
        </w:rPr>
        <w:t>in</w:t>
      </w:r>
      <w:r>
        <w:rPr>
          <w:spacing w:val="-4"/>
          <w:sz w:val="18"/>
        </w:rPr>
        <w:t> </w:t>
      </w:r>
      <w:r>
        <w:rPr>
          <w:sz w:val="18"/>
        </w:rPr>
        <w:t>the</w:t>
      </w:r>
    </w:p>
    <w:p>
      <w:pPr>
        <w:spacing w:line="203" w:lineRule="exact" w:before="0"/>
        <w:ind w:left="200" w:right="0" w:firstLine="0"/>
        <w:jc w:val="left"/>
        <w:rPr>
          <w:sz w:val="18"/>
        </w:rPr>
      </w:pPr>
      <w:r>
        <w:rPr>
          <w:i/>
          <w:sz w:val="18"/>
        </w:rPr>
        <w:t>Inflation Report </w:t>
      </w:r>
      <w:r>
        <w:rPr>
          <w:sz w:val="18"/>
        </w:rPr>
        <w:t>on 10 November.</w:t>
      </w:r>
    </w:p>
    <w:p>
      <w:pPr>
        <w:pStyle w:val="BodyText"/>
        <w:spacing w:before="2"/>
        <w:rPr>
          <w:sz w:val="17"/>
        </w:rPr>
      </w:pPr>
    </w:p>
    <w:p>
      <w:pPr>
        <w:pStyle w:val="ListParagraph"/>
        <w:numPr>
          <w:ilvl w:val="0"/>
          <w:numId w:val="41"/>
        </w:numPr>
        <w:tabs>
          <w:tab w:pos="679" w:val="left" w:leader="none"/>
          <w:tab w:pos="680" w:val="left" w:leader="none"/>
        </w:tabs>
        <w:spacing w:line="232" w:lineRule="auto" w:before="0" w:after="0"/>
        <w:ind w:left="200" w:right="63" w:firstLine="0"/>
        <w:jc w:val="left"/>
        <w:rPr>
          <w:sz w:val="18"/>
        </w:rPr>
      </w:pPr>
      <w:r>
        <w:rPr>
          <w:sz w:val="18"/>
        </w:rPr>
        <w:t>On the assumption of constant official interest rates of 5.5%, the central projection in the published fan chart for activity was for slightly more rapid growth in the short term than in August, levelling off to slightly above trend. The level of activity was higher</w:t>
      </w:r>
      <w:r>
        <w:rPr>
          <w:spacing w:val="-5"/>
          <w:sz w:val="18"/>
        </w:rPr>
        <w:t> </w:t>
      </w:r>
      <w:r>
        <w:rPr>
          <w:sz w:val="18"/>
        </w:rPr>
        <w:t>than</w:t>
      </w:r>
      <w:r>
        <w:rPr>
          <w:spacing w:val="-5"/>
          <w:sz w:val="18"/>
        </w:rPr>
        <w:t> </w:t>
      </w:r>
      <w:r>
        <w:rPr>
          <w:sz w:val="18"/>
        </w:rPr>
        <w:t>projected</w:t>
      </w:r>
      <w:r>
        <w:rPr>
          <w:spacing w:val="-5"/>
          <w:sz w:val="18"/>
        </w:rPr>
        <w:t> </w:t>
      </w:r>
      <w:r>
        <w:rPr>
          <w:sz w:val="18"/>
        </w:rPr>
        <w:t>in</w:t>
      </w:r>
      <w:r>
        <w:rPr>
          <w:spacing w:val="-5"/>
          <w:sz w:val="18"/>
        </w:rPr>
        <w:t> </w:t>
      </w:r>
      <w:r>
        <w:rPr>
          <w:sz w:val="18"/>
        </w:rPr>
        <w:t>August</w:t>
      </w:r>
      <w:r>
        <w:rPr>
          <w:spacing w:val="-5"/>
          <w:sz w:val="18"/>
        </w:rPr>
        <w:t> </w:t>
      </w:r>
      <w:r>
        <w:rPr>
          <w:sz w:val="18"/>
        </w:rPr>
        <w:t>for</w:t>
      </w:r>
      <w:r>
        <w:rPr>
          <w:spacing w:val="-4"/>
          <w:sz w:val="18"/>
        </w:rPr>
        <w:t> </w:t>
      </w:r>
      <w:r>
        <w:rPr>
          <w:sz w:val="18"/>
        </w:rPr>
        <w:t>almost</w:t>
      </w:r>
      <w:r>
        <w:rPr>
          <w:spacing w:val="-5"/>
          <w:sz w:val="18"/>
        </w:rPr>
        <w:t> </w:t>
      </w:r>
      <w:r>
        <w:rPr>
          <w:sz w:val="18"/>
        </w:rPr>
        <w:t>all</w:t>
      </w:r>
      <w:r>
        <w:rPr>
          <w:spacing w:val="-5"/>
          <w:sz w:val="18"/>
        </w:rPr>
        <w:t> </w:t>
      </w:r>
      <w:r>
        <w:rPr>
          <w:sz w:val="18"/>
        </w:rPr>
        <w:t>of</w:t>
      </w:r>
      <w:r>
        <w:rPr>
          <w:spacing w:val="-5"/>
          <w:sz w:val="18"/>
        </w:rPr>
        <w:t> </w:t>
      </w:r>
      <w:r>
        <w:rPr>
          <w:sz w:val="18"/>
        </w:rPr>
        <w:t>the</w:t>
      </w:r>
      <w:r>
        <w:rPr>
          <w:spacing w:val="-5"/>
          <w:sz w:val="18"/>
        </w:rPr>
        <w:t> </w:t>
      </w:r>
      <w:r>
        <w:rPr>
          <w:sz w:val="18"/>
        </w:rPr>
        <w:t>forecast</w:t>
      </w:r>
      <w:r>
        <w:rPr>
          <w:spacing w:val="-4"/>
          <w:sz w:val="18"/>
        </w:rPr>
        <w:t> </w:t>
      </w:r>
      <w:r>
        <w:rPr>
          <w:sz w:val="18"/>
        </w:rPr>
        <w:t>period on account of the recent stronger-than-expected outturns. The balance of risks was on the downside, mainly reflecting risks to the world economic</w:t>
      </w:r>
      <w:r>
        <w:rPr>
          <w:spacing w:val="-3"/>
          <w:sz w:val="18"/>
        </w:rPr>
        <w:t> </w:t>
      </w:r>
      <w:r>
        <w:rPr>
          <w:sz w:val="18"/>
        </w:rPr>
        <w:t>outlook.</w:t>
      </w:r>
    </w:p>
    <w:p>
      <w:pPr>
        <w:pStyle w:val="BodyText"/>
        <w:spacing w:before="10"/>
        <w:rPr>
          <w:sz w:val="16"/>
        </w:rPr>
      </w:pPr>
    </w:p>
    <w:p>
      <w:pPr>
        <w:pStyle w:val="ListParagraph"/>
        <w:numPr>
          <w:ilvl w:val="0"/>
          <w:numId w:val="41"/>
        </w:numPr>
        <w:tabs>
          <w:tab w:pos="679" w:val="left" w:leader="none"/>
          <w:tab w:pos="680" w:val="left" w:leader="none"/>
        </w:tabs>
        <w:spacing w:line="232" w:lineRule="auto" w:before="0" w:after="0"/>
        <w:ind w:left="199" w:right="58" w:firstLine="0"/>
        <w:jc w:val="left"/>
        <w:rPr>
          <w:sz w:val="18"/>
        </w:rPr>
      </w:pPr>
      <w:r>
        <w:rPr>
          <w:sz w:val="18"/>
        </w:rPr>
        <w:t>The Committee’s best collective judgment of the prospects for inflation was for RPIX to remain below the 2</w:t>
      </w:r>
      <w:r>
        <w:rPr>
          <w:position w:val="6"/>
          <w:sz w:val="9"/>
        </w:rPr>
        <w:t>1</w:t>
      </w:r>
      <w:r>
        <w:rPr>
          <w:sz w:val="18"/>
        </w:rPr>
        <w:t>/</w:t>
      </w:r>
      <w:r>
        <w:rPr>
          <w:sz w:val="9"/>
        </w:rPr>
        <w:t>2</w:t>
      </w:r>
      <w:r>
        <w:rPr>
          <w:sz w:val="18"/>
        </w:rPr>
        <w:t>% target for nearly all of the forecast period, dropping just below 2% for a while,</w:t>
      </w:r>
      <w:r>
        <w:rPr>
          <w:spacing w:val="-5"/>
          <w:sz w:val="18"/>
        </w:rPr>
        <w:t> </w:t>
      </w:r>
      <w:r>
        <w:rPr>
          <w:sz w:val="18"/>
        </w:rPr>
        <w:t>before</w:t>
      </w:r>
      <w:r>
        <w:rPr>
          <w:spacing w:val="-5"/>
          <w:sz w:val="18"/>
        </w:rPr>
        <w:t> </w:t>
      </w:r>
      <w:r>
        <w:rPr>
          <w:sz w:val="18"/>
        </w:rPr>
        <w:t>increasing</w:t>
      </w:r>
      <w:r>
        <w:rPr>
          <w:spacing w:val="-5"/>
          <w:sz w:val="18"/>
        </w:rPr>
        <w:t> </w:t>
      </w:r>
      <w:r>
        <w:rPr>
          <w:sz w:val="18"/>
        </w:rPr>
        <w:t>quite</w:t>
      </w:r>
      <w:r>
        <w:rPr>
          <w:spacing w:val="-5"/>
          <w:sz w:val="18"/>
        </w:rPr>
        <w:t> </w:t>
      </w:r>
      <w:r>
        <w:rPr>
          <w:sz w:val="18"/>
        </w:rPr>
        <w:t>sharply</w:t>
      </w:r>
      <w:r>
        <w:rPr>
          <w:spacing w:val="-4"/>
          <w:sz w:val="18"/>
        </w:rPr>
        <w:t> </w:t>
      </w:r>
      <w:r>
        <w:rPr>
          <w:sz w:val="18"/>
        </w:rPr>
        <w:t>to</w:t>
      </w:r>
      <w:r>
        <w:rPr>
          <w:spacing w:val="-5"/>
          <w:sz w:val="18"/>
        </w:rPr>
        <w:t> </w:t>
      </w:r>
      <w:r>
        <w:rPr>
          <w:sz w:val="18"/>
        </w:rPr>
        <w:t>end</w:t>
      </w:r>
      <w:r>
        <w:rPr>
          <w:spacing w:val="-5"/>
          <w:sz w:val="18"/>
        </w:rPr>
        <w:t> </w:t>
      </w:r>
      <w:r>
        <w:rPr>
          <w:sz w:val="18"/>
        </w:rPr>
        <w:t>up</w:t>
      </w:r>
      <w:r>
        <w:rPr>
          <w:spacing w:val="-5"/>
          <w:sz w:val="18"/>
        </w:rPr>
        <w:t> </w:t>
      </w:r>
      <w:r>
        <w:rPr>
          <w:sz w:val="18"/>
        </w:rPr>
        <w:t>at</w:t>
      </w:r>
      <w:r>
        <w:rPr>
          <w:spacing w:val="-5"/>
          <w:sz w:val="18"/>
        </w:rPr>
        <w:t> </w:t>
      </w:r>
      <w:r>
        <w:rPr>
          <w:sz w:val="18"/>
        </w:rPr>
        <w:t>around</w:t>
      </w:r>
      <w:r>
        <w:rPr>
          <w:spacing w:val="-4"/>
          <w:sz w:val="18"/>
        </w:rPr>
        <w:t> </w:t>
      </w:r>
      <w:r>
        <w:rPr>
          <w:sz w:val="18"/>
        </w:rPr>
        <w:t>the</w:t>
      </w:r>
      <w:r>
        <w:rPr>
          <w:spacing w:val="-5"/>
          <w:sz w:val="18"/>
        </w:rPr>
        <w:t> </w:t>
      </w:r>
      <w:r>
        <w:rPr>
          <w:sz w:val="18"/>
        </w:rPr>
        <w:t>target</w:t>
      </w:r>
    </w:p>
    <w:p>
      <w:pPr>
        <w:pStyle w:val="BodyText"/>
        <w:spacing w:before="6"/>
        <w:rPr>
          <w:sz w:val="20"/>
        </w:rPr>
      </w:pPr>
      <w:r>
        <w:rPr/>
        <w:br w:type="column"/>
      </w:r>
      <w:r>
        <w:rPr>
          <w:sz w:val="20"/>
        </w:rPr>
      </w:r>
    </w:p>
    <w:p>
      <w:pPr>
        <w:pStyle w:val="BodyText"/>
        <w:spacing w:line="232" w:lineRule="auto"/>
        <w:ind w:left="199" w:right="185"/>
      </w:pPr>
      <w:r>
        <w:rPr/>
        <w:t>at the two-year horizon, when it was still rising. This acceleration in prices reflected the accumulating pressures on supply capacity from the period of above-trend demand growth and the unwinding of the various temporary downward influences on the price level and so on measured inflation. The trough was lower than in August. The projection at the end of the forecast period was almost the same as in August, but with a higher sterling exchange rate and with the official interest rate at 5.5% rather than 5.0%. For the same reasons as for the output projection, the balance of risks to inflation was on the</w:t>
      </w:r>
      <w:r>
        <w:rPr>
          <w:spacing w:val="-6"/>
        </w:rPr>
        <w:t> </w:t>
      </w:r>
      <w:r>
        <w:rPr/>
        <w:t>downside.</w:t>
      </w:r>
    </w:p>
    <w:p>
      <w:pPr>
        <w:pStyle w:val="BodyText"/>
        <w:spacing w:before="8"/>
        <w:rPr>
          <w:sz w:val="16"/>
        </w:rPr>
      </w:pPr>
    </w:p>
    <w:p>
      <w:pPr>
        <w:pStyle w:val="ListParagraph"/>
        <w:numPr>
          <w:ilvl w:val="0"/>
          <w:numId w:val="41"/>
        </w:numPr>
        <w:tabs>
          <w:tab w:pos="679" w:val="left" w:leader="none"/>
          <w:tab w:pos="680" w:val="left" w:leader="none"/>
        </w:tabs>
        <w:spacing w:line="232" w:lineRule="auto" w:before="0" w:after="0"/>
        <w:ind w:left="199" w:right="293" w:firstLine="0"/>
        <w:jc w:val="left"/>
        <w:rPr>
          <w:sz w:val="18"/>
        </w:rPr>
      </w:pPr>
      <w:r>
        <w:rPr>
          <w:sz w:val="18"/>
        </w:rPr>
        <w:t>As already described, there was considerable uncertainty in the Committee about the inflation outlook, and also a range of preferred assumptions for the path of the nominal exchange rate, earnings growth, and price-cost margins; these were presented in Table 6.B on page 58 of the </w:t>
      </w:r>
      <w:r>
        <w:rPr>
          <w:i/>
          <w:sz w:val="18"/>
        </w:rPr>
        <w:t>Inflation Report </w:t>
      </w:r>
      <w:r>
        <w:rPr>
          <w:sz w:val="18"/>
        </w:rPr>
        <w:t>published</w:t>
      </w:r>
      <w:r>
        <w:rPr>
          <w:spacing w:val="-19"/>
          <w:sz w:val="18"/>
        </w:rPr>
        <w:t> </w:t>
      </w:r>
      <w:r>
        <w:rPr>
          <w:sz w:val="18"/>
        </w:rPr>
        <w:t>on</w:t>
      </w:r>
    </w:p>
    <w:p>
      <w:pPr>
        <w:pStyle w:val="BodyText"/>
        <w:spacing w:line="232" w:lineRule="auto"/>
        <w:ind w:left="199" w:right="146"/>
      </w:pPr>
      <w:r>
        <w:rPr/>
        <w:t>10 November. Different members preferred different combinations of these assumptions, either raising or lowering the inflation projection at the two-year horizon by </w:t>
      </w:r>
      <w:r>
        <w:rPr>
          <w:position w:val="6"/>
          <w:sz w:val="9"/>
        </w:rPr>
        <w:t>1</w:t>
      </w:r>
      <w:r>
        <w:rPr/>
        <w:t>/</w:t>
      </w:r>
      <w:r>
        <w:rPr>
          <w:sz w:val="9"/>
        </w:rPr>
        <w:t>4 </w:t>
      </w:r>
      <w:r>
        <w:rPr/>
        <w:t>to </w:t>
      </w:r>
      <w:r>
        <w:rPr>
          <w:position w:val="6"/>
          <w:sz w:val="9"/>
        </w:rPr>
        <w:t>1</w:t>
      </w:r>
      <w:r>
        <w:rPr/>
        <w:t>/</w:t>
      </w:r>
      <w:r>
        <w:rPr>
          <w:sz w:val="9"/>
        </w:rPr>
        <w:t>2 </w:t>
      </w:r>
      <w:r>
        <w:rPr/>
        <w:t>percentage points, so that there was a range of approaching one percentage point between the lowest and highest preferred central projections of individual Committee members.</w:t>
      </w:r>
    </w:p>
    <w:p>
      <w:pPr>
        <w:pStyle w:val="BodyText"/>
        <w:spacing w:before="11"/>
        <w:rPr>
          <w:sz w:val="19"/>
        </w:rPr>
      </w:pPr>
    </w:p>
    <w:p>
      <w:pPr>
        <w:pStyle w:val="Heading7"/>
        <w:ind w:left="199"/>
      </w:pPr>
      <w:r>
        <w:rPr>
          <w:color w:val="009391"/>
        </w:rPr>
        <w:t>Tactical considerations</w:t>
      </w:r>
    </w:p>
    <w:p>
      <w:pPr>
        <w:pStyle w:val="ListParagraph"/>
        <w:numPr>
          <w:ilvl w:val="0"/>
          <w:numId w:val="42"/>
        </w:numPr>
        <w:tabs>
          <w:tab w:pos="679" w:val="left" w:leader="none"/>
          <w:tab w:pos="680" w:val="left" w:leader="none"/>
        </w:tabs>
        <w:spacing w:line="232" w:lineRule="auto" w:before="109" w:after="0"/>
        <w:ind w:left="199" w:right="198" w:firstLine="0"/>
        <w:jc w:val="left"/>
        <w:rPr>
          <w:sz w:val="18"/>
        </w:rPr>
      </w:pPr>
      <w:r>
        <w:rPr>
          <w:sz w:val="18"/>
        </w:rPr>
        <w:t>The Committee discussed three other issues potentially relevant to its policy decision: the significance of the steepening in the sterling yield curve; the relevance of ECB and F</w:t>
      </w:r>
      <w:r>
        <w:rPr>
          <w:sz w:val="14"/>
        </w:rPr>
        <w:t>OMC </w:t>
      </w:r>
      <w:r>
        <w:rPr>
          <w:sz w:val="18"/>
        </w:rPr>
        <w:t>policy decisions; and the implications of the shape of the inflation projection.</w:t>
      </w:r>
    </w:p>
    <w:p>
      <w:pPr>
        <w:pStyle w:val="BodyText"/>
        <w:spacing w:before="1"/>
        <w:rPr>
          <w:sz w:val="17"/>
        </w:rPr>
      </w:pPr>
    </w:p>
    <w:p>
      <w:pPr>
        <w:pStyle w:val="ListParagraph"/>
        <w:numPr>
          <w:ilvl w:val="0"/>
          <w:numId w:val="42"/>
        </w:numPr>
        <w:tabs>
          <w:tab w:pos="679" w:val="left" w:leader="none"/>
          <w:tab w:pos="680" w:val="left" w:leader="none"/>
        </w:tabs>
        <w:spacing w:line="232" w:lineRule="auto" w:before="0" w:after="0"/>
        <w:ind w:left="199" w:right="148" w:firstLine="0"/>
        <w:jc w:val="left"/>
        <w:rPr>
          <w:sz w:val="18"/>
        </w:rPr>
      </w:pPr>
      <w:r>
        <w:rPr>
          <w:sz w:val="18"/>
        </w:rPr>
        <w:t>On one view, the rise over recent months in short and medium-maturity market interest rates, as evidenced by for example short sterling futures contracts and the gilt yield curve, meant that monetary conditions were materially tighter than reflected in the fan chart projections. In consequence, the market was doing some of the Committee’s work for it, so that other things being equal the Committee could operate with a lower official repo rate than would otherwise be the case. Against this, it was argued that</w:t>
      </w:r>
      <w:r>
        <w:rPr>
          <w:spacing w:val="-5"/>
          <w:sz w:val="18"/>
        </w:rPr>
        <w:t> </w:t>
      </w:r>
      <w:r>
        <w:rPr>
          <w:sz w:val="18"/>
        </w:rPr>
        <w:t>the</w:t>
      </w:r>
      <w:r>
        <w:rPr>
          <w:spacing w:val="-5"/>
          <w:sz w:val="18"/>
        </w:rPr>
        <w:t> </w:t>
      </w:r>
      <w:r>
        <w:rPr>
          <w:sz w:val="18"/>
        </w:rPr>
        <w:t>Committee</w:t>
      </w:r>
      <w:r>
        <w:rPr>
          <w:spacing w:val="-5"/>
          <w:sz w:val="18"/>
        </w:rPr>
        <w:t> </w:t>
      </w:r>
      <w:r>
        <w:rPr>
          <w:sz w:val="18"/>
        </w:rPr>
        <w:t>would</w:t>
      </w:r>
      <w:r>
        <w:rPr>
          <w:spacing w:val="-5"/>
          <w:sz w:val="18"/>
        </w:rPr>
        <w:t> </w:t>
      </w:r>
      <w:r>
        <w:rPr>
          <w:sz w:val="18"/>
        </w:rPr>
        <w:t>take</w:t>
      </w:r>
      <w:r>
        <w:rPr>
          <w:spacing w:val="-5"/>
          <w:sz w:val="18"/>
        </w:rPr>
        <w:t> </w:t>
      </w:r>
      <w:r>
        <w:rPr>
          <w:sz w:val="18"/>
        </w:rPr>
        <w:t>material</w:t>
      </w:r>
      <w:r>
        <w:rPr>
          <w:spacing w:val="-5"/>
          <w:sz w:val="18"/>
        </w:rPr>
        <w:t> </w:t>
      </w:r>
      <w:r>
        <w:rPr>
          <w:sz w:val="18"/>
        </w:rPr>
        <w:t>risks</w:t>
      </w:r>
      <w:r>
        <w:rPr>
          <w:spacing w:val="-5"/>
          <w:sz w:val="18"/>
        </w:rPr>
        <w:t> </w:t>
      </w:r>
      <w:r>
        <w:rPr>
          <w:sz w:val="18"/>
        </w:rPr>
        <w:t>with</w:t>
      </w:r>
      <w:r>
        <w:rPr>
          <w:spacing w:val="-5"/>
          <w:sz w:val="18"/>
        </w:rPr>
        <w:t> </w:t>
      </w:r>
      <w:r>
        <w:rPr>
          <w:sz w:val="18"/>
        </w:rPr>
        <w:t>its</w:t>
      </w:r>
      <w:r>
        <w:rPr>
          <w:spacing w:val="-5"/>
          <w:sz w:val="18"/>
        </w:rPr>
        <w:t> </w:t>
      </w:r>
      <w:r>
        <w:rPr>
          <w:sz w:val="18"/>
        </w:rPr>
        <w:t>credibility</w:t>
      </w:r>
      <w:r>
        <w:rPr>
          <w:spacing w:val="-5"/>
          <w:sz w:val="18"/>
        </w:rPr>
        <w:t> </w:t>
      </w:r>
      <w:r>
        <w:rPr>
          <w:sz w:val="18"/>
        </w:rPr>
        <w:t>if</w:t>
      </w:r>
      <w:r>
        <w:rPr>
          <w:spacing w:val="-5"/>
          <w:sz w:val="18"/>
        </w:rPr>
        <w:t> </w:t>
      </w:r>
      <w:r>
        <w:rPr>
          <w:sz w:val="18"/>
        </w:rPr>
        <w:t>it failed to tighten in line with market expectations, where it regarded those expectations as well based. If demand were restrained by higher market rates but the Committee then failed to raise rates, the market’s view of the Committee’s reaction function would change, storing up trouble for the</w:t>
      </w:r>
      <w:r>
        <w:rPr>
          <w:spacing w:val="-7"/>
          <w:sz w:val="18"/>
        </w:rPr>
        <w:t> </w:t>
      </w:r>
      <w:r>
        <w:rPr>
          <w:sz w:val="18"/>
        </w:rPr>
        <w:t>future.</w:t>
      </w:r>
    </w:p>
    <w:p>
      <w:pPr>
        <w:pStyle w:val="BodyText"/>
        <w:spacing w:before="5"/>
        <w:rPr>
          <w:sz w:val="16"/>
        </w:rPr>
      </w:pPr>
    </w:p>
    <w:p>
      <w:pPr>
        <w:pStyle w:val="ListParagraph"/>
        <w:numPr>
          <w:ilvl w:val="0"/>
          <w:numId w:val="42"/>
        </w:numPr>
        <w:tabs>
          <w:tab w:pos="679" w:val="left" w:leader="none"/>
          <w:tab w:pos="680" w:val="left" w:leader="none"/>
        </w:tabs>
        <w:spacing w:line="232" w:lineRule="auto" w:before="0" w:after="0"/>
        <w:ind w:left="199" w:right="188" w:firstLine="0"/>
        <w:jc w:val="left"/>
        <w:rPr>
          <w:sz w:val="18"/>
        </w:rPr>
      </w:pPr>
      <w:r>
        <w:rPr>
          <w:sz w:val="18"/>
        </w:rPr>
        <w:t>The Committee agreed that it should not place great weight on expectations of what the ECB and F</w:t>
      </w:r>
      <w:r>
        <w:rPr>
          <w:sz w:val="14"/>
        </w:rPr>
        <w:t>OMC </w:t>
      </w:r>
      <w:r>
        <w:rPr>
          <w:sz w:val="18"/>
        </w:rPr>
        <w:t>might do at their meetings on 4 November (the same day as the MPC’s meeting) and 16 November respectively. It was noted that a clear majority of market participants expected the MPC to raise its rate by 25 basis points, in which case a move of that size would probably not have much effect on market</w:t>
      </w:r>
      <w:r>
        <w:rPr>
          <w:spacing w:val="-6"/>
          <w:sz w:val="18"/>
        </w:rPr>
        <w:t> </w:t>
      </w:r>
      <w:r>
        <w:rPr>
          <w:sz w:val="18"/>
        </w:rPr>
        <w:t>prices.</w:t>
      </w:r>
    </w:p>
    <w:p>
      <w:pPr>
        <w:pStyle w:val="BodyText"/>
        <w:spacing w:before="11"/>
        <w:rPr>
          <w:sz w:val="16"/>
        </w:rPr>
      </w:pPr>
    </w:p>
    <w:p>
      <w:pPr>
        <w:pStyle w:val="ListParagraph"/>
        <w:numPr>
          <w:ilvl w:val="0"/>
          <w:numId w:val="42"/>
        </w:numPr>
        <w:tabs>
          <w:tab w:pos="679" w:val="left" w:leader="none"/>
          <w:tab w:pos="680" w:val="left" w:leader="none"/>
        </w:tabs>
        <w:spacing w:line="232" w:lineRule="auto" w:before="0" w:after="0"/>
        <w:ind w:left="200" w:right="148" w:firstLine="0"/>
        <w:jc w:val="left"/>
        <w:rPr>
          <w:sz w:val="18"/>
        </w:rPr>
      </w:pPr>
      <w:r>
        <w:rPr>
          <w:sz w:val="18"/>
        </w:rPr>
        <w:t>The shape of the inflation projection had changed materially over the past year. A year ago, it had been humped; in May and August it had had a gentle saucer shape; now inflation was projected to fall further below the target, before rising more steeply towards the end of the forecast period. This reflected the view that accumulating inflationary pressures would surface after a period in which</w:t>
      </w:r>
      <w:r>
        <w:rPr>
          <w:spacing w:val="-5"/>
          <w:sz w:val="18"/>
        </w:rPr>
        <w:t> </w:t>
      </w:r>
      <w:r>
        <w:rPr>
          <w:sz w:val="18"/>
        </w:rPr>
        <w:t>measured</w:t>
      </w:r>
      <w:r>
        <w:rPr>
          <w:spacing w:val="-5"/>
          <w:sz w:val="18"/>
        </w:rPr>
        <w:t> </w:t>
      </w:r>
      <w:r>
        <w:rPr>
          <w:sz w:val="18"/>
        </w:rPr>
        <w:t>inflation</w:t>
      </w:r>
      <w:r>
        <w:rPr>
          <w:spacing w:val="-5"/>
          <w:sz w:val="18"/>
        </w:rPr>
        <w:t> </w:t>
      </w:r>
      <w:r>
        <w:rPr>
          <w:sz w:val="18"/>
        </w:rPr>
        <w:t>was</w:t>
      </w:r>
      <w:r>
        <w:rPr>
          <w:spacing w:val="-4"/>
          <w:sz w:val="18"/>
        </w:rPr>
        <w:t> </w:t>
      </w:r>
      <w:r>
        <w:rPr>
          <w:sz w:val="18"/>
        </w:rPr>
        <w:t>held</w:t>
      </w:r>
      <w:r>
        <w:rPr>
          <w:spacing w:val="-5"/>
          <w:sz w:val="18"/>
        </w:rPr>
        <w:t> </w:t>
      </w:r>
      <w:r>
        <w:rPr>
          <w:sz w:val="18"/>
        </w:rPr>
        <w:t>back</w:t>
      </w:r>
      <w:r>
        <w:rPr>
          <w:spacing w:val="-5"/>
          <w:sz w:val="18"/>
        </w:rPr>
        <w:t> </w:t>
      </w:r>
      <w:r>
        <w:rPr>
          <w:sz w:val="18"/>
        </w:rPr>
        <w:t>by</w:t>
      </w:r>
      <w:r>
        <w:rPr>
          <w:spacing w:val="-5"/>
          <w:sz w:val="18"/>
        </w:rPr>
        <w:t> </w:t>
      </w:r>
      <w:r>
        <w:rPr>
          <w:sz w:val="18"/>
        </w:rPr>
        <w:t>a</w:t>
      </w:r>
      <w:r>
        <w:rPr>
          <w:spacing w:val="-4"/>
          <w:sz w:val="18"/>
        </w:rPr>
        <w:t> </w:t>
      </w:r>
      <w:r>
        <w:rPr>
          <w:sz w:val="18"/>
        </w:rPr>
        <w:t>series</w:t>
      </w:r>
      <w:r>
        <w:rPr>
          <w:spacing w:val="-5"/>
          <w:sz w:val="18"/>
        </w:rPr>
        <w:t> </w:t>
      </w:r>
      <w:r>
        <w:rPr>
          <w:sz w:val="18"/>
        </w:rPr>
        <w:t>of</w:t>
      </w:r>
      <w:r>
        <w:rPr>
          <w:spacing w:val="-5"/>
          <w:sz w:val="18"/>
        </w:rPr>
        <w:t> </w:t>
      </w:r>
      <w:r>
        <w:rPr>
          <w:sz w:val="18"/>
        </w:rPr>
        <w:t>specific</w:t>
      </w:r>
      <w:r>
        <w:rPr>
          <w:spacing w:val="-5"/>
          <w:sz w:val="18"/>
        </w:rPr>
        <w:t> </w:t>
      </w:r>
      <w:r>
        <w:rPr>
          <w:sz w:val="18"/>
        </w:rPr>
        <w:t>price level changes. In particular, after falling back in the short run earnings growth was likely to pick up further out in the forecast period. On the one hand, the degree of uncertainty about the outlook was considerably greater at the two year horizon, so that the Committee could be less sure about the projected steep rise than it could be about the nearer-term prospect of inflation remaining below target. On the other hand, monetary policy changes would have a greater effect on inflation at around two years than</w:t>
      </w:r>
      <w:r>
        <w:rPr>
          <w:spacing w:val="-30"/>
          <w:sz w:val="18"/>
        </w:rPr>
        <w:t> </w:t>
      </w:r>
      <w:r>
        <w:rPr>
          <w:sz w:val="18"/>
        </w:rPr>
        <w:t>on</w:t>
      </w:r>
    </w:p>
    <w:p>
      <w:pPr>
        <w:pStyle w:val="BodyText"/>
        <w:spacing w:line="187" w:lineRule="exact"/>
        <w:ind w:left="200"/>
      </w:pPr>
      <w:r>
        <w:rPr/>
        <w:t>nearer-term prospects. The Committee agreed that, other</w:t>
      </w:r>
      <w:r>
        <w:rPr>
          <w:spacing w:val="-10"/>
        </w:rPr>
        <w:t> </w:t>
      </w:r>
      <w:r>
        <w:rPr/>
        <w:t>things</w:t>
      </w:r>
    </w:p>
    <w:p>
      <w:pPr>
        <w:pStyle w:val="BodyText"/>
        <w:spacing w:line="232" w:lineRule="auto" w:before="1"/>
        <w:ind w:left="200" w:right="245"/>
      </w:pPr>
      <w:r>
        <w:rPr/>
        <w:t>being</w:t>
      </w:r>
      <w:r>
        <w:rPr>
          <w:spacing w:val="-6"/>
        </w:rPr>
        <w:t> </w:t>
      </w:r>
      <w:r>
        <w:rPr/>
        <w:t>equal,</w:t>
      </w:r>
      <w:r>
        <w:rPr>
          <w:spacing w:val="-5"/>
        </w:rPr>
        <w:t> </w:t>
      </w:r>
      <w:r>
        <w:rPr/>
        <w:t>the</w:t>
      </w:r>
      <w:r>
        <w:rPr>
          <w:spacing w:val="-5"/>
        </w:rPr>
        <w:t> </w:t>
      </w:r>
      <w:r>
        <w:rPr/>
        <w:t>shape</w:t>
      </w:r>
      <w:r>
        <w:rPr>
          <w:spacing w:val="-5"/>
        </w:rPr>
        <w:t> </w:t>
      </w:r>
      <w:r>
        <w:rPr/>
        <w:t>of</w:t>
      </w:r>
      <w:r>
        <w:rPr>
          <w:spacing w:val="-5"/>
        </w:rPr>
        <w:t> </w:t>
      </w:r>
      <w:r>
        <w:rPr/>
        <w:t>the</w:t>
      </w:r>
      <w:r>
        <w:rPr>
          <w:spacing w:val="-5"/>
        </w:rPr>
        <w:t> </w:t>
      </w:r>
      <w:r>
        <w:rPr/>
        <w:t>projection</w:t>
      </w:r>
      <w:r>
        <w:rPr>
          <w:spacing w:val="-5"/>
        </w:rPr>
        <w:t> </w:t>
      </w:r>
      <w:r>
        <w:rPr/>
        <w:t>meant</w:t>
      </w:r>
      <w:r>
        <w:rPr>
          <w:spacing w:val="-5"/>
        </w:rPr>
        <w:t> </w:t>
      </w:r>
      <w:r>
        <w:rPr/>
        <w:t>that,</w:t>
      </w:r>
      <w:r>
        <w:rPr>
          <w:spacing w:val="-5"/>
        </w:rPr>
        <w:t> </w:t>
      </w:r>
      <w:r>
        <w:rPr/>
        <w:t>compared</w:t>
      </w:r>
      <w:r>
        <w:rPr>
          <w:spacing w:val="-5"/>
        </w:rPr>
        <w:t> </w:t>
      </w:r>
      <w:r>
        <w:rPr/>
        <w:t>with a</w:t>
      </w:r>
      <w:r>
        <w:rPr>
          <w:spacing w:val="-4"/>
        </w:rPr>
        <w:t> </w:t>
      </w:r>
      <w:r>
        <w:rPr/>
        <w:t>profile</w:t>
      </w:r>
      <w:r>
        <w:rPr>
          <w:spacing w:val="-4"/>
        </w:rPr>
        <w:t> </w:t>
      </w:r>
      <w:r>
        <w:rPr/>
        <w:t>in</w:t>
      </w:r>
      <w:r>
        <w:rPr>
          <w:spacing w:val="-4"/>
        </w:rPr>
        <w:t> </w:t>
      </w:r>
      <w:r>
        <w:rPr/>
        <w:t>which</w:t>
      </w:r>
      <w:r>
        <w:rPr>
          <w:spacing w:val="-3"/>
        </w:rPr>
        <w:t> </w:t>
      </w:r>
      <w:r>
        <w:rPr/>
        <w:t>inflation</w:t>
      </w:r>
      <w:r>
        <w:rPr>
          <w:spacing w:val="-4"/>
        </w:rPr>
        <w:t> </w:t>
      </w:r>
      <w:r>
        <w:rPr/>
        <w:t>rose</w:t>
      </w:r>
      <w:r>
        <w:rPr>
          <w:spacing w:val="-4"/>
        </w:rPr>
        <w:t> </w:t>
      </w:r>
      <w:r>
        <w:rPr/>
        <w:t>steadily,</w:t>
      </w:r>
      <w:r>
        <w:rPr>
          <w:spacing w:val="-3"/>
        </w:rPr>
        <w:t> </w:t>
      </w:r>
      <w:r>
        <w:rPr/>
        <w:t>there</w:t>
      </w:r>
      <w:r>
        <w:rPr>
          <w:spacing w:val="-4"/>
        </w:rPr>
        <w:t> </w:t>
      </w:r>
      <w:r>
        <w:rPr/>
        <w:t>was</w:t>
      </w:r>
      <w:r>
        <w:rPr>
          <w:spacing w:val="-4"/>
        </w:rPr>
        <w:t> </w:t>
      </w:r>
      <w:r>
        <w:rPr/>
        <w:t>more</w:t>
      </w:r>
      <w:r>
        <w:rPr>
          <w:spacing w:val="-3"/>
        </w:rPr>
        <w:t> </w:t>
      </w:r>
      <w:r>
        <w:rPr/>
        <w:t>time</w:t>
      </w:r>
      <w:r>
        <w:rPr>
          <w:spacing w:val="-4"/>
        </w:rPr>
        <w:t> </w:t>
      </w:r>
      <w:r>
        <w:rPr/>
        <w:t>to</w:t>
      </w:r>
    </w:p>
    <w:p>
      <w:pPr>
        <w:spacing w:after="0" w:line="232" w:lineRule="auto"/>
        <w:sectPr>
          <w:type w:val="continuous"/>
          <w:pgSz w:w="11900" w:h="16840"/>
          <w:pgMar w:top="1220" w:bottom="280" w:left="620" w:right="640"/>
          <w:cols w:num="2" w:equalWidth="0">
            <w:col w:w="5128" w:space="259"/>
            <w:col w:w="5253"/>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7"/>
        <w:rPr>
          <w:sz w:val="19"/>
        </w:rPr>
      </w:pPr>
    </w:p>
    <w:p>
      <w:pPr>
        <w:pStyle w:val="BodyText"/>
        <w:spacing w:line="232" w:lineRule="auto" w:before="1"/>
        <w:ind w:left="180" w:right="84"/>
      </w:pPr>
      <w:r>
        <w:rPr/>
        <w:t>tighten policy in order further to restrain demand growth if that still proved necessary.</w:t>
      </w:r>
    </w:p>
    <w:p>
      <w:pPr>
        <w:pStyle w:val="BodyText"/>
        <w:spacing w:before="6"/>
        <w:rPr>
          <w:sz w:val="20"/>
        </w:rPr>
      </w:pPr>
    </w:p>
    <w:p>
      <w:pPr>
        <w:pStyle w:val="Heading7"/>
        <w:ind w:left="180"/>
      </w:pPr>
      <w:r>
        <w:rPr>
          <w:color w:val="009391"/>
        </w:rPr>
        <w:t>The immediate policy decision</w:t>
      </w:r>
    </w:p>
    <w:p>
      <w:pPr>
        <w:pStyle w:val="ListParagraph"/>
        <w:numPr>
          <w:ilvl w:val="0"/>
          <w:numId w:val="42"/>
        </w:numPr>
        <w:tabs>
          <w:tab w:pos="659" w:val="left" w:leader="none"/>
          <w:tab w:pos="660" w:val="left" w:leader="none"/>
        </w:tabs>
        <w:spacing w:line="232" w:lineRule="auto" w:before="109" w:after="0"/>
        <w:ind w:left="180" w:right="43" w:firstLine="0"/>
        <w:jc w:val="left"/>
        <w:rPr>
          <w:sz w:val="18"/>
        </w:rPr>
      </w:pPr>
      <w:r>
        <w:rPr>
          <w:sz w:val="18"/>
        </w:rPr>
        <w:t>The Committee agreed that the analysis of the outlook for inflation had changed over the past few months. The news on demand and activity had been stronger than expected, whereas RPIX inflation had been weaker than expected. The short-term relationship between output and prices had for some time been uncertain, and if anything that uncertainty had increased. For a long time strong domestically-generated inflationary pressures had been offset by strongly benign external influences:  the price and net trade effects of the rising pound and of the shocks to world activity. Those external influences were now smaller. Sterling had recently risen slightly, but by less than during 1997 and 1998, and the world economy was recovering, with consequent rises in some input costs, for example oil. The key issues were now on the one hand the size and persistence of various downward influences on prices, and on the other hand the more-rapid-than-expected pick up in output growth and the extent to which domestic demand growth would slow without further monetary policy tightening.  Members’ analysis of the immediate policy choice varied according to how they viewed those</w:t>
      </w:r>
      <w:r>
        <w:rPr>
          <w:spacing w:val="-4"/>
          <w:sz w:val="18"/>
        </w:rPr>
        <w:t> </w:t>
      </w:r>
      <w:r>
        <w:rPr>
          <w:sz w:val="18"/>
        </w:rPr>
        <w:t>factors.</w:t>
      </w:r>
    </w:p>
    <w:p>
      <w:pPr>
        <w:pStyle w:val="BodyText"/>
        <w:spacing w:before="1"/>
        <w:rPr>
          <w:sz w:val="16"/>
        </w:rPr>
      </w:pPr>
    </w:p>
    <w:p>
      <w:pPr>
        <w:pStyle w:val="ListParagraph"/>
        <w:numPr>
          <w:ilvl w:val="0"/>
          <w:numId w:val="42"/>
        </w:numPr>
        <w:tabs>
          <w:tab w:pos="659" w:val="left" w:leader="none"/>
          <w:tab w:pos="660" w:val="left" w:leader="none"/>
        </w:tabs>
        <w:spacing w:line="232" w:lineRule="auto" w:before="0" w:after="0"/>
        <w:ind w:left="180" w:right="38" w:firstLine="0"/>
        <w:jc w:val="left"/>
        <w:rPr>
          <w:sz w:val="18"/>
        </w:rPr>
      </w:pPr>
      <w:r>
        <w:rPr>
          <w:sz w:val="18"/>
        </w:rPr>
        <w:t>A variety of arguments were identified in favour of an immediate increase in interest rates. Activity had recovered faster than expected, and confidence indicators had remained strong despite the September tightening of monetary policy and sterling’s recent strength. A further decline in the velocity of circulation was needed for narrow money, household Divisia and household M4 growth to be consistent with the inflation target. Final domestic demand growth was projected to slow but still to be above trend at the forecast horizon, supported amongst other things by a strong housing market. A significant negative contribution to GDP growth from net trade was effectively being relied upon to avoid aggregate demand exceeding the economy’s supply capacity. The labour market seemed again to be tightening, and there was consequently a risk that unit labour cost growth would not in fact moderate. AEI earnings growth had risen over recent months, and the Bank’s regional Agents had reported greater concerns about skill shortages increasing wage growth. Although there was particular uncertainty about the relationship between output growth and inflation, members were influenced by the rise in wage pressures and the pick up in survey-based measures of pricing intentions. Input price pressures were gathering. The inflation projection was still rising at the forecast horizon so that, assuming no news in the meantime, the February projection for 2002 Q1 would be higher than the target. While RPIX inflation was likely to be contained for a while by the various downward pressures on prices, a further tightening of policy was needed to restrain the medium-term inflationary implications of continued strong domestic demand. The risks from tightening and not tightening were not symmetric. An immediate 25 basis point increase would not carry many risks to output as growth was above trend and the level of activity was already probably not much, if at all, below the trend level. But there would be risks in not increasing interest rates now. The news on activity had been significantly stronger than expected since the Committee tightened pre-emptively in</w:t>
      </w:r>
      <w:r>
        <w:rPr>
          <w:spacing w:val="-6"/>
          <w:sz w:val="18"/>
        </w:rPr>
        <w:t> </w:t>
      </w:r>
      <w:r>
        <w:rPr>
          <w:sz w:val="18"/>
        </w:rPr>
        <w:t>September,</w:t>
      </w:r>
      <w:r>
        <w:rPr>
          <w:spacing w:val="-6"/>
          <w:sz w:val="18"/>
        </w:rPr>
        <w:t> </w:t>
      </w:r>
      <w:r>
        <w:rPr>
          <w:sz w:val="18"/>
        </w:rPr>
        <w:t>so</w:t>
      </w:r>
      <w:r>
        <w:rPr>
          <w:spacing w:val="-6"/>
          <w:sz w:val="18"/>
        </w:rPr>
        <w:t> </w:t>
      </w:r>
      <w:r>
        <w:rPr>
          <w:sz w:val="18"/>
        </w:rPr>
        <w:t>that</w:t>
      </w:r>
      <w:r>
        <w:rPr>
          <w:spacing w:val="-6"/>
          <w:sz w:val="18"/>
        </w:rPr>
        <w:t> </w:t>
      </w:r>
      <w:r>
        <w:rPr>
          <w:sz w:val="18"/>
        </w:rPr>
        <w:t>not</w:t>
      </w:r>
      <w:r>
        <w:rPr>
          <w:spacing w:val="-6"/>
          <w:sz w:val="18"/>
        </w:rPr>
        <w:t> </w:t>
      </w:r>
      <w:r>
        <w:rPr>
          <w:sz w:val="18"/>
        </w:rPr>
        <w:t>tightening</w:t>
      </w:r>
      <w:r>
        <w:rPr>
          <w:spacing w:val="-6"/>
          <w:sz w:val="18"/>
        </w:rPr>
        <w:t> </w:t>
      </w:r>
      <w:r>
        <w:rPr>
          <w:sz w:val="18"/>
        </w:rPr>
        <w:t>again</w:t>
      </w:r>
      <w:r>
        <w:rPr>
          <w:spacing w:val="-6"/>
          <w:sz w:val="18"/>
        </w:rPr>
        <w:t> </w:t>
      </w:r>
      <w:r>
        <w:rPr>
          <w:sz w:val="18"/>
        </w:rPr>
        <w:t>risked</w:t>
      </w:r>
      <w:r>
        <w:rPr>
          <w:spacing w:val="-6"/>
          <w:sz w:val="18"/>
        </w:rPr>
        <w:t> </w:t>
      </w:r>
      <w:r>
        <w:rPr>
          <w:sz w:val="18"/>
        </w:rPr>
        <w:t>increasing</w:t>
      </w:r>
      <w:r>
        <w:rPr>
          <w:spacing w:val="-6"/>
          <w:sz w:val="18"/>
        </w:rPr>
        <w:t> </w:t>
      </w:r>
      <w:r>
        <w:rPr>
          <w:sz w:val="18"/>
        </w:rPr>
        <w:t>inflation expectations, entailing a larger tightening later than would otherwise have been</w:t>
      </w:r>
      <w:r>
        <w:rPr>
          <w:spacing w:val="-5"/>
          <w:sz w:val="18"/>
        </w:rPr>
        <w:t> </w:t>
      </w:r>
      <w:r>
        <w:rPr>
          <w:sz w:val="18"/>
        </w:rPr>
        <w:t>necessary.</w:t>
      </w:r>
    </w:p>
    <w:p>
      <w:pPr>
        <w:pStyle w:val="ListParagraph"/>
        <w:numPr>
          <w:ilvl w:val="0"/>
          <w:numId w:val="42"/>
        </w:numPr>
        <w:tabs>
          <w:tab w:pos="659" w:val="left" w:leader="none"/>
          <w:tab w:pos="660" w:val="left" w:leader="none"/>
        </w:tabs>
        <w:spacing w:line="232" w:lineRule="auto" w:before="173" w:after="0"/>
        <w:ind w:left="180" w:right="78" w:firstLine="0"/>
        <w:jc w:val="left"/>
        <w:rPr>
          <w:sz w:val="18"/>
        </w:rPr>
      </w:pPr>
      <w:r>
        <w:rPr>
          <w:sz w:val="18"/>
        </w:rPr>
        <w:t>As well as weighing the considerations set out in paragraph 37, those members of the Committee who favoured a higher central projection than that assumed—whether because of different preferred</w:t>
      </w:r>
      <w:r>
        <w:rPr>
          <w:spacing w:val="-6"/>
          <w:sz w:val="18"/>
        </w:rPr>
        <w:t> </w:t>
      </w:r>
      <w:r>
        <w:rPr>
          <w:sz w:val="18"/>
        </w:rPr>
        <w:t>assumptions</w:t>
      </w:r>
      <w:r>
        <w:rPr>
          <w:spacing w:val="-5"/>
          <w:sz w:val="18"/>
        </w:rPr>
        <w:t> </w:t>
      </w:r>
      <w:r>
        <w:rPr>
          <w:sz w:val="18"/>
        </w:rPr>
        <w:t>on</w:t>
      </w:r>
      <w:r>
        <w:rPr>
          <w:spacing w:val="-5"/>
          <w:sz w:val="18"/>
        </w:rPr>
        <w:t> </w:t>
      </w:r>
      <w:r>
        <w:rPr>
          <w:sz w:val="18"/>
        </w:rPr>
        <w:t>the</w:t>
      </w:r>
      <w:r>
        <w:rPr>
          <w:spacing w:val="-5"/>
          <w:sz w:val="18"/>
        </w:rPr>
        <w:t> </w:t>
      </w:r>
      <w:r>
        <w:rPr>
          <w:sz w:val="18"/>
        </w:rPr>
        <w:t>path</w:t>
      </w:r>
      <w:r>
        <w:rPr>
          <w:spacing w:val="-6"/>
          <w:sz w:val="18"/>
        </w:rPr>
        <w:t> </w:t>
      </w:r>
      <w:r>
        <w:rPr>
          <w:sz w:val="18"/>
        </w:rPr>
        <w:t>of</w:t>
      </w:r>
      <w:r>
        <w:rPr>
          <w:spacing w:val="-5"/>
          <w:sz w:val="18"/>
        </w:rPr>
        <w:t> </w:t>
      </w:r>
      <w:r>
        <w:rPr>
          <w:sz w:val="18"/>
        </w:rPr>
        <w:t>the</w:t>
      </w:r>
      <w:r>
        <w:rPr>
          <w:spacing w:val="-5"/>
          <w:sz w:val="18"/>
        </w:rPr>
        <w:t> </w:t>
      </w:r>
      <w:r>
        <w:rPr>
          <w:sz w:val="18"/>
        </w:rPr>
        <w:t>exchange</w:t>
      </w:r>
      <w:r>
        <w:rPr>
          <w:spacing w:val="-5"/>
          <w:sz w:val="18"/>
        </w:rPr>
        <w:t> </w:t>
      </w:r>
      <w:r>
        <w:rPr>
          <w:sz w:val="18"/>
        </w:rPr>
        <w:t>rate</w:t>
      </w:r>
      <w:r>
        <w:rPr>
          <w:spacing w:val="-6"/>
          <w:sz w:val="18"/>
        </w:rPr>
        <w:t> </w:t>
      </w:r>
      <w:r>
        <w:rPr>
          <w:sz w:val="18"/>
        </w:rPr>
        <w:t>or</w:t>
      </w:r>
      <w:r>
        <w:rPr>
          <w:spacing w:val="-5"/>
          <w:sz w:val="18"/>
        </w:rPr>
        <w:t> </w:t>
      </w:r>
      <w:r>
        <w:rPr>
          <w:sz w:val="18"/>
        </w:rPr>
        <w:t>price-cost margins, or on both—regarded the risks of overshooting the target as correspondingly greater. The choice for them now was between 25 and 50 basis points. While a case could be made for 50 basis points in order to counter the strength of underlying inflationary pressures, the following considerations led them to prefer a smaller rise. As the Committee had discussed, there were signs,</w:t>
      </w:r>
      <w:r>
        <w:rPr>
          <w:spacing w:val="-26"/>
          <w:sz w:val="18"/>
        </w:rPr>
        <w:t> </w:t>
      </w:r>
      <w:r>
        <w:rPr>
          <w:sz w:val="18"/>
        </w:rPr>
        <w:t>for</w:t>
      </w:r>
    </w:p>
    <w:p>
      <w:pPr>
        <w:pStyle w:val="BodyText"/>
        <w:spacing w:before="7"/>
        <w:rPr>
          <w:sz w:val="19"/>
        </w:rPr>
      </w:pPr>
      <w:r>
        <w:rPr/>
        <w:br w:type="column"/>
      </w:r>
      <w:r>
        <w:rPr>
          <w:sz w:val="19"/>
        </w:rPr>
      </w:r>
    </w:p>
    <w:p>
      <w:pPr>
        <w:pStyle w:val="BodyText"/>
        <w:spacing w:line="232" w:lineRule="auto"/>
        <w:ind w:left="180" w:right="111"/>
      </w:pPr>
      <w:r>
        <w:rPr/>
        <w:t>example in surveys, that there might be some slowing in demand growth. There was time to wait to gather evidence on this as inflation was projected to be below the 2</w:t>
      </w:r>
      <w:r>
        <w:rPr>
          <w:position w:val="6"/>
          <w:sz w:val="9"/>
        </w:rPr>
        <w:t>1</w:t>
      </w:r>
      <w:r>
        <w:rPr/>
        <w:t>/</w:t>
      </w:r>
      <w:r>
        <w:rPr>
          <w:sz w:val="9"/>
        </w:rPr>
        <w:t>2</w:t>
      </w:r>
      <w:r>
        <w:rPr/>
        <w:t>% target for nearly all of the forecast period. Separately, given market expectations, an increase of more than 25 basis points risked putting undue upward pressure on the exchange rate, which would tend to restrain net trade</w:t>
      </w:r>
      <w:r>
        <w:rPr>
          <w:spacing w:val="-6"/>
        </w:rPr>
        <w:t> </w:t>
      </w:r>
      <w:r>
        <w:rPr/>
        <w:t>and</w:t>
      </w:r>
      <w:r>
        <w:rPr>
          <w:spacing w:val="-5"/>
        </w:rPr>
        <w:t> </w:t>
      </w:r>
      <w:r>
        <w:rPr/>
        <w:t>import</w:t>
      </w:r>
      <w:r>
        <w:rPr>
          <w:spacing w:val="-5"/>
        </w:rPr>
        <w:t> </w:t>
      </w:r>
      <w:r>
        <w:rPr/>
        <w:t>prices</w:t>
      </w:r>
      <w:r>
        <w:rPr>
          <w:spacing w:val="-5"/>
        </w:rPr>
        <w:t> </w:t>
      </w:r>
      <w:r>
        <w:rPr/>
        <w:t>whereas</w:t>
      </w:r>
      <w:r>
        <w:rPr>
          <w:spacing w:val="-5"/>
        </w:rPr>
        <w:t> </w:t>
      </w:r>
      <w:r>
        <w:rPr/>
        <w:t>policy</w:t>
      </w:r>
      <w:r>
        <w:rPr>
          <w:spacing w:val="-5"/>
        </w:rPr>
        <w:t> </w:t>
      </w:r>
      <w:r>
        <w:rPr/>
        <w:t>action</w:t>
      </w:r>
      <w:r>
        <w:rPr>
          <w:spacing w:val="-6"/>
        </w:rPr>
        <w:t> </w:t>
      </w:r>
      <w:r>
        <w:rPr/>
        <w:t>was</w:t>
      </w:r>
      <w:r>
        <w:rPr>
          <w:spacing w:val="-5"/>
        </w:rPr>
        <w:t> </w:t>
      </w:r>
      <w:r>
        <w:rPr/>
        <w:t>needed</w:t>
      </w:r>
      <w:r>
        <w:rPr>
          <w:spacing w:val="-5"/>
        </w:rPr>
        <w:t> </w:t>
      </w:r>
      <w:r>
        <w:rPr/>
        <w:t>to</w:t>
      </w:r>
      <w:r>
        <w:rPr>
          <w:spacing w:val="-5"/>
        </w:rPr>
        <w:t> </w:t>
      </w:r>
      <w:r>
        <w:rPr/>
        <w:t>address domestically-generated inflationary</w:t>
      </w:r>
      <w:r>
        <w:rPr>
          <w:spacing w:val="-5"/>
        </w:rPr>
        <w:t> </w:t>
      </w:r>
      <w:r>
        <w:rPr/>
        <w:t>pressures.</w:t>
      </w:r>
    </w:p>
    <w:p>
      <w:pPr>
        <w:pStyle w:val="BodyText"/>
        <w:spacing w:before="4"/>
        <w:rPr>
          <w:sz w:val="20"/>
        </w:rPr>
      </w:pPr>
    </w:p>
    <w:p>
      <w:pPr>
        <w:pStyle w:val="ListParagraph"/>
        <w:numPr>
          <w:ilvl w:val="0"/>
          <w:numId w:val="42"/>
        </w:numPr>
        <w:tabs>
          <w:tab w:pos="659" w:val="left" w:leader="none"/>
          <w:tab w:pos="660" w:val="left" w:leader="none"/>
        </w:tabs>
        <w:spacing w:line="232" w:lineRule="auto" w:before="0" w:after="0"/>
        <w:ind w:left="180" w:right="145" w:firstLine="0"/>
        <w:jc w:val="left"/>
        <w:rPr>
          <w:sz w:val="18"/>
        </w:rPr>
      </w:pPr>
      <w:r>
        <w:rPr>
          <w:sz w:val="18"/>
        </w:rPr>
        <w:t>One member explored the arguments for an interest rate increase of less than 25 basis points. The profile for inflation implied</w:t>
      </w:r>
      <w:r>
        <w:rPr>
          <w:spacing w:val="-6"/>
          <w:sz w:val="18"/>
        </w:rPr>
        <w:t> </w:t>
      </w:r>
      <w:r>
        <w:rPr>
          <w:sz w:val="18"/>
        </w:rPr>
        <w:t>that</w:t>
      </w:r>
      <w:r>
        <w:rPr>
          <w:spacing w:val="-6"/>
          <w:sz w:val="18"/>
        </w:rPr>
        <w:t> </w:t>
      </w:r>
      <w:r>
        <w:rPr>
          <w:sz w:val="18"/>
        </w:rPr>
        <w:t>the</w:t>
      </w:r>
      <w:r>
        <w:rPr>
          <w:spacing w:val="-5"/>
          <w:sz w:val="18"/>
        </w:rPr>
        <w:t> </w:t>
      </w:r>
      <w:r>
        <w:rPr>
          <w:sz w:val="18"/>
        </w:rPr>
        <w:t>pressures</w:t>
      </w:r>
      <w:r>
        <w:rPr>
          <w:spacing w:val="-6"/>
          <w:sz w:val="18"/>
        </w:rPr>
        <w:t> </w:t>
      </w:r>
      <w:r>
        <w:rPr>
          <w:sz w:val="18"/>
        </w:rPr>
        <w:t>on</w:t>
      </w:r>
      <w:r>
        <w:rPr>
          <w:spacing w:val="-6"/>
          <w:sz w:val="18"/>
        </w:rPr>
        <w:t> </w:t>
      </w:r>
      <w:r>
        <w:rPr>
          <w:sz w:val="18"/>
        </w:rPr>
        <w:t>the</w:t>
      </w:r>
      <w:r>
        <w:rPr>
          <w:spacing w:val="-5"/>
          <w:sz w:val="18"/>
        </w:rPr>
        <w:t> </w:t>
      </w:r>
      <w:r>
        <w:rPr>
          <w:sz w:val="18"/>
        </w:rPr>
        <w:t>economy’s</w:t>
      </w:r>
      <w:r>
        <w:rPr>
          <w:spacing w:val="-6"/>
          <w:sz w:val="18"/>
        </w:rPr>
        <w:t> </w:t>
      </w:r>
      <w:r>
        <w:rPr>
          <w:sz w:val="18"/>
        </w:rPr>
        <w:t>supply</w:t>
      </w:r>
      <w:r>
        <w:rPr>
          <w:spacing w:val="-6"/>
          <w:sz w:val="18"/>
        </w:rPr>
        <w:t> </w:t>
      </w:r>
      <w:r>
        <w:rPr>
          <w:sz w:val="18"/>
        </w:rPr>
        <w:t>capacity</w:t>
      </w:r>
      <w:r>
        <w:rPr>
          <w:spacing w:val="-5"/>
          <w:sz w:val="18"/>
        </w:rPr>
        <w:t> </w:t>
      </w:r>
      <w:r>
        <w:rPr>
          <w:sz w:val="18"/>
        </w:rPr>
        <w:t>needed to be restrained in the medium term but that there was time to do this, particularly given the uncertainties about the outlook. An increase of less than 25 basis points would assist that process and would, in particular, provide a clear signal of the Committee’s resolve in addressing those medium-term concerns, while recognising the downward pressures on inflation in the near term, when it was projected to drop materially below the 2</w:t>
      </w:r>
      <w:r>
        <w:rPr>
          <w:position w:val="6"/>
          <w:sz w:val="9"/>
        </w:rPr>
        <w:t>1</w:t>
      </w:r>
      <w:r>
        <w:rPr>
          <w:sz w:val="18"/>
        </w:rPr>
        <w:t>/</w:t>
      </w:r>
      <w:r>
        <w:rPr>
          <w:sz w:val="9"/>
        </w:rPr>
        <w:t>2</w:t>
      </w:r>
      <w:r>
        <w:rPr>
          <w:sz w:val="18"/>
        </w:rPr>
        <w:t>% target. It would be easier for the Committee to introduce smaller-than-25 basis point changes now having already tightened policy in September. However, as this would be the first time rates changed by less than 25 basis points, there was a significant risk that the reasons would be misunderstood. The better course was, therefore, to raise rates by 25 basis</w:t>
      </w:r>
      <w:r>
        <w:rPr>
          <w:spacing w:val="-8"/>
          <w:sz w:val="18"/>
        </w:rPr>
        <w:t> </w:t>
      </w:r>
      <w:r>
        <w:rPr>
          <w:sz w:val="18"/>
        </w:rPr>
        <w:t>points.</w:t>
      </w:r>
    </w:p>
    <w:p>
      <w:pPr>
        <w:pStyle w:val="BodyText"/>
        <w:spacing w:before="9"/>
        <w:rPr>
          <w:sz w:val="19"/>
        </w:rPr>
      </w:pPr>
    </w:p>
    <w:p>
      <w:pPr>
        <w:pStyle w:val="ListParagraph"/>
        <w:numPr>
          <w:ilvl w:val="0"/>
          <w:numId w:val="42"/>
        </w:numPr>
        <w:tabs>
          <w:tab w:pos="659" w:val="left" w:leader="none"/>
          <w:tab w:pos="660" w:val="left" w:leader="none"/>
        </w:tabs>
        <w:spacing w:line="232" w:lineRule="auto" w:before="1" w:after="0"/>
        <w:ind w:left="180" w:right="125" w:firstLine="0"/>
        <w:jc w:val="left"/>
        <w:rPr>
          <w:sz w:val="18"/>
        </w:rPr>
      </w:pPr>
      <w:r>
        <w:rPr>
          <w:sz w:val="18"/>
        </w:rPr>
        <w:t>Various arguments were advanced for maintaining the official interest rate at 5.25%. Inflation was below target and was set to remain so over the next two years. The outlook depended to a significant degree on two material factors: the exchange rate, and the balance of aggregate demand and the economy’s supply capacity. Recent export outturns added weight to the view that sterling would be stronger than the path assumed as the best collective judgment; and survey measures showed capacity utilisation falling slightly, perhaps because investment during this upswing had been strong. There were significant downward pressures on prices, reflecting not only one-off regulatory measures but also an ongoing intensification of competition</w:t>
      </w:r>
      <w:r>
        <w:rPr>
          <w:spacing w:val="-24"/>
          <w:sz w:val="18"/>
        </w:rPr>
        <w:t> </w:t>
      </w:r>
      <w:r>
        <w:rPr>
          <w:sz w:val="18"/>
        </w:rPr>
        <w:t>throughout</w:t>
      </w:r>
    </w:p>
    <w:p>
      <w:pPr>
        <w:pStyle w:val="BodyText"/>
        <w:spacing w:line="232" w:lineRule="auto"/>
        <w:ind w:left="180" w:right="456"/>
      </w:pPr>
      <w:r>
        <w:rPr/>
        <w:t>the economy. This would help to restrain earnings growth below the path assumed as the best collective judgment.</w:t>
      </w:r>
    </w:p>
    <w:p>
      <w:pPr>
        <w:pStyle w:val="BodyText"/>
        <w:spacing w:line="232" w:lineRule="auto"/>
        <w:ind w:left="180" w:right="246"/>
      </w:pPr>
      <w:r>
        <w:rPr/>
        <w:t>Monetary conditions, as reflected in the yield curve, had tightened significantly in recent months, and were probably bearing</w:t>
      </w:r>
    </w:p>
    <w:p>
      <w:pPr>
        <w:pStyle w:val="BodyText"/>
        <w:spacing w:line="232" w:lineRule="auto"/>
        <w:ind w:left="180" w:right="276"/>
      </w:pPr>
      <w:r>
        <w:rPr/>
        <w:t>down on demand by rather more than had been assumed in the published fan charts. Taking these considerations together, the steep rise in the central projection of inflation 18 months hence was highly uncertain and there were clear downside risks to it. With a symmetric inflation target, a further tightening was not yet needed.</w:t>
      </w:r>
    </w:p>
    <w:p>
      <w:pPr>
        <w:pStyle w:val="BodyText"/>
        <w:spacing w:before="4"/>
        <w:rPr>
          <w:sz w:val="19"/>
        </w:rPr>
      </w:pPr>
    </w:p>
    <w:p>
      <w:pPr>
        <w:pStyle w:val="ListParagraph"/>
        <w:numPr>
          <w:ilvl w:val="0"/>
          <w:numId w:val="42"/>
        </w:numPr>
        <w:tabs>
          <w:tab w:pos="659" w:val="left" w:leader="none"/>
          <w:tab w:pos="660" w:val="left" w:leader="none"/>
        </w:tabs>
        <w:spacing w:line="232" w:lineRule="auto" w:before="0" w:after="0"/>
        <w:ind w:left="180" w:right="210" w:firstLine="0"/>
        <w:jc w:val="left"/>
        <w:rPr>
          <w:sz w:val="18"/>
        </w:rPr>
      </w:pPr>
      <w:r>
        <w:rPr>
          <w:sz w:val="18"/>
        </w:rPr>
        <w:t>The Governor invited members of the Committee to vote on the proposition that the Bank repo rate be increased by 25 basis points to 5.50%. Eight members of the Committee (the Governor, Mervyn King, David Clementi, Willem Buiter, Charles Goodhart, Ian</w:t>
      </w:r>
      <w:r>
        <w:rPr>
          <w:spacing w:val="-5"/>
          <w:sz w:val="18"/>
        </w:rPr>
        <w:t> </w:t>
      </w:r>
      <w:r>
        <w:rPr>
          <w:sz w:val="18"/>
        </w:rPr>
        <w:t>Plenderleith,</w:t>
      </w:r>
      <w:r>
        <w:rPr>
          <w:spacing w:val="-6"/>
          <w:sz w:val="18"/>
        </w:rPr>
        <w:t> </w:t>
      </w:r>
      <w:r>
        <w:rPr>
          <w:sz w:val="18"/>
        </w:rPr>
        <w:t>John</w:t>
      </w:r>
      <w:r>
        <w:rPr>
          <w:spacing w:val="-4"/>
          <w:sz w:val="18"/>
        </w:rPr>
        <w:t> </w:t>
      </w:r>
      <w:r>
        <w:rPr>
          <w:sz w:val="18"/>
        </w:rPr>
        <w:t>Vickers</w:t>
      </w:r>
      <w:r>
        <w:rPr>
          <w:spacing w:val="-6"/>
          <w:sz w:val="18"/>
        </w:rPr>
        <w:t> </w:t>
      </w:r>
      <w:r>
        <w:rPr>
          <w:sz w:val="18"/>
        </w:rPr>
        <w:t>and</w:t>
      </w:r>
      <w:r>
        <w:rPr>
          <w:spacing w:val="-6"/>
          <w:sz w:val="18"/>
        </w:rPr>
        <w:t> </w:t>
      </w:r>
      <w:r>
        <w:rPr>
          <w:sz w:val="18"/>
        </w:rPr>
        <w:t>Sushil</w:t>
      </w:r>
      <w:r>
        <w:rPr>
          <w:spacing w:val="-4"/>
          <w:sz w:val="18"/>
        </w:rPr>
        <w:t> </w:t>
      </w:r>
      <w:r>
        <w:rPr>
          <w:sz w:val="18"/>
        </w:rPr>
        <w:t>Wadhwani)</w:t>
      </w:r>
      <w:r>
        <w:rPr>
          <w:spacing w:val="-6"/>
          <w:sz w:val="18"/>
        </w:rPr>
        <w:t> </w:t>
      </w:r>
      <w:r>
        <w:rPr>
          <w:sz w:val="18"/>
        </w:rPr>
        <w:t>voted</w:t>
      </w:r>
      <w:r>
        <w:rPr>
          <w:spacing w:val="-5"/>
          <w:sz w:val="18"/>
        </w:rPr>
        <w:t> </w:t>
      </w:r>
      <w:r>
        <w:rPr>
          <w:sz w:val="18"/>
        </w:rPr>
        <w:t>for</w:t>
      </w:r>
      <w:r>
        <w:rPr>
          <w:spacing w:val="-6"/>
          <w:sz w:val="18"/>
        </w:rPr>
        <w:t> </w:t>
      </w:r>
      <w:r>
        <w:rPr>
          <w:sz w:val="18"/>
        </w:rPr>
        <w:t>the proposition. DeAnne Julius voted against, preferring to maintain interest rates at</w:t>
      </w:r>
      <w:r>
        <w:rPr>
          <w:spacing w:val="-4"/>
          <w:sz w:val="18"/>
        </w:rPr>
        <w:t> </w:t>
      </w:r>
      <w:r>
        <w:rPr>
          <w:sz w:val="18"/>
        </w:rPr>
        <w:t>5.25%.</w:t>
      </w:r>
    </w:p>
    <w:p>
      <w:pPr>
        <w:pStyle w:val="ListParagraph"/>
        <w:numPr>
          <w:ilvl w:val="0"/>
          <w:numId w:val="42"/>
        </w:numPr>
        <w:tabs>
          <w:tab w:pos="659" w:val="left" w:leader="none"/>
          <w:tab w:pos="660" w:val="left" w:leader="none"/>
        </w:tabs>
        <w:spacing w:line="440" w:lineRule="exact" w:before="6" w:after="0"/>
        <w:ind w:left="180" w:right="515"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147" w:lineRule="exact"/>
        <w:ind w:left="180"/>
      </w:pPr>
      <w:r>
        <w:rPr/>
        <w:t>Mervyn King, Deputy Governor responsible for monetary policy</w:t>
      </w:r>
    </w:p>
    <w:p>
      <w:pPr>
        <w:pStyle w:val="BodyText"/>
        <w:spacing w:line="232" w:lineRule="auto" w:before="1"/>
        <w:ind w:left="180" w:right="101"/>
      </w:pPr>
      <w:r>
        <w:rPr/>
        <w:t>David Clementi, Deputy Governor responsible for financial stability Willem Buiter</w:t>
      </w:r>
    </w:p>
    <w:p>
      <w:pPr>
        <w:pStyle w:val="BodyText"/>
        <w:spacing w:line="232" w:lineRule="auto"/>
        <w:ind w:left="180" w:right="3745"/>
      </w:pPr>
      <w:r>
        <w:rPr/>
        <w:t>Charles Goodhart DeAnne Julius Ian Plenderleith John Vickers Sushil Wadhwani</w:t>
      </w:r>
    </w:p>
    <w:p>
      <w:pPr>
        <w:pStyle w:val="BodyText"/>
        <w:spacing w:before="5"/>
        <w:rPr>
          <w:sz w:val="20"/>
        </w:rPr>
      </w:pPr>
    </w:p>
    <w:p>
      <w:pPr>
        <w:pStyle w:val="ListParagraph"/>
        <w:numPr>
          <w:ilvl w:val="0"/>
          <w:numId w:val="42"/>
        </w:numPr>
        <w:tabs>
          <w:tab w:pos="659" w:val="left" w:leader="none"/>
          <w:tab w:pos="660" w:val="left" w:leader="none"/>
        </w:tabs>
        <w:spacing w:line="232" w:lineRule="auto" w:before="0" w:after="0"/>
        <w:ind w:left="180" w:right="1084" w:firstLine="0"/>
        <w:jc w:val="left"/>
        <w:rPr>
          <w:sz w:val="18"/>
        </w:rPr>
      </w:pPr>
      <w:r>
        <w:rPr>
          <w:sz w:val="18"/>
        </w:rPr>
        <w:t>Gus O’Donnell was also present as the Treasury representative.</w:t>
      </w:r>
    </w:p>
    <w:p>
      <w:pPr>
        <w:spacing w:after="0" w:line="232" w:lineRule="auto"/>
        <w:jc w:val="left"/>
        <w:rPr>
          <w:sz w:val="18"/>
        </w:rPr>
        <w:sectPr>
          <w:type w:val="continuous"/>
          <w:pgSz w:w="11900" w:h="16840"/>
          <w:pgMar w:top="1220" w:bottom="280" w:left="620" w:right="640"/>
          <w:cols w:num="2" w:equalWidth="0">
            <w:col w:w="5148" w:space="272"/>
            <w:col w:w="5220"/>
          </w:cols>
        </w:sectPr>
      </w:pPr>
    </w:p>
    <w:p>
      <w:pPr>
        <w:pStyle w:val="BodyText"/>
        <w:rPr>
          <w:sz w:val="20"/>
        </w:rPr>
      </w:pPr>
    </w:p>
    <w:p>
      <w:pPr>
        <w:pStyle w:val="BodyText"/>
        <w:rPr>
          <w:sz w:val="20"/>
        </w:rPr>
      </w:pPr>
    </w:p>
    <w:p>
      <w:pPr>
        <w:spacing w:before="256"/>
        <w:ind w:left="189" w:right="0" w:firstLine="0"/>
        <w:jc w:val="left"/>
        <w:rPr>
          <w:b/>
          <w:sz w:val="32"/>
        </w:rPr>
      </w:pPr>
      <w:r>
        <w:rPr>
          <w:b/>
          <w:color w:val="009391"/>
          <w:sz w:val="32"/>
        </w:rPr>
        <w:t>Annex: Summary of data presented by Bank staff</w:t>
      </w:r>
    </w:p>
    <w:p>
      <w:pPr>
        <w:pStyle w:val="BodyText"/>
        <w:spacing w:before="9"/>
        <w:rPr>
          <w:b/>
          <w:sz w:val="25"/>
        </w:rPr>
      </w:pPr>
    </w:p>
    <w:p>
      <w:pPr>
        <w:spacing w:after="0"/>
        <w:rPr>
          <w:sz w:val="25"/>
        </w:rPr>
        <w:sectPr>
          <w:pgSz w:w="11900" w:h="16840"/>
          <w:pgMar w:header="566" w:footer="597" w:top="760" w:bottom="780" w:left="620" w:right="640"/>
        </w:sectPr>
      </w:pPr>
    </w:p>
    <w:p>
      <w:pPr>
        <w:pStyle w:val="ListParagraph"/>
        <w:numPr>
          <w:ilvl w:val="0"/>
          <w:numId w:val="43"/>
        </w:numPr>
        <w:tabs>
          <w:tab w:pos="669" w:val="left" w:leader="none"/>
          <w:tab w:pos="670" w:val="left" w:leader="none"/>
        </w:tabs>
        <w:spacing w:line="232" w:lineRule="auto" w:before="105" w:after="0"/>
        <w:ind w:left="190" w:right="87" w:firstLine="0"/>
        <w:jc w:val="left"/>
        <w:rPr>
          <w:sz w:val="18"/>
        </w:rPr>
      </w:pPr>
      <w:r>
        <w:rPr>
          <w:sz w:val="18"/>
        </w:rPr>
        <w:t>This</w:t>
      </w:r>
      <w:r>
        <w:rPr>
          <w:spacing w:val="-6"/>
          <w:sz w:val="18"/>
        </w:rPr>
        <w:t> </w:t>
      </w:r>
      <w:r>
        <w:rPr>
          <w:sz w:val="18"/>
        </w:rPr>
        <w:t>Annex</w:t>
      </w:r>
      <w:r>
        <w:rPr>
          <w:spacing w:val="-6"/>
          <w:sz w:val="18"/>
        </w:rPr>
        <w:t> </w:t>
      </w:r>
      <w:r>
        <w:rPr>
          <w:sz w:val="18"/>
        </w:rPr>
        <w:t>summarises</w:t>
      </w:r>
      <w:r>
        <w:rPr>
          <w:spacing w:val="-5"/>
          <w:sz w:val="18"/>
        </w:rPr>
        <w:t> </w:t>
      </w:r>
      <w:r>
        <w:rPr>
          <w:sz w:val="18"/>
        </w:rPr>
        <w:t>the</w:t>
      </w:r>
      <w:r>
        <w:rPr>
          <w:spacing w:val="-6"/>
          <w:sz w:val="18"/>
        </w:rPr>
        <w:t> </w:t>
      </w:r>
      <w:r>
        <w:rPr>
          <w:sz w:val="18"/>
        </w:rPr>
        <w:t>analysis</w:t>
      </w:r>
      <w:r>
        <w:rPr>
          <w:spacing w:val="-5"/>
          <w:sz w:val="18"/>
        </w:rPr>
        <w:t> </w:t>
      </w:r>
      <w:r>
        <w:rPr>
          <w:sz w:val="18"/>
        </w:rPr>
        <w:t>presented</w:t>
      </w:r>
      <w:r>
        <w:rPr>
          <w:spacing w:val="-6"/>
          <w:sz w:val="18"/>
        </w:rPr>
        <w:t> </w:t>
      </w:r>
      <w:r>
        <w:rPr>
          <w:sz w:val="18"/>
        </w:rPr>
        <w:t>by</w:t>
      </w:r>
      <w:r>
        <w:rPr>
          <w:spacing w:val="-6"/>
          <w:sz w:val="18"/>
        </w:rPr>
        <w:t> </w:t>
      </w:r>
      <w:r>
        <w:rPr>
          <w:sz w:val="18"/>
        </w:rPr>
        <w:t>Bank</w:t>
      </w:r>
      <w:r>
        <w:rPr>
          <w:spacing w:val="-5"/>
          <w:sz w:val="18"/>
        </w:rPr>
        <w:t> </w:t>
      </w:r>
      <w:r>
        <w:rPr>
          <w:sz w:val="18"/>
        </w:rPr>
        <w:t>staff to the Monetary Policy Committee on 29 October, in advance of its meeting on 3–4 November 1999. At the start of the Committee meeting itself, members were made aware of information that had subsequently become available, and that information is included in this</w:t>
      </w:r>
      <w:r>
        <w:rPr>
          <w:spacing w:val="-2"/>
          <w:sz w:val="18"/>
        </w:rPr>
        <w:t> </w:t>
      </w:r>
      <w:r>
        <w:rPr>
          <w:sz w:val="18"/>
        </w:rPr>
        <w:t>Annex.</w:t>
      </w:r>
    </w:p>
    <w:p>
      <w:pPr>
        <w:pStyle w:val="BodyText"/>
        <w:spacing w:before="3"/>
        <w:rPr>
          <w:sz w:val="20"/>
        </w:rPr>
      </w:pPr>
    </w:p>
    <w:p>
      <w:pPr>
        <w:pStyle w:val="Heading7"/>
        <w:numPr>
          <w:ilvl w:val="0"/>
          <w:numId w:val="44"/>
        </w:numPr>
        <w:tabs>
          <w:tab w:pos="669" w:val="left" w:leader="none"/>
          <w:tab w:pos="671" w:val="left" w:leader="none"/>
        </w:tabs>
        <w:spacing w:line="240" w:lineRule="auto" w:before="0" w:after="0"/>
        <w:ind w:left="670" w:right="0" w:hanging="481"/>
        <w:jc w:val="left"/>
      </w:pPr>
      <w:r>
        <w:rPr>
          <w:color w:val="009391"/>
        </w:rPr>
        <w:t>The international</w:t>
      </w:r>
      <w:r>
        <w:rPr>
          <w:color w:val="009391"/>
          <w:spacing w:val="-5"/>
        </w:rPr>
        <w:t> </w:t>
      </w:r>
      <w:r>
        <w:rPr>
          <w:color w:val="009391"/>
        </w:rPr>
        <w:t>environment</w:t>
      </w:r>
    </w:p>
    <w:p>
      <w:pPr>
        <w:pStyle w:val="ListParagraph"/>
        <w:numPr>
          <w:ilvl w:val="0"/>
          <w:numId w:val="43"/>
        </w:numPr>
        <w:tabs>
          <w:tab w:pos="669" w:val="left" w:leader="none"/>
          <w:tab w:pos="670" w:val="left" w:leader="none"/>
        </w:tabs>
        <w:spacing w:line="232" w:lineRule="auto" w:before="109" w:after="0"/>
        <w:ind w:left="189" w:right="80" w:firstLine="0"/>
        <w:jc w:val="left"/>
        <w:rPr>
          <w:sz w:val="18"/>
        </w:rPr>
      </w:pPr>
      <w:r>
        <w:rPr>
          <w:sz w:val="18"/>
        </w:rPr>
        <w:t>US GDP had risen by 1.2% in Q3, according to the provisional estimate. Consumption and investment had remained strong, while inventories had made a positive contribution to GDP growth, following a negative contribution in Q2. Net exports had continued to fall in Q3, albeit by less than in Q2. Definitional and statistical changes to the National Accounts had raised the average annual GDP growth rate by 0.4 percentage points between 1992 and 1998. The National Association of Purchasing Managers’ (N</w:t>
      </w:r>
      <w:r>
        <w:rPr>
          <w:sz w:val="14"/>
        </w:rPr>
        <w:t>APM</w:t>
      </w:r>
      <w:r>
        <w:rPr>
          <w:sz w:val="18"/>
        </w:rPr>
        <w:t>)</w:t>
      </w:r>
      <w:r>
        <w:rPr>
          <w:spacing w:val="-5"/>
          <w:sz w:val="18"/>
        </w:rPr>
        <w:t> </w:t>
      </w:r>
      <w:r>
        <w:rPr>
          <w:sz w:val="18"/>
        </w:rPr>
        <w:t>Index</w:t>
      </w:r>
      <w:r>
        <w:rPr>
          <w:spacing w:val="-5"/>
          <w:sz w:val="18"/>
        </w:rPr>
        <w:t> </w:t>
      </w:r>
      <w:r>
        <w:rPr>
          <w:sz w:val="18"/>
        </w:rPr>
        <w:t>had</w:t>
      </w:r>
      <w:r>
        <w:rPr>
          <w:spacing w:val="-5"/>
          <w:sz w:val="18"/>
        </w:rPr>
        <w:t> </w:t>
      </w:r>
      <w:r>
        <w:rPr>
          <w:sz w:val="18"/>
        </w:rPr>
        <w:t>fallen</w:t>
      </w:r>
      <w:r>
        <w:rPr>
          <w:spacing w:val="-5"/>
          <w:sz w:val="18"/>
        </w:rPr>
        <w:t> </w:t>
      </w:r>
      <w:r>
        <w:rPr>
          <w:sz w:val="18"/>
        </w:rPr>
        <w:t>slightly</w:t>
      </w:r>
      <w:r>
        <w:rPr>
          <w:spacing w:val="-5"/>
          <w:sz w:val="18"/>
        </w:rPr>
        <w:t> </w:t>
      </w:r>
      <w:r>
        <w:rPr>
          <w:sz w:val="18"/>
        </w:rPr>
        <w:t>in</w:t>
      </w:r>
      <w:r>
        <w:rPr>
          <w:spacing w:val="-5"/>
          <w:sz w:val="18"/>
        </w:rPr>
        <w:t> </w:t>
      </w:r>
      <w:r>
        <w:rPr>
          <w:sz w:val="18"/>
        </w:rPr>
        <w:t>September,</w:t>
      </w:r>
      <w:r>
        <w:rPr>
          <w:spacing w:val="-5"/>
          <w:sz w:val="18"/>
        </w:rPr>
        <w:t> </w:t>
      </w:r>
      <w:r>
        <w:rPr>
          <w:sz w:val="18"/>
        </w:rPr>
        <w:t>but</w:t>
      </w:r>
      <w:r>
        <w:rPr>
          <w:spacing w:val="-5"/>
          <w:sz w:val="18"/>
        </w:rPr>
        <w:t> </w:t>
      </w:r>
      <w:r>
        <w:rPr>
          <w:sz w:val="18"/>
        </w:rPr>
        <w:t>had</w:t>
      </w:r>
      <w:r>
        <w:rPr>
          <w:spacing w:val="-5"/>
          <w:sz w:val="18"/>
        </w:rPr>
        <w:t> </w:t>
      </w:r>
      <w:r>
        <w:rPr>
          <w:sz w:val="18"/>
        </w:rPr>
        <w:t>remained</w:t>
      </w:r>
      <w:r>
        <w:rPr>
          <w:spacing w:val="-5"/>
          <w:sz w:val="18"/>
        </w:rPr>
        <w:t> </w:t>
      </w:r>
      <w:r>
        <w:rPr>
          <w:sz w:val="18"/>
        </w:rPr>
        <w:t>at a level consistent with an expansion of manufacturing</w:t>
      </w:r>
      <w:r>
        <w:rPr>
          <w:spacing w:val="-27"/>
          <w:sz w:val="18"/>
        </w:rPr>
        <w:t> </w:t>
      </w:r>
      <w:r>
        <w:rPr>
          <w:sz w:val="18"/>
        </w:rPr>
        <w:t>output.</w:t>
      </w:r>
    </w:p>
    <w:p>
      <w:pPr>
        <w:pStyle w:val="BodyText"/>
        <w:spacing w:before="9"/>
        <w:rPr>
          <w:sz w:val="16"/>
        </w:rPr>
      </w:pPr>
    </w:p>
    <w:p>
      <w:pPr>
        <w:pStyle w:val="ListParagraph"/>
        <w:numPr>
          <w:ilvl w:val="0"/>
          <w:numId w:val="43"/>
        </w:numPr>
        <w:tabs>
          <w:tab w:pos="669" w:val="left" w:leader="none"/>
          <w:tab w:pos="670" w:val="left" w:leader="none"/>
        </w:tabs>
        <w:spacing w:line="232" w:lineRule="auto" w:before="0" w:after="0"/>
        <w:ind w:left="189" w:right="38" w:firstLine="0"/>
        <w:jc w:val="left"/>
        <w:rPr>
          <w:sz w:val="18"/>
        </w:rPr>
      </w:pPr>
      <w:r>
        <w:rPr>
          <w:sz w:val="18"/>
        </w:rPr>
        <w:t>The</w:t>
      </w:r>
      <w:r>
        <w:rPr>
          <w:spacing w:val="-6"/>
          <w:sz w:val="18"/>
        </w:rPr>
        <w:t> </w:t>
      </w:r>
      <w:r>
        <w:rPr>
          <w:sz w:val="18"/>
        </w:rPr>
        <w:t>quarterly</w:t>
      </w:r>
      <w:r>
        <w:rPr>
          <w:spacing w:val="-5"/>
          <w:sz w:val="18"/>
        </w:rPr>
        <w:t> </w:t>
      </w:r>
      <w:r>
        <w:rPr>
          <w:sz w:val="18"/>
        </w:rPr>
        <w:t>growth</w:t>
      </w:r>
      <w:r>
        <w:rPr>
          <w:spacing w:val="-6"/>
          <w:sz w:val="18"/>
        </w:rPr>
        <w:t> </w:t>
      </w:r>
      <w:r>
        <w:rPr>
          <w:sz w:val="18"/>
        </w:rPr>
        <w:t>in</w:t>
      </w:r>
      <w:r>
        <w:rPr>
          <w:spacing w:val="-5"/>
          <w:sz w:val="18"/>
        </w:rPr>
        <w:t> </w:t>
      </w:r>
      <w:r>
        <w:rPr>
          <w:sz w:val="18"/>
        </w:rPr>
        <w:t>the</w:t>
      </w:r>
      <w:r>
        <w:rPr>
          <w:spacing w:val="-6"/>
          <w:sz w:val="18"/>
        </w:rPr>
        <w:t> </w:t>
      </w:r>
      <w:r>
        <w:rPr>
          <w:sz w:val="18"/>
        </w:rPr>
        <w:t>Employment</w:t>
      </w:r>
      <w:r>
        <w:rPr>
          <w:spacing w:val="-5"/>
          <w:sz w:val="18"/>
        </w:rPr>
        <w:t> </w:t>
      </w:r>
      <w:r>
        <w:rPr>
          <w:sz w:val="18"/>
        </w:rPr>
        <w:t>Cost</w:t>
      </w:r>
      <w:r>
        <w:rPr>
          <w:spacing w:val="-6"/>
          <w:sz w:val="18"/>
        </w:rPr>
        <w:t> </w:t>
      </w:r>
      <w:r>
        <w:rPr>
          <w:sz w:val="18"/>
        </w:rPr>
        <w:t>Index</w:t>
      </w:r>
      <w:r>
        <w:rPr>
          <w:spacing w:val="-5"/>
          <w:sz w:val="18"/>
        </w:rPr>
        <w:t> </w:t>
      </w:r>
      <w:r>
        <w:rPr>
          <w:sz w:val="18"/>
        </w:rPr>
        <w:t>measure of labour costs had declined slightly in Q3. Annual producer price inflation had increased to 3.1% in September, and annual consumer price inflation to</w:t>
      </w:r>
      <w:r>
        <w:rPr>
          <w:spacing w:val="-4"/>
          <w:sz w:val="18"/>
        </w:rPr>
        <w:t> </w:t>
      </w:r>
      <w:r>
        <w:rPr>
          <w:sz w:val="18"/>
        </w:rPr>
        <w:t>2.6%.</w:t>
      </w:r>
    </w:p>
    <w:p>
      <w:pPr>
        <w:pStyle w:val="BodyText"/>
        <w:spacing w:before="1"/>
        <w:rPr>
          <w:sz w:val="17"/>
        </w:rPr>
      </w:pPr>
    </w:p>
    <w:p>
      <w:pPr>
        <w:pStyle w:val="ListParagraph"/>
        <w:numPr>
          <w:ilvl w:val="0"/>
          <w:numId w:val="43"/>
        </w:numPr>
        <w:tabs>
          <w:tab w:pos="669" w:val="left" w:leader="none"/>
          <w:tab w:pos="670" w:val="left" w:leader="none"/>
        </w:tabs>
        <w:spacing w:line="232" w:lineRule="auto" w:before="0" w:after="0"/>
        <w:ind w:left="189" w:right="47" w:firstLine="0"/>
        <w:jc w:val="left"/>
        <w:rPr>
          <w:sz w:val="18"/>
        </w:rPr>
      </w:pPr>
      <w:r>
        <w:rPr>
          <w:sz w:val="18"/>
        </w:rPr>
        <w:t>GDP growth in the euro area had been revised up to 0.5% in Q2. Both consumption and investment growth had been revised up. Industrial production had risen by 2.5% in the year to August, reflecting improving business confidence, particularly in France. M3 had risen by 6.1% in the year to September. Private sector credit growth had been higher. Annual inflation had remained unchanged in September, at 1.2%. Excluding energy, food, alcohol and tobacco, inflation had continued to</w:t>
      </w:r>
      <w:r>
        <w:rPr>
          <w:spacing w:val="-11"/>
          <w:sz w:val="18"/>
        </w:rPr>
        <w:t> </w:t>
      </w:r>
      <w:r>
        <w:rPr>
          <w:sz w:val="18"/>
        </w:rPr>
        <w:t>fall.</w:t>
      </w:r>
    </w:p>
    <w:p>
      <w:pPr>
        <w:pStyle w:val="BodyText"/>
        <w:spacing w:before="10"/>
        <w:rPr>
          <w:sz w:val="16"/>
        </w:rPr>
      </w:pPr>
    </w:p>
    <w:p>
      <w:pPr>
        <w:pStyle w:val="ListParagraph"/>
        <w:numPr>
          <w:ilvl w:val="0"/>
          <w:numId w:val="43"/>
        </w:numPr>
        <w:tabs>
          <w:tab w:pos="669" w:val="left" w:leader="none"/>
          <w:tab w:pos="670" w:val="left" w:leader="none"/>
        </w:tabs>
        <w:spacing w:line="232" w:lineRule="auto" w:before="0" w:after="0"/>
        <w:ind w:left="189" w:right="43" w:firstLine="0"/>
        <w:jc w:val="left"/>
        <w:rPr>
          <w:sz w:val="18"/>
        </w:rPr>
      </w:pPr>
      <w:r>
        <w:rPr>
          <w:sz w:val="18"/>
        </w:rPr>
        <w:t>Despite a decline in September, industrial production in Japan had risen by 3.8% in Q3. However, the September Tankan survey indicated that companies were continuing to cut fixed investment. Volumes of imports and exports had continued to strengthen, particularly to other Asian countries. Consumption indicators had been mixed and retail sales growth had remained negative. Base money had risen by 6.1% in the year to September, but broad measures of money growth had been lower. Survey evidence had suggested that banks were becoming more willing to lend,</w:t>
      </w:r>
      <w:r>
        <w:rPr>
          <w:spacing w:val="-6"/>
          <w:sz w:val="18"/>
        </w:rPr>
        <w:t> </w:t>
      </w:r>
      <w:r>
        <w:rPr>
          <w:sz w:val="18"/>
        </w:rPr>
        <w:t>but</w:t>
      </w:r>
      <w:r>
        <w:rPr>
          <w:spacing w:val="-5"/>
          <w:sz w:val="18"/>
        </w:rPr>
        <w:t> </w:t>
      </w:r>
      <w:r>
        <w:rPr>
          <w:sz w:val="18"/>
        </w:rPr>
        <w:t>the</w:t>
      </w:r>
      <w:r>
        <w:rPr>
          <w:spacing w:val="-6"/>
          <w:sz w:val="18"/>
        </w:rPr>
        <w:t> </w:t>
      </w:r>
      <w:r>
        <w:rPr>
          <w:sz w:val="18"/>
        </w:rPr>
        <w:t>stock</w:t>
      </w:r>
      <w:r>
        <w:rPr>
          <w:spacing w:val="-5"/>
          <w:sz w:val="18"/>
        </w:rPr>
        <w:t> </w:t>
      </w:r>
      <w:r>
        <w:rPr>
          <w:sz w:val="18"/>
        </w:rPr>
        <w:t>of</w:t>
      </w:r>
      <w:r>
        <w:rPr>
          <w:spacing w:val="-5"/>
          <w:sz w:val="18"/>
        </w:rPr>
        <w:t> </w:t>
      </w:r>
      <w:r>
        <w:rPr>
          <w:sz w:val="18"/>
        </w:rPr>
        <w:t>outstanding</w:t>
      </w:r>
      <w:r>
        <w:rPr>
          <w:spacing w:val="-6"/>
          <w:sz w:val="18"/>
        </w:rPr>
        <w:t> </w:t>
      </w:r>
      <w:r>
        <w:rPr>
          <w:sz w:val="18"/>
        </w:rPr>
        <w:t>loans</w:t>
      </w:r>
      <w:r>
        <w:rPr>
          <w:spacing w:val="-5"/>
          <w:sz w:val="18"/>
        </w:rPr>
        <w:t> </w:t>
      </w:r>
      <w:r>
        <w:rPr>
          <w:sz w:val="18"/>
        </w:rPr>
        <w:t>(adjusting</w:t>
      </w:r>
      <w:r>
        <w:rPr>
          <w:spacing w:val="-6"/>
          <w:sz w:val="18"/>
        </w:rPr>
        <w:t> </w:t>
      </w:r>
      <w:r>
        <w:rPr>
          <w:sz w:val="18"/>
        </w:rPr>
        <w:t>for</w:t>
      </w:r>
      <w:r>
        <w:rPr>
          <w:spacing w:val="-5"/>
          <w:sz w:val="18"/>
        </w:rPr>
        <w:t> </w:t>
      </w:r>
      <w:r>
        <w:rPr>
          <w:sz w:val="18"/>
        </w:rPr>
        <w:t>write-offs</w:t>
      </w:r>
      <w:r>
        <w:rPr>
          <w:spacing w:val="-5"/>
          <w:sz w:val="18"/>
        </w:rPr>
        <w:t> </w:t>
      </w:r>
      <w:r>
        <w:rPr>
          <w:sz w:val="18"/>
        </w:rPr>
        <w:t>and securitisations) had continued to fall. The rate of unemployment had fallen to 4.6% in September, although this had partly reflected a fall in the participation rate. The consumer price index had fallen by 0.2% in the year to</w:t>
      </w:r>
      <w:r>
        <w:rPr>
          <w:spacing w:val="-9"/>
          <w:sz w:val="18"/>
        </w:rPr>
        <w:t> </w:t>
      </w:r>
      <w:r>
        <w:rPr>
          <w:sz w:val="18"/>
        </w:rPr>
        <w:t>September.</w:t>
      </w:r>
    </w:p>
    <w:p>
      <w:pPr>
        <w:pStyle w:val="BodyText"/>
        <w:spacing w:before="5"/>
        <w:rPr>
          <w:sz w:val="16"/>
        </w:rPr>
      </w:pPr>
    </w:p>
    <w:p>
      <w:pPr>
        <w:pStyle w:val="ListParagraph"/>
        <w:numPr>
          <w:ilvl w:val="0"/>
          <w:numId w:val="43"/>
        </w:numPr>
        <w:tabs>
          <w:tab w:pos="669" w:val="left" w:leader="none"/>
          <w:tab w:pos="670" w:val="left" w:leader="none"/>
        </w:tabs>
        <w:spacing w:line="232" w:lineRule="auto" w:before="0" w:after="0"/>
        <w:ind w:left="189" w:right="163" w:firstLine="0"/>
        <w:jc w:val="left"/>
        <w:rPr>
          <w:sz w:val="18"/>
        </w:rPr>
      </w:pPr>
      <w:r>
        <w:rPr>
          <w:sz w:val="18"/>
        </w:rPr>
        <w:t>Trade</w:t>
      </w:r>
      <w:r>
        <w:rPr>
          <w:spacing w:val="-5"/>
          <w:sz w:val="18"/>
        </w:rPr>
        <w:t> </w:t>
      </w:r>
      <w:r>
        <w:rPr>
          <w:sz w:val="18"/>
        </w:rPr>
        <w:t>volumes</w:t>
      </w:r>
      <w:r>
        <w:rPr>
          <w:spacing w:val="-4"/>
          <w:sz w:val="18"/>
        </w:rPr>
        <w:t> </w:t>
      </w:r>
      <w:r>
        <w:rPr>
          <w:sz w:val="18"/>
        </w:rPr>
        <w:t>had</w:t>
      </w:r>
      <w:r>
        <w:rPr>
          <w:spacing w:val="-5"/>
          <w:sz w:val="18"/>
        </w:rPr>
        <w:t> </w:t>
      </w:r>
      <w:r>
        <w:rPr>
          <w:sz w:val="18"/>
        </w:rPr>
        <w:t>risen</w:t>
      </w:r>
      <w:r>
        <w:rPr>
          <w:spacing w:val="-4"/>
          <w:sz w:val="18"/>
        </w:rPr>
        <w:t> </w:t>
      </w:r>
      <w:r>
        <w:rPr>
          <w:sz w:val="18"/>
        </w:rPr>
        <w:t>in</w:t>
      </w:r>
      <w:r>
        <w:rPr>
          <w:spacing w:val="-5"/>
          <w:sz w:val="18"/>
        </w:rPr>
        <w:t> </w:t>
      </w:r>
      <w:r>
        <w:rPr>
          <w:sz w:val="18"/>
        </w:rPr>
        <w:t>the</w:t>
      </w:r>
      <w:r>
        <w:rPr>
          <w:spacing w:val="-4"/>
          <w:sz w:val="18"/>
        </w:rPr>
        <w:t> </w:t>
      </w:r>
      <w:r>
        <w:rPr>
          <w:sz w:val="18"/>
        </w:rPr>
        <w:t>United</w:t>
      </w:r>
      <w:r>
        <w:rPr>
          <w:spacing w:val="-5"/>
          <w:sz w:val="18"/>
        </w:rPr>
        <w:t> </w:t>
      </w:r>
      <w:r>
        <w:rPr>
          <w:sz w:val="18"/>
        </w:rPr>
        <w:t>States,</w:t>
      </w:r>
      <w:r>
        <w:rPr>
          <w:spacing w:val="-4"/>
          <w:sz w:val="18"/>
        </w:rPr>
        <w:t> </w:t>
      </w:r>
      <w:r>
        <w:rPr>
          <w:sz w:val="18"/>
        </w:rPr>
        <w:t>Japan</w:t>
      </w:r>
      <w:r>
        <w:rPr>
          <w:spacing w:val="-5"/>
          <w:sz w:val="18"/>
        </w:rPr>
        <w:t> </w:t>
      </w:r>
      <w:r>
        <w:rPr>
          <w:sz w:val="18"/>
        </w:rPr>
        <w:t>and</w:t>
      </w:r>
      <w:r>
        <w:rPr>
          <w:spacing w:val="-4"/>
          <w:sz w:val="18"/>
        </w:rPr>
        <w:t> </w:t>
      </w:r>
      <w:r>
        <w:rPr>
          <w:sz w:val="18"/>
        </w:rPr>
        <w:t>the euro area. Non-oil commodity prices had remained stable. Oil prices had fallen very slightly, despite the most recently available evidence suggesting a higher degree of compliance among O</w:t>
      </w:r>
      <w:r>
        <w:rPr>
          <w:sz w:val="14"/>
        </w:rPr>
        <w:t>PEC </w:t>
      </w:r>
      <w:r>
        <w:rPr>
          <w:sz w:val="18"/>
        </w:rPr>
        <w:t>members with the agreement to limit supply. However, the continued strength in oil prices had contributed to an increase in petrol and producer prices in all</w:t>
      </w:r>
      <w:r>
        <w:rPr>
          <w:spacing w:val="-11"/>
          <w:sz w:val="18"/>
        </w:rPr>
        <w:t> </w:t>
      </w:r>
      <w:r>
        <w:rPr>
          <w:sz w:val="18"/>
        </w:rPr>
        <w:t>countries.</w:t>
      </w:r>
    </w:p>
    <w:p>
      <w:pPr>
        <w:pStyle w:val="BodyText"/>
        <w:spacing w:before="11"/>
        <w:rPr>
          <w:sz w:val="16"/>
        </w:rPr>
      </w:pPr>
    </w:p>
    <w:p>
      <w:pPr>
        <w:pStyle w:val="ListParagraph"/>
        <w:numPr>
          <w:ilvl w:val="0"/>
          <w:numId w:val="43"/>
        </w:numPr>
        <w:tabs>
          <w:tab w:pos="669" w:val="left" w:leader="none"/>
          <w:tab w:pos="670" w:val="left" w:leader="none"/>
        </w:tabs>
        <w:spacing w:line="232" w:lineRule="auto" w:before="0" w:after="0"/>
        <w:ind w:left="190" w:right="74" w:firstLine="0"/>
        <w:jc w:val="left"/>
        <w:rPr>
          <w:sz w:val="18"/>
        </w:rPr>
      </w:pPr>
      <w:r>
        <w:rPr>
          <w:sz w:val="18"/>
        </w:rPr>
        <w:t>There had been little movement in the main dollar, yen and euro exchange rates. Equity markets in the main economies had recovered slightly from falls earlier in the month. There had been a further increase in euro-area interest rates implied by Euribor futures contracts, with markets expecting around 50 basis points of tightening by next</w:t>
      </w:r>
      <w:r>
        <w:rPr>
          <w:spacing w:val="-4"/>
          <w:sz w:val="18"/>
        </w:rPr>
        <w:t> </w:t>
      </w:r>
      <w:r>
        <w:rPr>
          <w:sz w:val="18"/>
        </w:rPr>
        <w:t>summer.</w:t>
      </w:r>
    </w:p>
    <w:p>
      <w:pPr>
        <w:pStyle w:val="BodyText"/>
        <w:spacing w:before="11"/>
        <w:rPr>
          <w:sz w:val="16"/>
        </w:rPr>
      </w:pPr>
    </w:p>
    <w:p>
      <w:pPr>
        <w:pStyle w:val="ListParagraph"/>
        <w:numPr>
          <w:ilvl w:val="0"/>
          <w:numId w:val="43"/>
        </w:numPr>
        <w:tabs>
          <w:tab w:pos="670" w:val="left" w:leader="none"/>
        </w:tabs>
        <w:spacing w:line="232" w:lineRule="auto" w:before="0" w:after="0"/>
        <w:ind w:left="190" w:right="177" w:firstLine="0"/>
        <w:jc w:val="both"/>
        <w:rPr>
          <w:sz w:val="18"/>
        </w:rPr>
      </w:pPr>
      <w:r>
        <w:rPr>
          <w:sz w:val="18"/>
        </w:rPr>
        <w:t>The</w:t>
      </w:r>
      <w:r>
        <w:rPr>
          <w:spacing w:val="-6"/>
          <w:sz w:val="18"/>
        </w:rPr>
        <w:t> </w:t>
      </w:r>
      <w:r>
        <w:rPr>
          <w:sz w:val="18"/>
        </w:rPr>
        <w:t>trend</w:t>
      </w:r>
      <w:r>
        <w:rPr>
          <w:spacing w:val="-6"/>
          <w:sz w:val="18"/>
        </w:rPr>
        <w:t> </w:t>
      </w:r>
      <w:r>
        <w:rPr>
          <w:sz w:val="18"/>
        </w:rPr>
        <w:t>in</w:t>
      </w:r>
      <w:r>
        <w:rPr>
          <w:spacing w:val="-5"/>
          <w:sz w:val="18"/>
        </w:rPr>
        <w:t> </w:t>
      </w:r>
      <w:r>
        <w:rPr>
          <w:sz w:val="18"/>
        </w:rPr>
        <w:t>industrial</w:t>
      </w:r>
      <w:r>
        <w:rPr>
          <w:spacing w:val="-6"/>
          <w:sz w:val="18"/>
        </w:rPr>
        <w:t> </w:t>
      </w:r>
      <w:r>
        <w:rPr>
          <w:sz w:val="18"/>
        </w:rPr>
        <w:t>production</w:t>
      </w:r>
      <w:r>
        <w:rPr>
          <w:spacing w:val="-5"/>
          <w:sz w:val="18"/>
        </w:rPr>
        <w:t> </w:t>
      </w:r>
      <w:r>
        <w:rPr>
          <w:sz w:val="18"/>
        </w:rPr>
        <w:t>growth</w:t>
      </w:r>
      <w:r>
        <w:rPr>
          <w:spacing w:val="-6"/>
          <w:sz w:val="18"/>
        </w:rPr>
        <w:t> </w:t>
      </w:r>
      <w:r>
        <w:rPr>
          <w:sz w:val="18"/>
        </w:rPr>
        <w:t>in</w:t>
      </w:r>
      <w:r>
        <w:rPr>
          <w:spacing w:val="-6"/>
          <w:sz w:val="18"/>
        </w:rPr>
        <w:t> </w:t>
      </w:r>
      <w:r>
        <w:rPr>
          <w:sz w:val="18"/>
        </w:rPr>
        <w:t>most</w:t>
      </w:r>
      <w:r>
        <w:rPr>
          <w:spacing w:val="-5"/>
          <w:sz w:val="18"/>
        </w:rPr>
        <w:t> </w:t>
      </w:r>
      <w:r>
        <w:rPr>
          <w:sz w:val="18"/>
        </w:rPr>
        <w:t>emerging market economies had been positive. It had remained negative in Latin</w:t>
      </w:r>
      <w:r>
        <w:rPr>
          <w:spacing w:val="-2"/>
          <w:sz w:val="18"/>
        </w:rPr>
        <w:t> </w:t>
      </w:r>
      <w:r>
        <w:rPr>
          <w:sz w:val="18"/>
        </w:rPr>
        <w:t>America.</w:t>
      </w:r>
    </w:p>
    <w:p>
      <w:pPr>
        <w:pStyle w:val="Heading7"/>
        <w:numPr>
          <w:ilvl w:val="0"/>
          <w:numId w:val="44"/>
        </w:numPr>
        <w:tabs>
          <w:tab w:pos="669" w:val="left" w:leader="none"/>
          <w:tab w:pos="670" w:val="left" w:leader="none"/>
        </w:tabs>
        <w:spacing w:line="240" w:lineRule="auto" w:before="91" w:after="0"/>
        <w:ind w:left="670" w:right="0" w:hanging="480"/>
        <w:jc w:val="left"/>
      </w:pPr>
      <w:r>
        <w:rPr>
          <w:color w:val="009391"/>
          <w:spacing w:val="-1"/>
        </w:rPr>
        <w:br w:type="column"/>
      </w:r>
      <w:r>
        <w:rPr>
          <w:color w:val="009391"/>
        </w:rPr>
        <w:t>Monetary and financial</w:t>
      </w:r>
      <w:r>
        <w:rPr>
          <w:color w:val="009391"/>
          <w:spacing w:val="-7"/>
        </w:rPr>
        <w:t> </w:t>
      </w:r>
      <w:r>
        <w:rPr>
          <w:color w:val="009391"/>
        </w:rPr>
        <w:t>conditions</w:t>
      </w:r>
    </w:p>
    <w:p>
      <w:pPr>
        <w:pStyle w:val="ListParagraph"/>
        <w:numPr>
          <w:ilvl w:val="0"/>
          <w:numId w:val="43"/>
        </w:numPr>
        <w:tabs>
          <w:tab w:pos="669" w:val="left" w:leader="none"/>
          <w:tab w:pos="670" w:val="left" w:leader="none"/>
        </w:tabs>
        <w:spacing w:line="232" w:lineRule="auto" w:before="109" w:after="0"/>
        <w:ind w:left="190" w:right="148" w:firstLine="0"/>
        <w:jc w:val="left"/>
        <w:rPr>
          <w:sz w:val="18"/>
        </w:rPr>
      </w:pPr>
      <w:r>
        <w:rPr>
          <w:sz w:val="18"/>
        </w:rPr>
        <w:t>Provisional figures had suggested that narrow money growth had rebounded in October. The one-month growth rate of notes and coin had risen to 0.8%, compared with an upwardly revised 0.1% in September. The twelve-month growth rate (after adjusting for the introduction of the new 50 pence and £2 coins) had risen to 7.6% in October from 7.0% in</w:t>
      </w:r>
      <w:r>
        <w:rPr>
          <w:spacing w:val="-6"/>
          <w:sz w:val="18"/>
        </w:rPr>
        <w:t> </w:t>
      </w:r>
      <w:r>
        <w:rPr>
          <w:sz w:val="18"/>
        </w:rPr>
        <w:t>September.</w:t>
      </w:r>
    </w:p>
    <w:p>
      <w:pPr>
        <w:pStyle w:val="BodyText"/>
        <w:spacing w:before="5"/>
        <w:rPr>
          <w:sz w:val="20"/>
        </w:rPr>
      </w:pPr>
    </w:p>
    <w:p>
      <w:pPr>
        <w:pStyle w:val="ListParagraph"/>
        <w:numPr>
          <w:ilvl w:val="0"/>
          <w:numId w:val="43"/>
        </w:numPr>
        <w:tabs>
          <w:tab w:pos="669" w:val="left" w:leader="none"/>
          <w:tab w:pos="670" w:val="left" w:leader="none"/>
        </w:tabs>
        <w:spacing w:line="232" w:lineRule="auto" w:before="0" w:after="0"/>
        <w:ind w:left="190" w:right="722" w:firstLine="0"/>
        <w:jc w:val="left"/>
        <w:rPr>
          <w:sz w:val="18"/>
        </w:rPr>
      </w:pPr>
      <w:r>
        <w:rPr>
          <w:sz w:val="18"/>
        </w:rPr>
        <w:t>M4 had fallen by £2.9 billion (0.4%) in September, with the annual growth rate falling back to 2.8%, the lowest since the series began in 1963. M4 lending (excluding the effects of securitisations) had risen by £4.2 billion (0.4%) in September.</w:t>
      </w:r>
    </w:p>
    <w:p>
      <w:pPr>
        <w:pStyle w:val="BodyText"/>
        <w:spacing w:before="9"/>
      </w:pPr>
    </w:p>
    <w:p>
      <w:pPr>
        <w:pStyle w:val="ListParagraph"/>
        <w:numPr>
          <w:ilvl w:val="0"/>
          <w:numId w:val="43"/>
        </w:numPr>
        <w:tabs>
          <w:tab w:pos="669" w:val="left" w:leader="none"/>
          <w:tab w:pos="670" w:val="left" w:leader="none"/>
        </w:tabs>
        <w:spacing w:line="232" w:lineRule="auto" w:before="1" w:after="0"/>
        <w:ind w:left="190" w:right="182" w:firstLine="0"/>
        <w:jc w:val="left"/>
        <w:rPr>
          <w:sz w:val="18"/>
        </w:rPr>
      </w:pPr>
      <w:r>
        <w:rPr>
          <w:sz w:val="18"/>
        </w:rPr>
        <w:t>Households’ M4 deposits had risen by 1.3% in Q3. In real terms, households’ M4 deposits were estimated to have increased by 4.8% in the twelve months to Q3. And households’ real Divisia growth was estimated to have picked up to 5.3%, consistent with strong consumption growth. Households’ M4 lending had grown strongly in Q3. Annual growth had been 8.6%, the highest since 1991. Within total lending to individuals, the annual growth rate of secured lending had been 7.5%, reflecting strength in the housing market. Loan approvals had also been strong. Total unsecured lending had increased by 3.3% in Q3, in line with its increases over the year. Credit card lending had continued to grow in excess of 20% per</w:t>
      </w:r>
      <w:r>
        <w:rPr>
          <w:spacing w:val="-3"/>
          <w:sz w:val="18"/>
        </w:rPr>
        <w:t> </w:t>
      </w:r>
      <w:r>
        <w:rPr>
          <w:sz w:val="18"/>
        </w:rPr>
        <w:t>annum.</w:t>
      </w:r>
    </w:p>
    <w:p>
      <w:pPr>
        <w:pStyle w:val="BodyText"/>
        <w:spacing w:before="3"/>
      </w:pPr>
    </w:p>
    <w:p>
      <w:pPr>
        <w:pStyle w:val="ListParagraph"/>
        <w:numPr>
          <w:ilvl w:val="0"/>
          <w:numId w:val="43"/>
        </w:numPr>
        <w:tabs>
          <w:tab w:pos="669" w:val="left" w:leader="none"/>
          <w:tab w:pos="670" w:val="left" w:leader="none"/>
        </w:tabs>
        <w:spacing w:line="232" w:lineRule="auto" w:before="0" w:after="0"/>
        <w:ind w:left="190" w:right="509" w:firstLine="0"/>
        <w:jc w:val="left"/>
        <w:rPr>
          <w:sz w:val="18"/>
        </w:rPr>
      </w:pPr>
      <w:r>
        <w:rPr>
          <w:sz w:val="18"/>
        </w:rPr>
        <w:t>Private non-financial corporations’ (P</w:t>
      </w:r>
      <w:r>
        <w:rPr>
          <w:sz w:val="14"/>
        </w:rPr>
        <w:t>NFC</w:t>
      </w:r>
      <w:r>
        <w:rPr>
          <w:sz w:val="18"/>
        </w:rPr>
        <w:t>s) deposits had remained broadly flat in Q3, though deposits had risen</w:t>
      </w:r>
      <w:r>
        <w:rPr>
          <w:spacing w:val="-28"/>
          <w:sz w:val="18"/>
        </w:rPr>
        <w:t> </w:t>
      </w:r>
      <w:r>
        <w:rPr>
          <w:sz w:val="18"/>
        </w:rPr>
        <w:t>by</w:t>
      </w:r>
    </w:p>
    <w:p>
      <w:pPr>
        <w:pStyle w:val="BodyText"/>
        <w:spacing w:line="232" w:lineRule="auto"/>
        <w:ind w:left="190" w:right="173"/>
      </w:pPr>
      <w:r>
        <w:rPr/>
        <w:t>£1.4 billion (1.2%) in September. The twelve-month growth rate had fallen from 7.4% in Q2 to 4.9% in Q3. P</w:t>
      </w:r>
      <w:r>
        <w:rPr>
          <w:sz w:val="14"/>
        </w:rPr>
        <w:t>NFC</w:t>
      </w:r>
      <w:r>
        <w:rPr/>
        <w:t>s’ M4 lending had picked up in Q3. Lending had been particularly strong in September, increasing by £1.8 billion (0.9%). But the annual growth rate had fallen from 4.7% in Q2 to 4.2% in Q3, compared with an average annual rate of 5.8% in 1998. A broader measure of P</w:t>
      </w:r>
      <w:r>
        <w:rPr>
          <w:sz w:val="14"/>
        </w:rPr>
        <w:t>NFC</w:t>
      </w:r>
      <w:r>
        <w:rPr/>
        <w:t>s’ borrowing (that also included all bond and equity issues as well as non-sterling lending by banks) had been weaker in Q3 than in Q2: the average monthly flow had increased by £3.3 billion compared with £5.9 billion in Q2.</w:t>
      </w:r>
    </w:p>
    <w:p>
      <w:pPr>
        <w:pStyle w:val="BodyText"/>
        <w:spacing w:before="4"/>
      </w:pPr>
    </w:p>
    <w:p>
      <w:pPr>
        <w:pStyle w:val="ListParagraph"/>
        <w:numPr>
          <w:ilvl w:val="0"/>
          <w:numId w:val="43"/>
        </w:numPr>
        <w:tabs>
          <w:tab w:pos="669" w:val="left" w:leader="none"/>
          <w:tab w:pos="670" w:val="left" w:leader="none"/>
        </w:tabs>
        <w:spacing w:line="232" w:lineRule="auto" w:before="0" w:after="0"/>
        <w:ind w:left="190" w:right="153" w:firstLine="0"/>
        <w:jc w:val="left"/>
        <w:rPr>
          <w:sz w:val="18"/>
        </w:rPr>
      </w:pPr>
      <w:r>
        <w:rPr>
          <w:sz w:val="18"/>
        </w:rPr>
        <w:t>Other financial corporations’ (OFCs’) M4 deposits had fallen sharply in Q3, and the annual growth rate had continued the downward trend since 1998 Q1. The average monthly flow had been -£2.7 billion in Q3, compared with -£1.3 billion in</w:t>
      </w:r>
      <w:r>
        <w:rPr>
          <w:spacing w:val="-27"/>
          <w:sz w:val="18"/>
        </w:rPr>
        <w:t> </w:t>
      </w:r>
      <w:r>
        <w:rPr>
          <w:sz w:val="18"/>
        </w:rPr>
        <w:t>Q2.</w:t>
      </w:r>
    </w:p>
    <w:p>
      <w:pPr>
        <w:pStyle w:val="BodyText"/>
        <w:spacing w:line="195" w:lineRule="exact"/>
        <w:ind w:left="190"/>
      </w:pPr>
      <w:r>
        <w:rPr/>
        <w:t>The monthly flow in September had been particularly weak</w:t>
      </w:r>
    </w:p>
    <w:p>
      <w:pPr>
        <w:pStyle w:val="BodyText"/>
        <w:spacing w:line="232" w:lineRule="auto" w:before="2"/>
        <w:ind w:left="190" w:right="173"/>
      </w:pPr>
      <w:r>
        <w:rPr/>
        <w:t>(-£7.0 billion). OFCs’ M4 lending had increased slightly in Q3, but the flow in September had been -£2.1 billion.</w:t>
      </w:r>
    </w:p>
    <w:p>
      <w:pPr>
        <w:pStyle w:val="BodyText"/>
        <w:spacing w:before="3"/>
        <w:rPr>
          <w:sz w:val="20"/>
        </w:rPr>
      </w:pPr>
    </w:p>
    <w:p>
      <w:pPr>
        <w:pStyle w:val="ListParagraph"/>
        <w:numPr>
          <w:ilvl w:val="0"/>
          <w:numId w:val="43"/>
        </w:numPr>
        <w:tabs>
          <w:tab w:pos="669" w:val="left" w:leader="none"/>
          <w:tab w:pos="670" w:val="left" w:leader="none"/>
        </w:tabs>
        <w:spacing w:line="254" w:lineRule="auto" w:before="0" w:after="0"/>
        <w:ind w:left="190" w:right="153" w:firstLine="0"/>
        <w:jc w:val="left"/>
        <w:rPr>
          <w:sz w:val="18"/>
        </w:rPr>
      </w:pPr>
      <w:r>
        <w:rPr>
          <w:sz w:val="18"/>
        </w:rPr>
        <w:t>Short-term interest rate expectations implied by short sterling futures contracts had fallen since the previous MPC</w:t>
      </w:r>
      <w:r>
        <w:rPr>
          <w:spacing w:val="-25"/>
          <w:sz w:val="18"/>
        </w:rPr>
        <w:t> </w:t>
      </w:r>
      <w:r>
        <w:rPr>
          <w:sz w:val="18"/>
        </w:rPr>
        <w:t>meeting.</w:t>
      </w:r>
    </w:p>
    <w:p>
      <w:pPr>
        <w:pStyle w:val="BodyText"/>
        <w:spacing w:line="254" w:lineRule="auto" w:before="1"/>
        <w:ind w:left="190" w:right="244"/>
      </w:pPr>
      <w:r>
        <w:rPr/>
        <w:t>The falls had been between 20 and 30 basis points in the September</w:t>
      </w:r>
      <w:r>
        <w:rPr>
          <w:spacing w:val="-7"/>
        </w:rPr>
        <w:t> </w:t>
      </w:r>
      <w:r>
        <w:rPr/>
        <w:t>2002–March</w:t>
      </w:r>
      <w:r>
        <w:rPr>
          <w:spacing w:val="-7"/>
        </w:rPr>
        <w:t> </w:t>
      </w:r>
      <w:r>
        <w:rPr/>
        <w:t>2003</w:t>
      </w:r>
      <w:r>
        <w:rPr>
          <w:spacing w:val="-7"/>
        </w:rPr>
        <w:t> </w:t>
      </w:r>
      <w:r>
        <w:rPr/>
        <w:t>contracts</w:t>
      </w:r>
      <w:r>
        <w:rPr>
          <w:spacing w:val="-7"/>
        </w:rPr>
        <w:t> </w:t>
      </w:r>
      <w:r>
        <w:rPr/>
        <w:t>(less</w:t>
      </w:r>
      <w:r>
        <w:rPr>
          <w:spacing w:val="-7"/>
        </w:rPr>
        <w:t> </w:t>
      </w:r>
      <w:r>
        <w:rPr/>
        <w:t>at</w:t>
      </w:r>
      <w:r>
        <w:rPr>
          <w:spacing w:val="-7"/>
        </w:rPr>
        <w:t> </w:t>
      </w:r>
      <w:r>
        <w:rPr/>
        <w:t>shorter</w:t>
      </w:r>
      <w:r>
        <w:rPr>
          <w:spacing w:val="-7"/>
        </w:rPr>
        <w:t> </w:t>
      </w:r>
      <w:r>
        <w:rPr/>
        <w:t>maturities). Nominal forward rates at broadly comparable maturities had also decreased (by 40–50 basis points after 3 to 3.5</w:t>
      </w:r>
      <w:r>
        <w:rPr>
          <w:spacing w:val="-20"/>
        </w:rPr>
        <w:t> </w:t>
      </w:r>
      <w:r>
        <w:rPr/>
        <w:t>years).</w:t>
      </w:r>
    </w:p>
    <w:p>
      <w:pPr>
        <w:pStyle w:val="BodyText"/>
        <w:spacing w:before="1"/>
      </w:pPr>
    </w:p>
    <w:p>
      <w:pPr>
        <w:pStyle w:val="ListParagraph"/>
        <w:numPr>
          <w:ilvl w:val="0"/>
          <w:numId w:val="43"/>
        </w:numPr>
        <w:tabs>
          <w:tab w:pos="669" w:val="left" w:leader="none"/>
          <w:tab w:pos="670" w:val="left" w:leader="none"/>
        </w:tabs>
        <w:spacing w:line="232" w:lineRule="auto" w:before="0" w:after="0"/>
        <w:ind w:left="190" w:right="154" w:firstLine="0"/>
        <w:jc w:val="left"/>
        <w:rPr>
          <w:sz w:val="18"/>
        </w:rPr>
      </w:pPr>
      <w:r>
        <w:rPr>
          <w:sz w:val="18"/>
        </w:rPr>
        <w:t>Short sterling futures and nominal forward rates derived from the gilts market had pointed to different profiles for the expected level of interest rates. In particular, short sterling futures had pointed to a peak of 7.3% in interbank rates in December 2001, around 100 basis points greater than the peak of 6.3% for gilt yields in the forward curve in the second half of 2001. The three-month Libor/general</w:t>
      </w:r>
      <w:r>
        <w:rPr>
          <w:spacing w:val="-6"/>
          <w:sz w:val="18"/>
        </w:rPr>
        <w:t> </w:t>
      </w:r>
      <w:r>
        <w:rPr>
          <w:sz w:val="18"/>
        </w:rPr>
        <w:t>collateral</w:t>
      </w:r>
      <w:r>
        <w:rPr>
          <w:spacing w:val="-6"/>
          <w:sz w:val="18"/>
        </w:rPr>
        <w:t> </w:t>
      </w:r>
      <w:r>
        <w:rPr>
          <w:sz w:val="18"/>
        </w:rPr>
        <w:t>interest</w:t>
      </w:r>
      <w:r>
        <w:rPr>
          <w:spacing w:val="-6"/>
          <w:sz w:val="18"/>
        </w:rPr>
        <w:t> </w:t>
      </w:r>
      <w:r>
        <w:rPr>
          <w:sz w:val="18"/>
        </w:rPr>
        <w:t>rate</w:t>
      </w:r>
      <w:r>
        <w:rPr>
          <w:spacing w:val="-6"/>
          <w:sz w:val="18"/>
        </w:rPr>
        <w:t> </w:t>
      </w:r>
      <w:r>
        <w:rPr>
          <w:sz w:val="18"/>
        </w:rPr>
        <w:t>spread</w:t>
      </w:r>
      <w:r>
        <w:rPr>
          <w:spacing w:val="-6"/>
          <w:sz w:val="18"/>
        </w:rPr>
        <w:t> </w:t>
      </w:r>
      <w:r>
        <w:rPr>
          <w:sz w:val="18"/>
        </w:rPr>
        <w:t>had</w:t>
      </w:r>
      <w:r>
        <w:rPr>
          <w:spacing w:val="-6"/>
          <w:sz w:val="18"/>
        </w:rPr>
        <w:t> </w:t>
      </w:r>
      <w:r>
        <w:rPr>
          <w:sz w:val="18"/>
        </w:rPr>
        <w:t>picked</w:t>
      </w:r>
      <w:r>
        <w:rPr>
          <w:spacing w:val="-6"/>
          <w:sz w:val="18"/>
        </w:rPr>
        <w:t> </w:t>
      </w:r>
      <w:r>
        <w:rPr>
          <w:sz w:val="18"/>
        </w:rPr>
        <w:t>up</w:t>
      </w:r>
      <w:r>
        <w:rPr>
          <w:spacing w:val="-6"/>
          <w:sz w:val="18"/>
        </w:rPr>
        <w:t> </w:t>
      </w:r>
      <w:r>
        <w:rPr>
          <w:sz w:val="18"/>
        </w:rPr>
        <w:t>sharply</w:t>
      </w:r>
      <w:r>
        <w:rPr>
          <w:spacing w:val="-6"/>
          <w:sz w:val="18"/>
        </w:rPr>
        <w:t> </w:t>
      </w:r>
      <w:r>
        <w:rPr>
          <w:sz w:val="18"/>
        </w:rPr>
        <w:t>at the beginning of October as the date for year-end Libor delivery had passed. But spreads further out along the curve had not looked unusual given recent</w:t>
      </w:r>
      <w:r>
        <w:rPr>
          <w:spacing w:val="-5"/>
          <w:sz w:val="18"/>
        </w:rPr>
        <w:t> </w:t>
      </w:r>
      <w:r>
        <w:rPr>
          <w:sz w:val="18"/>
        </w:rPr>
        <w:t>experience.</w:t>
      </w:r>
    </w:p>
    <w:p>
      <w:pPr>
        <w:spacing w:after="0" w:line="232" w:lineRule="auto"/>
        <w:jc w:val="left"/>
        <w:rPr>
          <w:sz w:val="18"/>
        </w:rPr>
        <w:sectPr>
          <w:type w:val="continuous"/>
          <w:pgSz w:w="11900" w:h="16840"/>
          <w:pgMar w:top="1220" w:bottom="280" w:left="620" w:right="640"/>
          <w:cols w:num="2" w:equalWidth="0">
            <w:col w:w="5138" w:space="254"/>
            <w:col w:w="5248"/>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4"/>
        <w:rPr>
          <w:sz w:val="21"/>
        </w:rPr>
      </w:pPr>
    </w:p>
    <w:p>
      <w:pPr>
        <w:pStyle w:val="ListParagraph"/>
        <w:numPr>
          <w:ilvl w:val="0"/>
          <w:numId w:val="43"/>
        </w:numPr>
        <w:tabs>
          <w:tab w:pos="665" w:val="left" w:leader="none"/>
          <w:tab w:pos="666" w:val="left" w:leader="none"/>
        </w:tabs>
        <w:spacing w:line="232" w:lineRule="auto" w:before="1" w:after="0"/>
        <w:ind w:left="185" w:right="38" w:firstLine="0"/>
        <w:jc w:val="left"/>
        <w:rPr>
          <w:sz w:val="18"/>
        </w:rPr>
      </w:pPr>
      <w:r>
        <w:rPr>
          <w:sz w:val="18"/>
        </w:rPr>
        <w:t>There had also been falls in nominal yields at the long end of the forward curve during October. This had been mirrored in falls in long corporate bond yields. Since the beginning of the year, the yield on 25 year corporate bonds had also fallen relative to yields on</w:t>
      </w:r>
      <w:r>
        <w:rPr>
          <w:spacing w:val="-7"/>
          <w:sz w:val="18"/>
        </w:rPr>
        <w:t> </w:t>
      </w:r>
      <w:r>
        <w:rPr>
          <w:sz w:val="18"/>
        </w:rPr>
        <w:t>shorter</w:t>
      </w:r>
      <w:r>
        <w:rPr>
          <w:spacing w:val="-6"/>
          <w:sz w:val="18"/>
        </w:rPr>
        <w:t> </w:t>
      </w:r>
      <w:r>
        <w:rPr>
          <w:sz w:val="18"/>
        </w:rPr>
        <w:t>maturity</w:t>
      </w:r>
      <w:r>
        <w:rPr>
          <w:spacing w:val="-7"/>
          <w:sz w:val="18"/>
        </w:rPr>
        <w:t> </w:t>
      </w:r>
      <w:r>
        <w:rPr>
          <w:sz w:val="18"/>
        </w:rPr>
        <w:t>bonds,</w:t>
      </w:r>
      <w:r>
        <w:rPr>
          <w:spacing w:val="-6"/>
          <w:sz w:val="18"/>
        </w:rPr>
        <w:t> </w:t>
      </w:r>
      <w:r>
        <w:rPr>
          <w:sz w:val="18"/>
        </w:rPr>
        <w:t>reflecting</w:t>
      </w:r>
      <w:r>
        <w:rPr>
          <w:spacing w:val="-7"/>
          <w:sz w:val="18"/>
        </w:rPr>
        <w:t> </w:t>
      </w:r>
      <w:r>
        <w:rPr>
          <w:sz w:val="18"/>
        </w:rPr>
        <w:t>movements</w:t>
      </w:r>
      <w:r>
        <w:rPr>
          <w:spacing w:val="-6"/>
          <w:sz w:val="18"/>
        </w:rPr>
        <w:t> </w:t>
      </w:r>
      <w:r>
        <w:rPr>
          <w:sz w:val="18"/>
        </w:rPr>
        <w:t>in</w:t>
      </w:r>
      <w:r>
        <w:rPr>
          <w:spacing w:val="-7"/>
          <w:sz w:val="18"/>
        </w:rPr>
        <w:t> </w:t>
      </w:r>
      <w:r>
        <w:rPr>
          <w:sz w:val="18"/>
        </w:rPr>
        <w:t>similar</w:t>
      </w:r>
      <w:r>
        <w:rPr>
          <w:spacing w:val="-6"/>
          <w:sz w:val="18"/>
        </w:rPr>
        <w:t> </w:t>
      </w:r>
      <w:r>
        <w:rPr>
          <w:sz w:val="18"/>
        </w:rPr>
        <w:t>maturity gilt yields. And it was noticeable that there had been a sharp pick up in issuance of very long corporate bonds (with a maturity in excess of 15 years) over this period. So any technical</w:t>
      </w:r>
      <w:r>
        <w:rPr>
          <w:spacing w:val="-30"/>
          <w:sz w:val="18"/>
        </w:rPr>
        <w:t> </w:t>
      </w:r>
      <w:r>
        <w:rPr>
          <w:sz w:val="18"/>
        </w:rPr>
        <w:t>factors</w:t>
      </w:r>
    </w:p>
    <w:p>
      <w:pPr>
        <w:pStyle w:val="BodyText"/>
        <w:spacing w:line="232" w:lineRule="auto"/>
        <w:ind w:left="185" w:right="100"/>
      </w:pPr>
      <w:r>
        <w:rPr/>
        <w:t>that may have helped to explain the fall in relative gilt yields at the long end appeared to have reduced the funding costs for some firms.</w:t>
      </w:r>
    </w:p>
    <w:p>
      <w:pPr>
        <w:pStyle w:val="BodyText"/>
        <w:spacing w:before="7"/>
        <w:rPr>
          <w:sz w:val="16"/>
        </w:rPr>
      </w:pPr>
    </w:p>
    <w:p>
      <w:pPr>
        <w:pStyle w:val="ListParagraph"/>
        <w:numPr>
          <w:ilvl w:val="0"/>
          <w:numId w:val="43"/>
        </w:numPr>
        <w:tabs>
          <w:tab w:pos="665" w:val="left" w:leader="none"/>
          <w:tab w:pos="666" w:val="left" w:leader="none"/>
        </w:tabs>
        <w:spacing w:line="232" w:lineRule="auto" w:before="0" w:after="0"/>
        <w:ind w:left="185" w:right="48" w:firstLine="0"/>
        <w:jc w:val="left"/>
        <w:rPr>
          <w:sz w:val="18"/>
        </w:rPr>
      </w:pPr>
      <w:r>
        <w:rPr>
          <w:sz w:val="18"/>
        </w:rPr>
        <w:t>The pass-through of September’s base rate rise to retail savings rates had remained incomplete in October. Interest rates on fixed-rate mortgages had increased, following continued increases in swap rates at all maturities. But the narrowing in the spread of five-year fixed mortgage rates over five-year swap rates observed this year had continued in</w:t>
      </w:r>
      <w:r>
        <w:rPr>
          <w:spacing w:val="-8"/>
          <w:sz w:val="18"/>
        </w:rPr>
        <w:t> </w:t>
      </w:r>
      <w:r>
        <w:rPr>
          <w:sz w:val="18"/>
        </w:rPr>
        <w:t>October.</w:t>
      </w:r>
    </w:p>
    <w:p>
      <w:pPr>
        <w:pStyle w:val="BodyText"/>
        <w:rPr>
          <w:sz w:val="17"/>
        </w:rPr>
      </w:pPr>
    </w:p>
    <w:p>
      <w:pPr>
        <w:pStyle w:val="ListParagraph"/>
        <w:numPr>
          <w:ilvl w:val="0"/>
          <w:numId w:val="43"/>
        </w:numPr>
        <w:tabs>
          <w:tab w:pos="665" w:val="left" w:leader="none"/>
          <w:tab w:pos="666" w:val="left" w:leader="none"/>
        </w:tabs>
        <w:spacing w:line="232" w:lineRule="auto" w:before="0" w:after="0"/>
        <w:ind w:left="185" w:right="43" w:firstLine="0"/>
        <w:jc w:val="left"/>
        <w:rPr>
          <w:sz w:val="18"/>
        </w:rPr>
      </w:pPr>
      <w:r>
        <w:rPr>
          <w:sz w:val="18"/>
        </w:rPr>
        <w:t>Implied inflation expectations had fallen by around 15–30 basis points out to fifteen years. The fall had been smaller at longer maturities.  The October biannual Consensus Economics survey had pointed to a fall in inflation expectations over the medium to long term (four years and further out) between April and October. By contrast, over the same period, inflation expectations implied using index-linked gilts had risen out to eight years, though they had fallen further</w:t>
      </w:r>
      <w:r>
        <w:rPr>
          <w:spacing w:val="-4"/>
          <w:sz w:val="18"/>
        </w:rPr>
        <w:t> </w:t>
      </w:r>
      <w:r>
        <w:rPr>
          <w:sz w:val="18"/>
        </w:rPr>
        <w:t>out.</w:t>
      </w:r>
    </w:p>
    <w:p>
      <w:pPr>
        <w:pStyle w:val="BodyText"/>
        <w:spacing w:before="10"/>
        <w:rPr>
          <w:sz w:val="16"/>
        </w:rPr>
      </w:pPr>
    </w:p>
    <w:p>
      <w:pPr>
        <w:pStyle w:val="ListParagraph"/>
        <w:numPr>
          <w:ilvl w:val="0"/>
          <w:numId w:val="43"/>
        </w:numPr>
        <w:tabs>
          <w:tab w:pos="665" w:val="left" w:leader="none"/>
          <w:tab w:pos="666" w:val="left" w:leader="none"/>
        </w:tabs>
        <w:spacing w:line="232" w:lineRule="auto" w:before="0" w:after="0"/>
        <w:ind w:left="185" w:right="113" w:firstLine="0"/>
        <w:jc w:val="left"/>
        <w:rPr>
          <w:sz w:val="18"/>
        </w:rPr>
      </w:pPr>
      <w:r>
        <w:rPr>
          <w:sz w:val="18"/>
        </w:rPr>
        <w:t>The sterling effective exchange rate index (ERI) had appreciated, by 0.7% over the month. Within this, sterling had appreciated by 1.4% against the euro, but had depreciated by 0.7% against the US dollar and by 3.0% against the yen. Real exchange rate expectations calculated using the biannual Consensus Economics survey of long-run inflation and nominal exchange rate expectations had suggested that the markets increasingly expected the strength of sterling to be sustained. The real exchange rate expected at end-2003 had increased by 2.8% between the October 1998 and 1999 surveys. The FT All-Share index had risen by 2.4% on the month. As in recent months the index for smaller capitalisation stocks had performed more poorly, falling by 0.8% on the month.</w:t>
      </w:r>
    </w:p>
    <w:p>
      <w:pPr>
        <w:pStyle w:val="BodyText"/>
        <w:spacing w:before="9"/>
        <w:rPr>
          <w:sz w:val="19"/>
        </w:rPr>
      </w:pPr>
    </w:p>
    <w:p>
      <w:pPr>
        <w:pStyle w:val="Heading7"/>
        <w:numPr>
          <w:ilvl w:val="0"/>
          <w:numId w:val="44"/>
        </w:numPr>
        <w:tabs>
          <w:tab w:pos="665" w:val="left" w:leader="none"/>
          <w:tab w:pos="666" w:val="left" w:leader="none"/>
        </w:tabs>
        <w:spacing w:line="240" w:lineRule="auto" w:before="0" w:after="0"/>
        <w:ind w:left="665" w:right="0" w:hanging="481"/>
        <w:jc w:val="left"/>
      </w:pPr>
      <w:r>
        <w:rPr>
          <w:color w:val="009391"/>
        </w:rPr>
        <w:t>Demand and</w:t>
      </w:r>
      <w:r>
        <w:rPr>
          <w:color w:val="009391"/>
          <w:spacing w:val="-3"/>
        </w:rPr>
        <w:t> </w:t>
      </w:r>
      <w:r>
        <w:rPr>
          <w:color w:val="009391"/>
        </w:rPr>
        <w:t>output</w:t>
      </w:r>
    </w:p>
    <w:p>
      <w:pPr>
        <w:pStyle w:val="ListParagraph"/>
        <w:numPr>
          <w:ilvl w:val="0"/>
          <w:numId w:val="43"/>
        </w:numPr>
        <w:tabs>
          <w:tab w:pos="665" w:val="left" w:leader="none"/>
          <w:tab w:pos="666" w:val="left" w:leader="none"/>
        </w:tabs>
        <w:spacing w:line="232" w:lineRule="auto" w:before="109" w:after="0"/>
        <w:ind w:left="185" w:right="58" w:firstLine="0"/>
        <w:jc w:val="left"/>
        <w:rPr>
          <w:sz w:val="18"/>
        </w:rPr>
      </w:pPr>
      <w:r>
        <w:rPr>
          <w:sz w:val="18"/>
        </w:rPr>
        <w:t>The preliminary ONS estimate of GDP growth in 1999 Q3 had been 0.9%, the strongest for two years. The annual growth rate had risen to 1.8%. Service sector output had grown by 1.0% in Q3 and had been 2.6% up on a year earlier—close to its long run average. Within services, the distribution, hotels and catering sector had grown by 0.9%. Manufacturing output had risen by 1.0% in Q3, following revisions to data in July and</w:t>
      </w:r>
      <w:r>
        <w:rPr>
          <w:spacing w:val="-26"/>
          <w:sz w:val="18"/>
        </w:rPr>
        <w:t> </w:t>
      </w:r>
      <w:r>
        <w:rPr>
          <w:sz w:val="18"/>
        </w:rPr>
        <w:t>August.</w:t>
      </w:r>
    </w:p>
    <w:p>
      <w:pPr>
        <w:pStyle w:val="BodyText"/>
        <w:spacing w:before="11"/>
        <w:rPr>
          <w:sz w:val="16"/>
        </w:rPr>
      </w:pPr>
    </w:p>
    <w:p>
      <w:pPr>
        <w:pStyle w:val="ListParagraph"/>
        <w:numPr>
          <w:ilvl w:val="0"/>
          <w:numId w:val="43"/>
        </w:numPr>
        <w:tabs>
          <w:tab w:pos="665" w:val="left" w:leader="none"/>
          <w:tab w:pos="666" w:val="left" w:leader="none"/>
        </w:tabs>
        <w:spacing w:line="232" w:lineRule="auto" w:before="0" w:after="0"/>
        <w:ind w:left="185" w:right="335" w:firstLine="0"/>
        <w:jc w:val="left"/>
        <w:rPr>
          <w:sz w:val="18"/>
        </w:rPr>
      </w:pPr>
      <w:r>
        <w:rPr>
          <w:sz w:val="18"/>
        </w:rPr>
        <w:t>Construction new orders had fallen by 5.0% in the three months to September but the C</w:t>
      </w:r>
      <w:r>
        <w:rPr>
          <w:sz w:val="14"/>
        </w:rPr>
        <w:t>IPS </w:t>
      </w:r>
      <w:r>
        <w:rPr>
          <w:sz w:val="18"/>
        </w:rPr>
        <w:t>index of construction activity had indicated strong growth since January</w:t>
      </w:r>
      <w:r>
        <w:rPr>
          <w:spacing w:val="-13"/>
          <w:sz w:val="18"/>
        </w:rPr>
        <w:t> </w:t>
      </w:r>
      <w:r>
        <w:rPr>
          <w:sz w:val="18"/>
        </w:rPr>
        <w:t>1999.</w:t>
      </w:r>
    </w:p>
    <w:p>
      <w:pPr>
        <w:pStyle w:val="BodyText"/>
        <w:spacing w:before="2"/>
        <w:rPr>
          <w:sz w:val="17"/>
        </w:rPr>
      </w:pPr>
    </w:p>
    <w:p>
      <w:pPr>
        <w:pStyle w:val="ListParagraph"/>
        <w:numPr>
          <w:ilvl w:val="0"/>
          <w:numId w:val="43"/>
        </w:numPr>
        <w:tabs>
          <w:tab w:pos="665" w:val="left" w:leader="none"/>
          <w:tab w:pos="666" w:val="left" w:leader="none"/>
        </w:tabs>
        <w:spacing w:line="232" w:lineRule="auto" w:before="0" w:after="0"/>
        <w:ind w:left="185" w:right="308" w:firstLine="0"/>
        <w:jc w:val="left"/>
        <w:rPr>
          <w:sz w:val="18"/>
        </w:rPr>
      </w:pPr>
      <w:r>
        <w:rPr>
          <w:sz w:val="18"/>
        </w:rPr>
        <w:t>Retail sales volumes had risen by 0.1% in September. Growth in Q3 had been 1.2%. The GfK consumer confidence index had been flat in October, but remained above its historical average. The new quarterly Consumers’ Association Consumer Trends Survey consumer confidence index had been +34 in October, compared with +33 in July. According to this survey, households expected house prices to rise by 4% over the next year.</w:t>
      </w:r>
    </w:p>
    <w:p>
      <w:pPr>
        <w:pStyle w:val="BodyText"/>
        <w:spacing w:before="10"/>
        <w:rPr>
          <w:sz w:val="16"/>
        </w:rPr>
      </w:pPr>
    </w:p>
    <w:p>
      <w:pPr>
        <w:pStyle w:val="ListParagraph"/>
        <w:numPr>
          <w:ilvl w:val="0"/>
          <w:numId w:val="43"/>
        </w:numPr>
        <w:tabs>
          <w:tab w:pos="665" w:val="left" w:leader="none"/>
          <w:tab w:pos="666" w:val="left" w:leader="none"/>
        </w:tabs>
        <w:spacing w:line="232" w:lineRule="auto" w:before="0" w:after="0"/>
        <w:ind w:left="185" w:right="118" w:firstLine="0"/>
        <w:jc w:val="left"/>
        <w:rPr>
          <w:sz w:val="18"/>
        </w:rPr>
      </w:pPr>
      <w:r>
        <w:rPr>
          <w:sz w:val="18"/>
        </w:rPr>
        <w:t>Both the Halifax and Nationwide house price indices had shown rises in annual house price inflation in October, to 10.8% and 11.6% respectively. The Halifax index had grown particularly sharply in October, rising by 2.8%, following zero growth in September. Particulars delivered had fallen to 122,000 in September—the second consecutive monthly fall—but remained 7% higher than a year earlier. The Royal Institute of</w:t>
      </w:r>
      <w:r>
        <w:rPr>
          <w:spacing w:val="8"/>
          <w:sz w:val="18"/>
        </w:rPr>
        <w:t> </w:t>
      </w:r>
      <w:r>
        <w:rPr>
          <w:sz w:val="18"/>
        </w:rPr>
        <w:t>Chartered</w:t>
      </w:r>
    </w:p>
    <w:p>
      <w:pPr>
        <w:pStyle w:val="BodyText"/>
        <w:spacing w:before="4"/>
        <w:rPr>
          <w:sz w:val="21"/>
        </w:rPr>
      </w:pPr>
      <w:r>
        <w:rPr/>
        <w:br w:type="column"/>
      </w:r>
      <w:r>
        <w:rPr>
          <w:sz w:val="21"/>
        </w:rPr>
      </w:r>
    </w:p>
    <w:p>
      <w:pPr>
        <w:pStyle w:val="BodyText"/>
        <w:spacing w:line="232" w:lineRule="auto" w:before="1"/>
        <w:ind w:left="185" w:right="452"/>
      </w:pPr>
      <w:r>
        <w:rPr/>
        <w:t>Surveyors (R</w:t>
      </w:r>
      <w:r>
        <w:rPr>
          <w:sz w:val="14"/>
        </w:rPr>
        <w:t>ICS</w:t>
      </w:r>
      <w:r>
        <w:rPr/>
        <w:t>) survey had shown a similar picture of housing transactions. Housing starts had risen by 2.9% in Q3.</w:t>
      </w:r>
    </w:p>
    <w:p>
      <w:pPr>
        <w:pStyle w:val="BodyText"/>
        <w:spacing w:before="2"/>
        <w:rPr>
          <w:sz w:val="17"/>
        </w:rPr>
      </w:pPr>
    </w:p>
    <w:p>
      <w:pPr>
        <w:pStyle w:val="ListParagraph"/>
        <w:numPr>
          <w:ilvl w:val="0"/>
          <w:numId w:val="43"/>
        </w:numPr>
        <w:tabs>
          <w:tab w:pos="666" w:val="left" w:leader="none"/>
        </w:tabs>
        <w:spacing w:line="232" w:lineRule="auto" w:before="1" w:after="0"/>
        <w:ind w:left="185" w:right="240" w:firstLine="0"/>
        <w:jc w:val="both"/>
        <w:rPr>
          <w:sz w:val="18"/>
        </w:rPr>
      </w:pPr>
      <w:r>
        <w:rPr>
          <w:sz w:val="18"/>
        </w:rPr>
        <w:t>Vehicle</w:t>
      </w:r>
      <w:r>
        <w:rPr>
          <w:spacing w:val="-5"/>
          <w:sz w:val="18"/>
        </w:rPr>
        <w:t> </w:t>
      </w:r>
      <w:r>
        <w:rPr>
          <w:sz w:val="18"/>
        </w:rPr>
        <w:t>sales</w:t>
      </w:r>
      <w:r>
        <w:rPr>
          <w:spacing w:val="-5"/>
          <w:sz w:val="18"/>
        </w:rPr>
        <w:t> </w:t>
      </w:r>
      <w:r>
        <w:rPr>
          <w:sz w:val="18"/>
        </w:rPr>
        <w:t>had</w:t>
      </w:r>
      <w:r>
        <w:rPr>
          <w:spacing w:val="-4"/>
          <w:sz w:val="18"/>
        </w:rPr>
        <w:t> </w:t>
      </w:r>
      <w:r>
        <w:rPr>
          <w:sz w:val="18"/>
        </w:rPr>
        <w:t>been</w:t>
      </w:r>
      <w:r>
        <w:rPr>
          <w:spacing w:val="-5"/>
          <w:sz w:val="18"/>
        </w:rPr>
        <w:t> </w:t>
      </w:r>
      <w:r>
        <w:rPr>
          <w:sz w:val="18"/>
        </w:rPr>
        <w:t>very</w:t>
      </w:r>
      <w:r>
        <w:rPr>
          <w:spacing w:val="-5"/>
          <w:sz w:val="18"/>
        </w:rPr>
        <w:t> </w:t>
      </w:r>
      <w:r>
        <w:rPr>
          <w:sz w:val="18"/>
        </w:rPr>
        <w:t>volatile,</w:t>
      </w:r>
      <w:r>
        <w:rPr>
          <w:spacing w:val="-4"/>
          <w:sz w:val="18"/>
        </w:rPr>
        <w:t> </w:t>
      </w:r>
      <w:r>
        <w:rPr>
          <w:sz w:val="18"/>
        </w:rPr>
        <w:t>given</w:t>
      </w:r>
      <w:r>
        <w:rPr>
          <w:spacing w:val="-5"/>
          <w:sz w:val="18"/>
        </w:rPr>
        <w:t> </w:t>
      </w:r>
      <w:r>
        <w:rPr>
          <w:sz w:val="18"/>
        </w:rPr>
        <w:t>the</w:t>
      </w:r>
      <w:r>
        <w:rPr>
          <w:spacing w:val="-5"/>
          <w:sz w:val="18"/>
        </w:rPr>
        <w:t> </w:t>
      </w:r>
      <w:r>
        <w:rPr>
          <w:sz w:val="18"/>
        </w:rPr>
        <w:t>change</w:t>
      </w:r>
      <w:r>
        <w:rPr>
          <w:spacing w:val="-4"/>
          <w:sz w:val="18"/>
        </w:rPr>
        <w:t> </w:t>
      </w:r>
      <w:r>
        <w:rPr>
          <w:sz w:val="18"/>
        </w:rPr>
        <w:t>to</w:t>
      </w:r>
      <w:r>
        <w:rPr>
          <w:spacing w:val="-5"/>
          <w:sz w:val="18"/>
        </w:rPr>
        <w:t> </w:t>
      </w:r>
      <w:r>
        <w:rPr>
          <w:sz w:val="18"/>
        </w:rPr>
        <w:t>the registration letter system. Private car registrations in Q3 had fallen by 16.6% on a year earlier. In the first 9 months of 1999, they had been 0.8% lower than the same period a year</w:t>
      </w:r>
      <w:r>
        <w:rPr>
          <w:spacing w:val="-19"/>
          <w:sz w:val="18"/>
        </w:rPr>
        <w:t> </w:t>
      </w:r>
      <w:r>
        <w:rPr>
          <w:sz w:val="18"/>
        </w:rPr>
        <w:t>earlier.</w:t>
      </w:r>
    </w:p>
    <w:p>
      <w:pPr>
        <w:pStyle w:val="BodyText"/>
        <w:spacing w:before="1"/>
        <w:rPr>
          <w:sz w:val="17"/>
        </w:rPr>
      </w:pPr>
    </w:p>
    <w:p>
      <w:pPr>
        <w:pStyle w:val="ListParagraph"/>
        <w:numPr>
          <w:ilvl w:val="0"/>
          <w:numId w:val="43"/>
        </w:numPr>
        <w:tabs>
          <w:tab w:pos="665" w:val="left" w:leader="none"/>
          <w:tab w:pos="666" w:val="left" w:leader="none"/>
        </w:tabs>
        <w:spacing w:line="232" w:lineRule="auto" w:before="0" w:after="0"/>
        <w:ind w:left="185" w:right="174" w:firstLine="0"/>
        <w:jc w:val="left"/>
        <w:rPr>
          <w:sz w:val="18"/>
        </w:rPr>
      </w:pPr>
      <w:r>
        <w:rPr>
          <w:sz w:val="18"/>
        </w:rPr>
        <w:t>The change in inventories had contributed negatively to GDP growth in Q2. The C</w:t>
      </w:r>
      <w:r>
        <w:rPr>
          <w:sz w:val="14"/>
        </w:rPr>
        <w:t>IPS </w:t>
      </w:r>
      <w:r>
        <w:rPr>
          <w:sz w:val="18"/>
        </w:rPr>
        <w:t>survey of manufacturing had shown that stocks of finished goods had risen in October for the first time since July 1998. The CBI Quarterly Industrial Trends Survey had shown that the balance of finished goods inventories had risen to -10 in October from -20 in</w:t>
      </w:r>
      <w:r>
        <w:rPr>
          <w:spacing w:val="-5"/>
          <w:sz w:val="18"/>
        </w:rPr>
        <w:t> </w:t>
      </w:r>
      <w:r>
        <w:rPr>
          <w:sz w:val="18"/>
        </w:rPr>
        <w:t>July.</w:t>
      </w:r>
    </w:p>
    <w:p>
      <w:pPr>
        <w:pStyle w:val="BodyText"/>
        <w:rPr>
          <w:sz w:val="17"/>
        </w:rPr>
      </w:pPr>
    </w:p>
    <w:p>
      <w:pPr>
        <w:pStyle w:val="ListParagraph"/>
        <w:numPr>
          <w:ilvl w:val="0"/>
          <w:numId w:val="43"/>
        </w:numPr>
        <w:tabs>
          <w:tab w:pos="665" w:val="left" w:leader="none"/>
          <w:tab w:pos="666" w:val="left" w:leader="none"/>
        </w:tabs>
        <w:spacing w:line="232" w:lineRule="auto" w:before="0" w:after="0"/>
        <w:ind w:left="185" w:right="364" w:firstLine="0"/>
        <w:jc w:val="left"/>
        <w:rPr>
          <w:sz w:val="18"/>
        </w:rPr>
      </w:pPr>
      <w:r>
        <w:rPr>
          <w:sz w:val="18"/>
        </w:rPr>
        <w:t>The BCC and CBI surveys had shown a pick-up of manufacturing investment intentions in Q3 compared to very low levels</w:t>
      </w:r>
      <w:r>
        <w:rPr>
          <w:spacing w:val="-4"/>
          <w:sz w:val="18"/>
        </w:rPr>
        <w:t> </w:t>
      </w:r>
      <w:r>
        <w:rPr>
          <w:sz w:val="18"/>
        </w:rPr>
        <w:t>a</w:t>
      </w:r>
      <w:r>
        <w:rPr>
          <w:spacing w:val="-4"/>
          <w:sz w:val="18"/>
        </w:rPr>
        <w:t> </w:t>
      </w:r>
      <w:r>
        <w:rPr>
          <w:sz w:val="18"/>
        </w:rPr>
        <w:t>year</w:t>
      </w:r>
      <w:r>
        <w:rPr>
          <w:spacing w:val="-4"/>
          <w:sz w:val="18"/>
        </w:rPr>
        <w:t> </w:t>
      </w:r>
      <w:r>
        <w:rPr>
          <w:sz w:val="18"/>
        </w:rPr>
        <w:t>ago,</w:t>
      </w:r>
      <w:r>
        <w:rPr>
          <w:spacing w:val="-4"/>
          <w:sz w:val="18"/>
        </w:rPr>
        <w:t> </w:t>
      </w:r>
      <w:r>
        <w:rPr>
          <w:sz w:val="18"/>
        </w:rPr>
        <w:t>though</w:t>
      </w:r>
      <w:r>
        <w:rPr>
          <w:spacing w:val="-3"/>
          <w:sz w:val="18"/>
        </w:rPr>
        <w:t> </w:t>
      </w:r>
      <w:r>
        <w:rPr>
          <w:sz w:val="18"/>
        </w:rPr>
        <w:t>the</w:t>
      </w:r>
      <w:r>
        <w:rPr>
          <w:spacing w:val="-4"/>
          <w:sz w:val="18"/>
        </w:rPr>
        <w:t> </w:t>
      </w:r>
      <w:r>
        <w:rPr>
          <w:sz w:val="18"/>
        </w:rPr>
        <w:t>CBI</w:t>
      </w:r>
      <w:r>
        <w:rPr>
          <w:spacing w:val="-4"/>
          <w:sz w:val="18"/>
        </w:rPr>
        <w:t> </w:t>
      </w:r>
      <w:r>
        <w:rPr>
          <w:sz w:val="18"/>
        </w:rPr>
        <w:t>measure</w:t>
      </w:r>
      <w:r>
        <w:rPr>
          <w:spacing w:val="-4"/>
          <w:sz w:val="18"/>
        </w:rPr>
        <w:t> </w:t>
      </w:r>
      <w:r>
        <w:rPr>
          <w:sz w:val="18"/>
        </w:rPr>
        <w:t>had</w:t>
      </w:r>
      <w:r>
        <w:rPr>
          <w:spacing w:val="-3"/>
          <w:sz w:val="18"/>
        </w:rPr>
        <w:t> </w:t>
      </w:r>
      <w:r>
        <w:rPr>
          <w:sz w:val="18"/>
        </w:rPr>
        <w:t>fallen</w:t>
      </w:r>
      <w:r>
        <w:rPr>
          <w:spacing w:val="-4"/>
          <w:sz w:val="18"/>
        </w:rPr>
        <w:t> </w:t>
      </w:r>
      <w:r>
        <w:rPr>
          <w:sz w:val="18"/>
        </w:rPr>
        <w:t>slightly</w:t>
      </w:r>
      <w:r>
        <w:rPr>
          <w:spacing w:val="-4"/>
          <w:sz w:val="18"/>
        </w:rPr>
        <w:t> </w:t>
      </w:r>
      <w:r>
        <w:rPr>
          <w:sz w:val="18"/>
        </w:rPr>
        <w:t>to</w:t>
      </w:r>
    </w:p>
    <w:p>
      <w:pPr>
        <w:pStyle w:val="BodyText"/>
        <w:spacing w:line="232" w:lineRule="auto"/>
        <w:ind w:left="185" w:right="329"/>
      </w:pPr>
      <w:r>
        <w:rPr/>
        <w:t>-11 in Q3 from -8 in Q2. The BCC survey had shown an increase in investment intentions (plant and machinery), to 11 in Q3 from 3 in Q2. But as investment intentions are forward-looking it seemed likely that actual investment would not strengthen until 2000.</w:t>
      </w:r>
    </w:p>
    <w:p>
      <w:pPr>
        <w:pStyle w:val="BodyText"/>
        <w:spacing w:before="10"/>
        <w:rPr>
          <w:sz w:val="16"/>
        </w:rPr>
      </w:pPr>
    </w:p>
    <w:p>
      <w:pPr>
        <w:pStyle w:val="ListParagraph"/>
        <w:numPr>
          <w:ilvl w:val="0"/>
          <w:numId w:val="43"/>
        </w:numPr>
        <w:tabs>
          <w:tab w:pos="665" w:val="left" w:leader="none"/>
          <w:tab w:pos="666" w:val="left" w:leader="none"/>
        </w:tabs>
        <w:spacing w:line="232" w:lineRule="auto" w:before="0" w:after="0"/>
        <w:ind w:left="185" w:right="234" w:firstLine="0"/>
        <w:jc w:val="left"/>
        <w:rPr>
          <w:sz w:val="18"/>
        </w:rPr>
      </w:pPr>
      <w:r>
        <w:rPr>
          <w:sz w:val="18"/>
        </w:rPr>
        <w:t>The public sector net cash requirement had been £2.0 billion in September—with cumulative cash borrowing for 1999/2000 similar to the previous</w:t>
      </w:r>
      <w:r>
        <w:rPr>
          <w:spacing w:val="-6"/>
          <w:sz w:val="18"/>
        </w:rPr>
        <w:t> </w:t>
      </w:r>
      <w:r>
        <w:rPr>
          <w:sz w:val="18"/>
        </w:rPr>
        <w:t>year.</w:t>
      </w:r>
    </w:p>
    <w:p>
      <w:pPr>
        <w:pStyle w:val="BodyText"/>
        <w:spacing w:before="2"/>
        <w:rPr>
          <w:sz w:val="17"/>
        </w:rPr>
      </w:pPr>
    </w:p>
    <w:p>
      <w:pPr>
        <w:pStyle w:val="ListParagraph"/>
        <w:numPr>
          <w:ilvl w:val="0"/>
          <w:numId w:val="43"/>
        </w:numPr>
        <w:tabs>
          <w:tab w:pos="665" w:val="left" w:leader="none"/>
          <w:tab w:pos="666" w:val="left" w:leader="none"/>
        </w:tabs>
        <w:spacing w:line="232" w:lineRule="auto" w:before="0" w:after="0"/>
        <w:ind w:left="185" w:right="244" w:firstLine="0"/>
        <w:jc w:val="left"/>
        <w:rPr>
          <w:sz w:val="18"/>
        </w:rPr>
      </w:pPr>
      <w:r>
        <w:rPr>
          <w:sz w:val="18"/>
        </w:rPr>
        <w:t>The</w:t>
      </w:r>
      <w:r>
        <w:rPr>
          <w:spacing w:val="-5"/>
          <w:sz w:val="18"/>
        </w:rPr>
        <w:t> </w:t>
      </w:r>
      <w:r>
        <w:rPr>
          <w:sz w:val="18"/>
        </w:rPr>
        <w:t>deficit</w:t>
      </w:r>
      <w:r>
        <w:rPr>
          <w:spacing w:val="-4"/>
          <w:sz w:val="18"/>
        </w:rPr>
        <w:t> </w:t>
      </w:r>
      <w:r>
        <w:rPr>
          <w:sz w:val="18"/>
        </w:rPr>
        <w:t>on</w:t>
      </w:r>
      <w:r>
        <w:rPr>
          <w:spacing w:val="-4"/>
          <w:sz w:val="18"/>
        </w:rPr>
        <w:t> </w:t>
      </w:r>
      <w:r>
        <w:rPr>
          <w:sz w:val="18"/>
        </w:rPr>
        <w:t>trade</w:t>
      </w:r>
      <w:r>
        <w:rPr>
          <w:spacing w:val="-4"/>
          <w:sz w:val="18"/>
        </w:rPr>
        <w:t> </w:t>
      </w:r>
      <w:r>
        <w:rPr>
          <w:sz w:val="18"/>
        </w:rPr>
        <w:t>in</w:t>
      </w:r>
      <w:r>
        <w:rPr>
          <w:spacing w:val="-4"/>
          <w:sz w:val="18"/>
        </w:rPr>
        <w:t> </w:t>
      </w:r>
      <w:r>
        <w:rPr>
          <w:sz w:val="18"/>
        </w:rPr>
        <w:t>goods</w:t>
      </w:r>
      <w:r>
        <w:rPr>
          <w:spacing w:val="-5"/>
          <w:sz w:val="18"/>
        </w:rPr>
        <w:t> </w:t>
      </w:r>
      <w:r>
        <w:rPr>
          <w:sz w:val="18"/>
        </w:rPr>
        <w:t>had</w:t>
      </w:r>
      <w:r>
        <w:rPr>
          <w:spacing w:val="-4"/>
          <w:sz w:val="18"/>
        </w:rPr>
        <w:t> </w:t>
      </w:r>
      <w:r>
        <w:rPr>
          <w:sz w:val="18"/>
        </w:rPr>
        <w:t>narrowed</w:t>
      </w:r>
      <w:r>
        <w:rPr>
          <w:spacing w:val="-4"/>
          <w:sz w:val="18"/>
        </w:rPr>
        <w:t> </w:t>
      </w:r>
      <w:r>
        <w:rPr>
          <w:sz w:val="18"/>
        </w:rPr>
        <w:t>to</w:t>
      </w:r>
      <w:r>
        <w:rPr>
          <w:spacing w:val="-4"/>
          <w:sz w:val="18"/>
        </w:rPr>
        <w:t> </w:t>
      </w:r>
      <w:r>
        <w:rPr>
          <w:sz w:val="18"/>
        </w:rPr>
        <w:t>£1.9</w:t>
      </w:r>
      <w:r>
        <w:rPr>
          <w:spacing w:val="-5"/>
          <w:sz w:val="18"/>
        </w:rPr>
        <w:t> </w:t>
      </w:r>
      <w:r>
        <w:rPr>
          <w:sz w:val="18"/>
        </w:rPr>
        <w:t>billion</w:t>
      </w:r>
      <w:r>
        <w:rPr>
          <w:spacing w:val="-4"/>
          <w:sz w:val="18"/>
        </w:rPr>
        <w:t> </w:t>
      </w:r>
      <w:r>
        <w:rPr>
          <w:sz w:val="18"/>
        </w:rPr>
        <w:t>in August from £2.2 billion in July. The EU deficit had widened slightly to £0.4 billion, but the non-EU goods deficit had narrowed to £1.5 billion. The non-EU deficit had narrowed further</w:t>
      </w:r>
      <w:r>
        <w:rPr>
          <w:spacing w:val="-26"/>
          <w:sz w:val="18"/>
        </w:rPr>
        <w:t> </w:t>
      </w:r>
      <w:r>
        <w:rPr>
          <w:sz w:val="18"/>
        </w:rPr>
        <w:t>to</w:t>
      </w:r>
    </w:p>
    <w:p>
      <w:pPr>
        <w:pStyle w:val="BodyText"/>
        <w:spacing w:line="232" w:lineRule="auto"/>
        <w:ind w:left="185" w:right="225"/>
      </w:pPr>
      <w:r>
        <w:rPr/>
        <w:t>£1.2 billion in September. Excluding oil and erratics, export volumes had risen by 5.8% in the three months to August and imports had risen by 3.8%. Although export growth over the past half-year</w:t>
      </w:r>
      <w:r>
        <w:rPr>
          <w:spacing w:val="-6"/>
        </w:rPr>
        <w:t> </w:t>
      </w:r>
      <w:r>
        <w:rPr/>
        <w:t>had</w:t>
      </w:r>
      <w:r>
        <w:rPr>
          <w:spacing w:val="-6"/>
        </w:rPr>
        <w:t> </w:t>
      </w:r>
      <w:r>
        <w:rPr/>
        <w:t>been</w:t>
      </w:r>
      <w:r>
        <w:rPr>
          <w:spacing w:val="-6"/>
        </w:rPr>
        <w:t> </w:t>
      </w:r>
      <w:r>
        <w:rPr/>
        <w:t>partly</w:t>
      </w:r>
      <w:r>
        <w:rPr>
          <w:spacing w:val="-6"/>
        </w:rPr>
        <w:t> </w:t>
      </w:r>
      <w:r>
        <w:rPr/>
        <w:t>driven</w:t>
      </w:r>
      <w:r>
        <w:rPr>
          <w:spacing w:val="-6"/>
        </w:rPr>
        <w:t> </w:t>
      </w:r>
      <w:r>
        <w:rPr/>
        <w:t>by</w:t>
      </w:r>
      <w:r>
        <w:rPr>
          <w:spacing w:val="-5"/>
        </w:rPr>
        <w:t> </w:t>
      </w:r>
      <w:r>
        <w:rPr/>
        <w:t>erratic</w:t>
      </w:r>
      <w:r>
        <w:rPr>
          <w:spacing w:val="-6"/>
        </w:rPr>
        <w:t> </w:t>
      </w:r>
      <w:r>
        <w:rPr/>
        <w:t>items,</w:t>
      </w:r>
      <w:r>
        <w:rPr>
          <w:spacing w:val="-6"/>
        </w:rPr>
        <w:t> </w:t>
      </w:r>
      <w:r>
        <w:rPr/>
        <w:t>underlying</w:t>
      </w:r>
      <w:r>
        <w:rPr>
          <w:spacing w:val="-6"/>
        </w:rPr>
        <w:t> </w:t>
      </w:r>
      <w:r>
        <w:rPr/>
        <w:t>export growth (excluding oil and erratics) had also been positive. Based on monthly data, the 1999 Q3 net trade contribution to GDP seemed likely to be</w:t>
      </w:r>
      <w:r>
        <w:rPr>
          <w:spacing w:val="-6"/>
        </w:rPr>
        <w:t> </w:t>
      </w:r>
      <w:r>
        <w:rPr/>
        <w:t>positive.</w:t>
      </w:r>
    </w:p>
    <w:p>
      <w:pPr>
        <w:pStyle w:val="BodyText"/>
        <w:spacing w:before="7"/>
        <w:rPr>
          <w:sz w:val="16"/>
        </w:rPr>
      </w:pPr>
    </w:p>
    <w:p>
      <w:pPr>
        <w:pStyle w:val="ListParagraph"/>
        <w:numPr>
          <w:ilvl w:val="0"/>
          <w:numId w:val="43"/>
        </w:numPr>
        <w:tabs>
          <w:tab w:pos="665" w:val="left" w:leader="none"/>
          <w:tab w:pos="666" w:val="left" w:leader="none"/>
        </w:tabs>
        <w:spacing w:line="232" w:lineRule="auto" w:before="0" w:after="0"/>
        <w:ind w:left="185" w:right="316" w:firstLine="0"/>
        <w:jc w:val="left"/>
        <w:rPr>
          <w:sz w:val="18"/>
        </w:rPr>
      </w:pPr>
      <w:r>
        <w:rPr>
          <w:sz w:val="18"/>
        </w:rPr>
        <w:t>Looking ahead to Q4, survey evidence had suggested continuing strong growth. The C</w:t>
      </w:r>
      <w:r>
        <w:rPr>
          <w:sz w:val="14"/>
        </w:rPr>
        <w:t>IPS </w:t>
      </w:r>
      <w:r>
        <w:rPr>
          <w:sz w:val="18"/>
        </w:rPr>
        <w:t>purchasing managers’ survey of manufacturing showed a slight improvement in the headline index, to 54.2 in October, with the output index above</w:t>
      </w:r>
      <w:r>
        <w:rPr>
          <w:spacing w:val="-25"/>
          <w:sz w:val="18"/>
        </w:rPr>
        <w:t> </w:t>
      </w:r>
      <w:r>
        <w:rPr>
          <w:sz w:val="18"/>
        </w:rPr>
        <w:t>its</w:t>
      </w:r>
    </w:p>
    <w:p>
      <w:pPr>
        <w:pStyle w:val="BodyText"/>
        <w:spacing w:line="232" w:lineRule="auto"/>
        <w:ind w:left="185" w:right="251"/>
      </w:pPr>
      <w:r>
        <w:rPr/>
        <w:t>no-change point of 50 for the seventh consecutive month.  The CBI Quarterly Industrial Trends Survey had shown a sharp improvement of manufacturing sector confidence in Q3. The BCC survey for Q3 had shown a marked improvement in domestic and overseas</w:t>
      </w:r>
      <w:r>
        <w:rPr>
          <w:spacing w:val="-5"/>
        </w:rPr>
        <w:t> </w:t>
      </w:r>
      <w:r>
        <w:rPr/>
        <w:t>orders,</w:t>
      </w:r>
      <w:r>
        <w:rPr>
          <w:spacing w:val="-4"/>
        </w:rPr>
        <w:t> </w:t>
      </w:r>
      <w:r>
        <w:rPr/>
        <w:t>in</w:t>
      </w:r>
      <w:r>
        <w:rPr>
          <w:spacing w:val="-4"/>
        </w:rPr>
        <w:t> </w:t>
      </w:r>
      <w:r>
        <w:rPr/>
        <w:t>both</w:t>
      </w:r>
      <w:r>
        <w:rPr>
          <w:spacing w:val="-4"/>
        </w:rPr>
        <w:t> </w:t>
      </w:r>
      <w:r>
        <w:rPr/>
        <w:t>the</w:t>
      </w:r>
      <w:r>
        <w:rPr>
          <w:spacing w:val="-5"/>
        </w:rPr>
        <w:t> </w:t>
      </w:r>
      <w:r>
        <w:rPr/>
        <w:t>manufacturing</w:t>
      </w:r>
      <w:r>
        <w:rPr>
          <w:spacing w:val="-4"/>
        </w:rPr>
        <w:t> </w:t>
      </w:r>
      <w:r>
        <w:rPr/>
        <w:t>and</w:t>
      </w:r>
      <w:r>
        <w:rPr>
          <w:spacing w:val="-4"/>
        </w:rPr>
        <w:t> </w:t>
      </w:r>
      <w:r>
        <w:rPr/>
        <w:t>services</w:t>
      </w:r>
      <w:r>
        <w:rPr>
          <w:spacing w:val="-4"/>
        </w:rPr>
        <w:t> </w:t>
      </w:r>
      <w:r>
        <w:rPr/>
        <w:t>sectors.</w:t>
      </w:r>
    </w:p>
    <w:p>
      <w:pPr>
        <w:pStyle w:val="BodyText"/>
        <w:spacing w:line="232" w:lineRule="auto"/>
        <w:ind w:left="185" w:right="198"/>
      </w:pPr>
      <w:r>
        <w:rPr/>
        <w:t>Domestic and overseas orders balances had appeared to be moving in line over recent quarters—though growth in domestic orders remained stronger. The C</w:t>
      </w:r>
      <w:r>
        <w:rPr>
          <w:sz w:val="14"/>
        </w:rPr>
        <w:t>IPS </w:t>
      </w:r>
      <w:r>
        <w:rPr/>
        <w:t>Services Survey had shown an increase in activity in October (though the rate of growth had been the slowest since March). The CBI Distributive Trades Survey had shown</w:t>
      </w:r>
      <w:r>
        <w:rPr>
          <w:spacing w:val="-5"/>
        </w:rPr>
        <w:t> </w:t>
      </w:r>
      <w:r>
        <w:rPr/>
        <w:t>a</w:t>
      </w:r>
      <w:r>
        <w:rPr>
          <w:spacing w:val="-5"/>
        </w:rPr>
        <w:t> </w:t>
      </w:r>
      <w:r>
        <w:rPr/>
        <w:t>rise</w:t>
      </w:r>
      <w:r>
        <w:rPr>
          <w:spacing w:val="-5"/>
        </w:rPr>
        <w:t> </w:t>
      </w:r>
      <w:r>
        <w:rPr/>
        <w:t>in</w:t>
      </w:r>
      <w:r>
        <w:rPr>
          <w:spacing w:val="-4"/>
        </w:rPr>
        <w:t> </w:t>
      </w:r>
      <w:r>
        <w:rPr/>
        <w:t>retail</w:t>
      </w:r>
      <w:r>
        <w:rPr>
          <w:spacing w:val="-5"/>
        </w:rPr>
        <w:t> </w:t>
      </w:r>
      <w:r>
        <w:rPr/>
        <w:t>sales</w:t>
      </w:r>
      <w:r>
        <w:rPr>
          <w:spacing w:val="-5"/>
        </w:rPr>
        <w:t> </w:t>
      </w:r>
      <w:r>
        <w:rPr/>
        <w:t>in</w:t>
      </w:r>
      <w:r>
        <w:rPr>
          <w:spacing w:val="-5"/>
        </w:rPr>
        <w:t> </w:t>
      </w:r>
      <w:r>
        <w:rPr/>
        <w:t>October</w:t>
      </w:r>
      <w:r>
        <w:rPr>
          <w:spacing w:val="-4"/>
        </w:rPr>
        <w:t> </w:t>
      </w:r>
      <w:r>
        <w:rPr/>
        <w:t>(though</w:t>
      </w:r>
      <w:r>
        <w:rPr>
          <w:spacing w:val="-5"/>
        </w:rPr>
        <w:t> </w:t>
      </w:r>
      <w:r>
        <w:rPr/>
        <w:t>with</w:t>
      </w:r>
      <w:r>
        <w:rPr>
          <w:spacing w:val="-5"/>
        </w:rPr>
        <w:t> </w:t>
      </w:r>
      <w:r>
        <w:rPr/>
        <w:t>growth</w:t>
      </w:r>
      <w:r>
        <w:rPr>
          <w:spacing w:val="-5"/>
        </w:rPr>
        <w:t> </w:t>
      </w:r>
      <w:r>
        <w:rPr/>
        <w:t>slowing, and sales considered to be slightly below average for the time of year). The improved outlook had also been broadly consistent with other surveys such as those by the Institute of Directors and the Engineers’ Employers Federation. The latest surveys when taken together suggested quarterly growth in GDP continuing in Q4 at broadly the same rate as in</w:t>
      </w:r>
      <w:r>
        <w:rPr>
          <w:spacing w:val="-8"/>
        </w:rPr>
        <w:t> </w:t>
      </w:r>
      <w:r>
        <w:rPr/>
        <w:t>Q3.</w:t>
      </w:r>
    </w:p>
    <w:p>
      <w:pPr>
        <w:pStyle w:val="BodyText"/>
        <w:spacing w:before="3"/>
        <w:rPr>
          <w:sz w:val="19"/>
        </w:rPr>
      </w:pPr>
    </w:p>
    <w:p>
      <w:pPr>
        <w:pStyle w:val="Heading7"/>
        <w:numPr>
          <w:ilvl w:val="0"/>
          <w:numId w:val="44"/>
        </w:numPr>
        <w:tabs>
          <w:tab w:pos="665" w:val="left" w:leader="none"/>
          <w:tab w:pos="666" w:val="left" w:leader="none"/>
        </w:tabs>
        <w:spacing w:line="240" w:lineRule="auto" w:before="0" w:after="0"/>
        <w:ind w:left="665" w:right="0" w:hanging="481"/>
        <w:jc w:val="left"/>
      </w:pPr>
      <w:r>
        <w:rPr>
          <w:color w:val="009391"/>
        </w:rPr>
        <w:t>The labour</w:t>
      </w:r>
      <w:r>
        <w:rPr>
          <w:color w:val="009391"/>
          <w:spacing w:val="-3"/>
        </w:rPr>
        <w:t> </w:t>
      </w:r>
      <w:r>
        <w:rPr>
          <w:color w:val="009391"/>
        </w:rPr>
        <w:t>market</w:t>
      </w:r>
    </w:p>
    <w:p>
      <w:pPr>
        <w:pStyle w:val="ListParagraph"/>
        <w:numPr>
          <w:ilvl w:val="0"/>
          <w:numId w:val="43"/>
        </w:numPr>
        <w:tabs>
          <w:tab w:pos="665" w:val="left" w:leader="none"/>
          <w:tab w:pos="666" w:val="left" w:leader="none"/>
        </w:tabs>
        <w:spacing w:line="232" w:lineRule="auto" w:before="110" w:after="0"/>
        <w:ind w:left="185" w:right="175" w:firstLine="0"/>
        <w:jc w:val="left"/>
        <w:rPr>
          <w:sz w:val="18"/>
        </w:rPr>
      </w:pPr>
      <w:r>
        <w:rPr>
          <w:sz w:val="18"/>
        </w:rPr>
        <w:t>LFS employment had increased by 99,000 (0.4%) in the three months to August compared with the previous three months— up sharply on the increase in the three months to May. In full-time equivalent terms, growth had been the strongest since the summer of 1998. Total hours worked had risen by 0.4% during the three months to August over the previous three months. Average hours worked</w:t>
      </w:r>
      <w:r>
        <w:rPr>
          <w:spacing w:val="-5"/>
          <w:sz w:val="18"/>
        </w:rPr>
        <w:t> </w:t>
      </w:r>
      <w:r>
        <w:rPr>
          <w:sz w:val="18"/>
        </w:rPr>
        <w:t>had</w:t>
      </w:r>
      <w:r>
        <w:rPr>
          <w:spacing w:val="-5"/>
          <w:sz w:val="18"/>
        </w:rPr>
        <w:t> </w:t>
      </w:r>
      <w:r>
        <w:rPr>
          <w:sz w:val="18"/>
        </w:rPr>
        <w:t>risen</w:t>
      </w:r>
      <w:r>
        <w:rPr>
          <w:spacing w:val="-5"/>
          <w:sz w:val="18"/>
        </w:rPr>
        <w:t> </w:t>
      </w:r>
      <w:r>
        <w:rPr>
          <w:sz w:val="18"/>
        </w:rPr>
        <w:t>by</w:t>
      </w:r>
      <w:r>
        <w:rPr>
          <w:spacing w:val="-5"/>
          <w:sz w:val="18"/>
        </w:rPr>
        <w:t> </w:t>
      </w:r>
      <w:r>
        <w:rPr>
          <w:sz w:val="18"/>
        </w:rPr>
        <w:t>0.1%,</w:t>
      </w:r>
      <w:r>
        <w:rPr>
          <w:spacing w:val="-5"/>
          <w:sz w:val="18"/>
        </w:rPr>
        <w:t> </w:t>
      </w:r>
      <w:r>
        <w:rPr>
          <w:sz w:val="18"/>
        </w:rPr>
        <w:t>although</w:t>
      </w:r>
      <w:r>
        <w:rPr>
          <w:spacing w:val="-5"/>
          <w:sz w:val="18"/>
        </w:rPr>
        <w:t> </w:t>
      </w:r>
      <w:r>
        <w:rPr>
          <w:sz w:val="18"/>
        </w:rPr>
        <w:t>they</w:t>
      </w:r>
      <w:r>
        <w:rPr>
          <w:spacing w:val="-5"/>
          <w:sz w:val="18"/>
        </w:rPr>
        <w:t> </w:t>
      </w:r>
      <w:r>
        <w:rPr>
          <w:sz w:val="18"/>
        </w:rPr>
        <w:t>had</w:t>
      </w:r>
      <w:r>
        <w:rPr>
          <w:spacing w:val="-5"/>
          <w:sz w:val="18"/>
        </w:rPr>
        <w:t> </w:t>
      </w:r>
      <w:r>
        <w:rPr>
          <w:sz w:val="18"/>
        </w:rPr>
        <w:t>remained</w:t>
      </w:r>
      <w:r>
        <w:rPr>
          <w:spacing w:val="-5"/>
          <w:sz w:val="18"/>
        </w:rPr>
        <w:t> </w:t>
      </w:r>
      <w:r>
        <w:rPr>
          <w:sz w:val="18"/>
        </w:rPr>
        <w:t>weaker</w:t>
      </w:r>
      <w:r>
        <w:rPr>
          <w:spacing w:val="-5"/>
          <w:sz w:val="18"/>
        </w:rPr>
        <w:t> </w:t>
      </w:r>
      <w:r>
        <w:rPr>
          <w:sz w:val="18"/>
        </w:rPr>
        <w:t>than in the same period the previous</w:t>
      </w:r>
      <w:r>
        <w:rPr>
          <w:spacing w:val="-9"/>
          <w:sz w:val="18"/>
        </w:rPr>
        <w:t> </w:t>
      </w:r>
      <w:r>
        <w:rPr>
          <w:sz w:val="18"/>
        </w:rPr>
        <w:t>year.</w:t>
      </w:r>
    </w:p>
    <w:p>
      <w:pPr>
        <w:spacing w:after="0" w:line="232" w:lineRule="auto"/>
        <w:jc w:val="left"/>
        <w:rPr>
          <w:sz w:val="18"/>
        </w:rPr>
        <w:sectPr>
          <w:type w:val="continuous"/>
          <w:pgSz w:w="11900" w:h="16840"/>
          <w:pgMar w:top="1220" w:bottom="280" w:left="620" w:right="640"/>
          <w:cols w:num="2" w:equalWidth="0">
            <w:col w:w="5119" w:space="261"/>
            <w:col w:w="526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4"/>
        <w:rPr>
          <w:sz w:val="21"/>
        </w:rPr>
      </w:pPr>
    </w:p>
    <w:p>
      <w:pPr>
        <w:pStyle w:val="ListParagraph"/>
        <w:numPr>
          <w:ilvl w:val="0"/>
          <w:numId w:val="43"/>
        </w:numPr>
        <w:tabs>
          <w:tab w:pos="694" w:val="left" w:leader="none"/>
          <w:tab w:pos="695" w:val="left" w:leader="none"/>
        </w:tabs>
        <w:spacing w:line="232" w:lineRule="auto" w:before="1" w:after="0"/>
        <w:ind w:left="214" w:right="177" w:firstLine="0"/>
        <w:jc w:val="left"/>
        <w:rPr>
          <w:sz w:val="18"/>
        </w:rPr>
      </w:pPr>
      <w:r>
        <w:rPr>
          <w:sz w:val="18"/>
        </w:rPr>
        <w:t>According to the C</w:t>
      </w:r>
      <w:r>
        <w:rPr>
          <w:sz w:val="14"/>
        </w:rPr>
        <w:t>IPS </w:t>
      </w:r>
      <w:r>
        <w:rPr>
          <w:sz w:val="18"/>
        </w:rPr>
        <w:t>survey, manufacturing employment had stopped falling, employment growth in services had eased, while employment growth in the construction sector had been broadly stable. Looking ahead, surveys of employment intentions had all indicated further employment</w:t>
      </w:r>
      <w:r>
        <w:rPr>
          <w:spacing w:val="-11"/>
          <w:sz w:val="18"/>
        </w:rPr>
        <w:t> </w:t>
      </w:r>
      <w:r>
        <w:rPr>
          <w:sz w:val="18"/>
        </w:rPr>
        <w:t>expansion.</w:t>
      </w:r>
    </w:p>
    <w:p>
      <w:pPr>
        <w:pStyle w:val="BodyText"/>
        <w:rPr>
          <w:sz w:val="17"/>
        </w:rPr>
      </w:pPr>
    </w:p>
    <w:p>
      <w:pPr>
        <w:pStyle w:val="ListParagraph"/>
        <w:numPr>
          <w:ilvl w:val="0"/>
          <w:numId w:val="43"/>
        </w:numPr>
        <w:tabs>
          <w:tab w:pos="694" w:val="left" w:leader="none"/>
          <w:tab w:pos="695" w:val="left" w:leader="none"/>
        </w:tabs>
        <w:spacing w:line="232" w:lineRule="auto" w:before="0" w:after="0"/>
        <w:ind w:left="214" w:right="73" w:firstLine="0"/>
        <w:jc w:val="left"/>
        <w:rPr>
          <w:sz w:val="18"/>
        </w:rPr>
      </w:pPr>
      <w:r>
        <w:rPr>
          <w:sz w:val="18"/>
        </w:rPr>
        <w:t>Surveys of skill shortages and recruitment difficulties had provided a more mixed picture of the degree of labour market tightness. The CBI Industrial Trends Survey had reported that skill shortages had increased in the September quarter, but remained below their historical average. The BCC Quarterly Economic Survey had reported that recruitment difficulties had lessened over this period, but remained high by historical standards. The stock of unfilled vacancies in job centres had remained high in September. However, the National Press Recruitment Advertising Index had continued its downward</w:t>
      </w:r>
      <w:r>
        <w:rPr>
          <w:spacing w:val="-5"/>
          <w:sz w:val="18"/>
        </w:rPr>
        <w:t> </w:t>
      </w:r>
      <w:r>
        <w:rPr>
          <w:sz w:val="18"/>
        </w:rPr>
        <w:t>trend.</w:t>
      </w:r>
    </w:p>
    <w:p>
      <w:pPr>
        <w:pStyle w:val="BodyText"/>
        <w:spacing w:before="8"/>
        <w:rPr>
          <w:sz w:val="16"/>
        </w:rPr>
      </w:pPr>
    </w:p>
    <w:p>
      <w:pPr>
        <w:pStyle w:val="ListParagraph"/>
        <w:numPr>
          <w:ilvl w:val="0"/>
          <w:numId w:val="43"/>
        </w:numPr>
        <w:tabs>
          <w:tab w:pos="694" w:val="left" w:leader="none"/>
          <w:tab w:pos="695" w:val="left" w:leader="none"/>
        </w:tabs>
        <w:spacing w:line="232" w:lineRule="auto" w:before="1" w:after="0"/>
        <w:ind w:left="214" w:right="242" w:firstLine="0"/>
        <w:jc w:val="left"/>
        <w:rPr>
          <w:sz w:val="18"/>
        </w:rPr>
      </w:pPr>
      <w:r>
        <w:rPr>
          <w:sz w:val="18"/>
        </w:rPr>
        <w:t>Unemployment levels had fallen on both the LFS and claimant count measures. LFS unemployment had fallen by 83,000</w:t>
      </w:r>
      <w:r>
        <w:rPr>
          <w:spacing w:val="-6"/>
          <w:sz w:val="18"/>
        </w:rPr>
        <w:t> </w:t>
      </w:r>
      <w:r>
        <w:rPr>
          <w:sz w:val="18"/>
        </w:rPr>
        <w:t>to</w:t>
      </w:r>
      <w:r>
        <w:rPr>
          <w:spacing w:val="-5"/>
          <w:sz w:val="18"/>
        </w:rPr>
        <w:t> </w:t>
      </w:r>
      <w:r>
        <w:rPr>
          <w:sz w:val="18"/>
        </w:rPr>
        <w:t>5.9%</w:t>
      </w:r>
      <w:r>
        <w:rPr>
          <w:spacing w:val="-5"/>
          <w:sz w:val="18"/>
        </w:rPr>
        <w:t> </w:t>
      </w:r>
      <w:r>
        <w:rPr>
          <w:sz w:val="18"/>
        </w:rPr>
        <w:t>in</w:t>
      </w:r>
      <w:r>
        <w:rPr>
          <w:spacing w:val="-6"/>
          <w:sz w:val="18"/>
        </w:rPr>
        <w:t> </w:t>
      </w:r>
      <w:r>
        <w:rPr>
          <w:sz w:val="18"/>
        </w:rPr>
        <w:t>June-August</w:t>
      </w:r>
      <w:r>
        <w:rPr>
          <w:spacing w:val="-5"/>
          <w:sz w:val="18"/>
        </w:rPr>
        <w:t> </w:t>
      </w:r>
      <w:r>
        <w:rPr>
          <w:sz w:val="18"/>
        </w:rPr>
        <w:t>compared</w:t>
      </w:r>
      <w:r>
        <w:rPr>
          <w:spacing w:val="-5"/>
          <w:sz w:val="18"/>
        </w:rPr>
        <w:t> </w:t>
      </w:r>
      <w:r>
        <w:rPr>
          <w:sz w:val="18"/>
        </w:rPr>
        <w:t>with</w:t>
      </w:r>
      <w:r>
        <w:rPr>
          <w:spacing w:val="-5"/>
          <w:sz w:val="18"/>
        </w:rPr>
        <w:t> </w:t>
      </w:r>
      <w:r>
        <w:rPr>
          <w:sz w:val="18"/>
        </w:rPr>
        <w:t>the</w:t>
      </w:r>
      <w:r>
        <w:rPr>
          <w:spacing w:val="-6"/>
          <w:sz w:val="18"/>
        </w:rPr>
        <w:t> </w:t>
      </w:r>
      <w:r>
        <w:rPr>
          <w:sz w:val="18"/>
        </w:rPr>
        <w:t>previous</w:t>
      </w:r>
      <w:r>
        <w:rPr>
          <w:spacing w:val="-5"/>
          <w:sz w:val="18"/>
        </w:rPr>
        <w:t> </w:t>
      </w:r>
      <w:r>
        <w:rPr>
          <w:sz w:val="18"/>
        </w:rPr>
        <w:t>three</w:t>
      </w:r>
    </w:p>
    <w:p>
      <w:pPr>
        <w:pStyle w:val="BodyText"/>
        <w:spacing w:line="232" w:lineRule="auto"/>
        <w:ind w:left="214" w:right="38"/>
      </w:pPr>
      <w:r>
        <w:rPr/>
        <w:t>months. The claimant count had fallen by 5,400 in September, with the rate unchanged at 4.2%, the lowest since the early 1980s. But the participation rate had still not exceeded its peak in the early 1990s.</w:t>
      </w:r>
    </w:p>
    <w:p>
      <w:pPr>
        <w:pStyle w:val="BodyText"/>
        <w:spacing w:before="10"/>
        <w:rPr>
          <w:sz w:val="16"/>
        </w:rPr>
      </w:pPr>
    </w:p>
    <w:p>
      <w:pPr>
        <w:pStyle w:val="ListParagraph"/>
        <w:numPr>
          <w:ilvl w:val="0"/>
          <w:numId w:val="43"/>
        </w:numPr>
        <w:tabs>
          <w:tab w:pos="694" w:val="left" w:leader="none"/>
          <w:tab w:pos="695" w:val="left" w:leader="none"/>
        </w:tabs>
        <w:spacing w:line="232" w:lineRule="auto" w:before="0" w:after="0"/>
        <w:ind w:left="214" w:right="42" w:firstLine="0"/>
        <w:jc w:val="left"/>
        <w:rPr>
          <w:sz w:val="18"/>
        </w:rPr>
      </w:pPr>
      <w:r>
        <w:rPr>
          <w:sz w:val="18"/>
        </w:rPr>
        <w:t>Inactivity had risen by 23,000 in June-August compared with the previous three months, with the inactivity rate unchanged at 21.2%. However, it remained about 30,000 below its level at the same time the previous</w:t>
      </w:r>
      <w:r>
        <w:rPr>
          <w:spacing w:val="-6"/>
          <w:sz w:val="18"/>
        </w:rPr>
        <w:t> </w:t>
      </w:r>
      <w:r>
        <w:rPr>
          <w:sz w:val="18"/>
        </w:rPr>
        <w:t>year.</w:t>
      </w:r>
    </w:p>
    <w:p>
      <w:pPr>
        <w:pStyle w:val="BodyText"/>
        <w:spacing w:before="1"/>
        <w:rPr>
          <w:sz w:val="17"/>
        </w:rPr>
      </w:pPr>
    </w:p>
    <w:p>
      <w:pPr>
        <w:pStyle w:val="ListParagraph"/>
        <w:numPr>
          <w:ilvl w:val="0"/>
          <w:numId w:val="43"/>
        </w:numPr>
        <w:tabs>
          <w:tab w:pos="694" w:val="left" w:leader="none"/>
          <w:tab w:pos="695" w:val="left" w:leader="none"/>
        </w:tabs>
        <w:spacing w:line="232" w:lineRule="auto" w:before="1" w:after="0"/>
        <w:ind w:left="214" w:right="58" w:firstLine="0"/>
        <w:jc w:val="left"/>
        <w:rPr>
          <w:sz w:val="18"/>
        </w:rPr>
      </w:pPr>
      <w:r>
        <w:rPr>
          <w:sz w:val="18"/>
        </w:rPr>
        <w:t>August’s average earnings data had included returns from a new sample, implementing a recommendation of the Turnbull-King report following the suspension of the index in late 1998. Headline average earnings growth in August had risen by 0.3 percentage points to 4.9%. Stronger growth in private sector earnings had more than offset a fall in public sector earnings growth. Earnings growth had in recent months been affected by changes in the timing of bonus payments, though the latest month’s figure had appeared to be free from such distortions. The</w:t>
      </w:r>
      <w:r>
        <w:rPr>
          <w:spacing w:val="-31"/>
          <w:sz w:val="18"/>
        </w:rPr>
        <w:t> </w:t>
      </w:r>
      <w:r>
        <w:rPr>
          <w:sz w:val="18"/>
        </w:rPr>
        <w:t>implementation</w:t>
      </w:r>
    </w:p>
    <w:p>
      <w:pPr>
        <w:pStyle w:val="BodyText"/>
        <w:spacing w:line="232" w:lineRule="auto"/>
        <w:ind w:left="214" w:right="390"/>
      </w:pPr>
      <w:r>
        <w:rPr/>
        <w:t>of the National Minimum Wage (NMW) may also have had an impact on recent AEI outturns. The New Earnings Survey had shown that gross weekly pay had grown by 3.6% in the year to April 1999, slightly lower than the AEI over the same period (4.0%).</w:t>
      </w:r>
    </w:p>
    <w:p>
      <w:pPr>
        <w:pStyle w:val="BodyText"/>
        <w:spacing w:before="5"/>
        <w:rPr>
          <w:sz w:val="16"/>
        </w:rPr>
      </w:pPr>
    </w:p>
    <w:p>
      <w:pPr>
        <w:pStyle w:val="ListParagraph"/>
        <w:numPr>
          <w:ilvl w:val="0"/>
          <w:numId w:val="43"/>
        </w:numPr>
        <w:tabs>
          <w:tab w:pos="694" w:val="left" w:leader="none"/>
          <w:tab w:pos="695" w:val="left" w:leader="none"/>
        </w:tabs>
        <w:spacing w:line="232" w:lineRule="auto" w:before="0" w:after="0"/>
        <w:ind w:left="214" w:right="138" w:firstLine="0"/>
        <w:jc w:val="left"/>
        <w:rPr>
          <w:sz w:val="18"/>
        </w:rPr>
      </w:pPr>
      <w:r>
        <w:rPr>
          <w:sz w:val="18"/>
        </w:rPr>
        <w:t>Other evidence on earnings growth had been mixed. The Reward Index had risen by 0.1 percentage points in September to 3.4%, but it remained well below the AEI. The F</w:t>
      </w:r>
      <w:r>
        <w:rPr>
          <w:sz w:val="14"/>
        </w:rPr>
        <w:t>RES </w:t>
      </w:r>
      <w:r>
        <w:rPr>
          <w:sz w:val="18"/>
        </w:rPr>
        <w:t>survey in October had shown stronger earnings growth for temporary staff, but little change in salary growth for permanent staff. The Bank’s regional Agents reported that overall pay pressures had remained subdued. There had been little new information on settlements in September, because relatively few settlements were made at this time of year. The Bank’s AEI-weighted twelve-month mean settlement had remained at 3.5% in September. After allowing for inflation, settlements appeared to have stopped growing, but remained at a high</w:t>
      </w:r>
      <w:r>
        <w:rPr>
          <w:spacing w:val="-5"/>
          <w:sz w:val="18"/>
        </w:rPr>
        <w:t> </w:t>
      </w:r>
      <w:r>
        <w:rPr>
          <w:sz w:val="18"/>
        </w:rPr>
        <w:t>level.</w:t>
      </w:r>
    </w:p>
    <w:p>
      <w:pPr>
        <w:pStyle w:val="BodyText"/>
        <w:spacing w:before="6"/>
        <w:rPr>
          <w:sz w:val="16"/>
        </w:rPr>
      </w:pPr>
    </w:p>
    <w:p>
      <w:pPr>
        <w:pStyle w:val="ListParagraph"/>
        <w:numPr>
          <w:ilvl w:val="0"/>
          <w:numId w:val="43"/>
        </w:numPr>
        <w:tabs>
          <w:tab w:pos="694" w:val="left" w:leader="none"/>
          <w:tab w:pos="695" w:val="left" w:leader="none"/>
        </w:tabs>
        <w:spacing w:line="232" w:lineRule="auto" w:before="1" w:after="0"/>
        <w:ind w:left="214" w:right="43" w:firstLine="0"/>
        <w:jc w:val="left"/>
        <w:rPr>
          <w:sz w:val="18"/>
        </w:rPr>
      </w:pPr>
      <w:r>
        <w:rPr>
          <w:sz w:val="18"/>
        </w:rPr>
        <w:t>Wage drift, on the basis of these data, had increased in recent months, particularly in the service sector. Service sector wage drift was now around 1 percentage point above its average level since 1994. Drift in the production sector had, however, been more subdued.</w:t>
      </w:r>
    </w:p>
    <w:p>
      <w:pPr>
        <w:pStyle w:val="BodyText"/>
        <w:rPr>
          <w:sz w:val="17"/>
        </w:rPr>
      </w:pPr>
    </w:p>
    <w:p>
      <w:pPr>
        <w:pStyle w:val="ListParagraph"/>
        <w:numPr>
          <w:ilvl w:val="0"/>
          <w:numId w:val="43"/>
        </w:numPr>
        <w:tabs>
          <w:tab w:pos="694" w:val="left" w:leader="none"/>
          <w:tab w:pos="695" w:val="left" w:leader="none"/>
        </w:tabs>
        <w:spacing w:line="232" w:lineRule="auto" w:before="0" w:after="0"/>
        <w:ind w:left="214" w:right="118" w:firstLine="0"/>
        <w:jc w:val="left"/>
        <w:rPr>
          <w:sz w:val="18"/>
        </w:rPr>
      </w:pPr>
      <w:r>
        <w:rPr>
          <w:sz w:val="18"/>
        </w:rPr>
        <w:t>The Bank’s regional Agents had conducted a survey of their contacts to help assess the nature of the skill shortages that firms were facing. A sample of firms thought likely to be experiencing skill shortages had been selected. Of the 123 firms included in the survey, 84% had reported that shortages had worsened since last year, primarily in specialist areas. A similar proportion of firms expected skill shortages to persist both in specialist areas and more generally. Comments had included reference to poor</w:t>
      </w:r>
      <w:r>
        <w:rPr>
          <w:spacing w:val="-26"/>
          <w:sz w:val="18"/>
        </w:rPr>
        <w:t> </w:t>
      </w:r>
      <w:r>
        <w:rPr>
          <w:sz w:val="18"/>
        </w:rPr>
        <w:t>general</w:t>
      </w:r>
    </w:p>
    <w:p>
      <w:pPr>
        <w:pStyle w:val="BodyText"/>
        <w:spacing w:before="4"/>
        <w:rPr>
          <w:sz w:val="21"/>
        </w:rPr>
      </w:pPr>
      <w:r>
        <w:rPr/>
        <w:br w:type="column"/>
      </w:r>
      <w:r>
        <w:rPr>
          <w:sz w:val="21"/>
        </w:rPr>
      </w:r>
    </w:p>
    <w:p>
      <w:pPr>
        <w:pStyle w:val="BodyText"/>
        <w:spacing w:line="232" w:lineRule="auto" w:before="1"/>
        <w:ind w:left="214" w:right="177"/>
      </w:pPr>
      <w:r>
        <w:rPr/>
        <w:t>educational standards, as well as the legacy of the past run-down in vocational training, the erosion of work culture in some areas, and constraints on the mobility of labour.</w:t>
      </w:r>
    </w:p>
    <w:p>
      <w:pPr>
        <w:pStyle w:val="BodyText"/>
        <w:spacing w:before="10"/>
      </w:pPr>
    </w:p>
    <w:p>
      <w:pPr>
        <w:pStyle w:val="ListParagraph"/>
        <w:numPr>
          <w:ilvl w:val="0"/>
          <w:numId w:val="43"/>
        </w:numPr>
        <w:tabs>
          <w:tab w:pos="694" w:val="left" w:leader="none"/>
          <w:tab w:pos="695" w:val="left" w:leader="none"/>
        </w:tabs>
        <w:spacing w:line="232" w:lineRule="auto" w:before="0" w:after="0"/>
        <w:ind w:left="214" w:right="145" w:firstLine="0"/>
        <w:jc w:val="left"/>
        <w:rPr>
          <w:sz w:val="18"/>
        </w:rPr>
      </w:pPr>
      <w:r>
        <w:rPr>
          <w:sz w:val="18"/>
        </w:rPr>
        <w:t>Around 80% of firms sampled had expected to have to pay higher wages to obtain the skills they required, including more than two-thirds of the group for whom skills recruitment had become no worse in the past year. More than a quarter had said there would be an increased focus on training by management. Just under 10% had mentioned an impact on output, either via a constraint on output levels, or on the development of their business (both from their own skill shortages and shortages of IT services), or via poorer levels of service to customers. A number had also mentioned increased pressure on existing staff, leading to higher staff</w:t>
      </w:r>
      <w:r>
        <w:rPr>
          <w:spacing w:val="-23"/>
          <w:sz w:val="18"/>
        </w:rPr>
        <w:t> </w:t>
      </w:r>
      <w:r>
        <w:rPr>
          <w:sz w:val="18"/>
        </w:rPr>
        <w:t>turnover.</w:t>
      </w:r>
    </w:p>
    <w:p>
      <w:pPr>
        <w:pStyle w:val="BodyText"/>
        <w:spacing w:before="3"/>
        <w:rPr>
          <w:sz w:val="25"/>
        </w:rPr>
      </w:pPr>
    </w:p>
    <w:p>
      <w:pPr>
        <w:pStyle w:val="Heading7"/>
        <w:numPr>
          <w:ilvl w:val="0"/>
          <w:numId w:val="44"/>
        </w:numPr>
        <w:tabs>
          <w:tab w:pos="694" w:val="left" w:leader="none"/>
          <w:tab w:pos="695" w:val="left" w:leader="none"/>
        </w:tabs>
        <w:spacing w:line="240" w:lineRule="auto" w:before="0" w:after="0"/>
        <w:ind w:left="694" w:right="0" w:hanging="481"/>
        <w:jc w:val="left"/>
      </w:pPr>
      <w:r>
        <w:rPr>
          <w:color w:val="009391"/>
        </w:rPr>
        <w:t>Prices</w:t>
      </w:r>
    </w:p>
    <w:p>
      <w:pPr>
        <w:pStyle w:val="ListParagraph"/>
        <w:numPr>
          <w:ilvl w:val="0"/>
          <w:numId w:val="43"/>
        </w:numPr>
        <w:tabs>
          <w:tab w:pos="694" w:val="left" w:leader="none"/>
          <w:tab w:pos="695" w:val="left" w:leader="none"/>
        </w:tabs>
        <w:spacing w:line="232" w:lineRule="auto" w:before="129" w:after="0"/>
        <w:ind w:left="214" w:right="145" w:firstLine="0"/>
        <w:jc w:val="left"/>
        <w:rPr>
          <w:sz w:val="18"/>
        </w:rPr>
      </w:pPr>
      <w:r>
        <w:rPr>
          <w:sz w:val="18"/>
        </w:rPr>
        <w:t>The Bank’s oil-inclusive commodity price index had risen by 2.1% in September and by 13.5% on a year earlier, mainly as a result of continued strengthening in crude oil prices. Excluding oil, commodity prices had been flat over the month and had been 3% higher compared with the previous year. The contrast between different types of commodities had continued: metal prices had risen further, whereas domestic food prices had fallen</w:t>
      </w:r>
      <w:r>
        <w:rPr>
          <w:spacing w:val="-25"/>
          <w:sz w:val="18"/>
        </w:rPr>
        <w:t> </w:t>
      </w:r>
      <w:r>
        <w:rPr>
          <w:sz w:val="18"/>
        </w:rPr>
        <w:t>again.</w:t>
      </w:r>
    </w:p>
    <w:p>
      <w:pPr>
        <w:pStyle w:val="BodyText"/>
        <w:spacing w:before="5"/>
        <w:rPr>
          <w:sz w:val="20"/>
        </w:rPr>
      </w:pPr>
    </w:p>
    <w:p>
      <w:pPr>
        <w:pStyle w:val="ListParagraph"/>
        <w:numPr>
          <w:ilvl w:val="0"/>
          <w:numId w:val="43"/>
        </w:numPr>
        <w:tabs>
          <w:tab w:pos="694" w:val="left" w:leader="none"/>
          <w:tab w:pos="695" w:val="left" w:leader="none"/>
        </w:tabs>
        <w:spacing w:line="232" w:lineRule="auto" w:before="0" w:after="0"/>
        <w:ind w:left="214" w:right="176" w:firstLine="0"/>
        <w:jc w:val="left"/>
        <w:rPr>
          <w:sz w:val="18"/>
        </w:rPr>
      </w:pPr>
      <w:r>
        <w:rPr>
          <w:sz w:val="18"/>
        </w:rPr>
        <w:t>Seasonally adjusted manufacturing input prices had risen by 0.7% in September to give 5.8% annual inflation. This had largely reflected higher oil prices. The latest C</w:t>
      </w:r>
      <w:r>
        <w:rPr>
          <w:sz w:val="14"/>
        </w:rPr>
        <w:t>IPS </w:t>
      </w:r>
      <w:r>
        <w:rPr>
          <w:sz w:val="18"/>
        </w:rPr>
        <w:t>survey input price index had risen to 56.2 in September, the highest for four years. The CBI Quarterly Industrial Trends output price expectations balance had strengthened further in Q3. Although cost pressures from materials had been mounting since early this year, output price inflation had remained</w:t>
      </w:r>
      <w:r>
        <w:rPr>
          <w:spacing w:val="-2"/>
          <w:sz w:val="18"/>
        </w:rPr>
        <w:t> </w:t>
      </w:r>
      <w:r>
        <w:rPr>
          <w:sz w:val="18"/>
        </w:rPr>
        <w:t>subdued.</w:t>
      </w:r>
    </w:p>
    <w:p>
      <w:pPr>
        <w:pStyle w:val="BodyText"/>
        <w:spacing w:before="3"/>
        <w:rPr>
          <w:sz w:val="20"/>
        </w:rPr>
      </w:pPr>
    </w:p>
    <w:p>
      <w:pPr>
        <w:pStyle w:val="ListParagraph"/>
        <w:numPr>
          <w:ilvl w:val="0"/>
          <w:numId w:val="43"/>
        </w:numPr>
        <w:tabs>
          <w:tab w:pos="694" w:val="left" w:leader="none"/>
          <w:tab w:pos="695" w:val="left" w:leader="none"/>
        </w:tabs>
        <w:spacing w:line="232" w:lineRule="auto" w:before="1" w:after="0"/>
        <w:ind w:left="214" w:right="216" w:firstLine="0"/>
        <w:jc w:val="left"/>
        <w:rPr>
          <w:sz w:val="18"/>
        </w:rPr>
      </w:pPr>
      <w:r>
        <w:rPr>
          <w:sz w:val="18"/>
        </w:rPr>
        <w:t>The latest C</w:t>
      </w:r>
      <w:r>
        <w:rPr>
          <w:sz w:val="14"/>
        </w:rPr>
        <w:t>IPS </w:t>
      </w:r>
      <w:r>
        <w:rPr>
          <w:sz w:val="18"/>
        </w:rPr>
        <w:t>services survey had shown a sharp rise in input prices in October, with the index rising to 59.2, its highest since May 1997. The survey had also indicated that average prices charged had risen for the first time in four</w:t>
      </w:r>
      <w:r>
        <w:rPr>
          <w:spacing w:val="-18"/>
          <w:sz w:val="18"/>
        </w:rPr>
        <w:t> </w:t>
      </w:r>
      <w:r>
        <w:rPr>
          <w:sz w:val="18"/>
        </w:rPr>
        <w:t>months.</w:t>
      </w:r>
    </w:p>
    <w:p>
      <w:pPr>
        <w:pStyle w:val="BodyText"/>
        <w:spacing w:before="6"/>
        <w:rPr>
          <w:sz w:val="20"/>
        </w:rPr>
      </w:pPr>
    </w:p>
    <w:p>
      <w:pPr>
        <w:pStyle w:val="ListParagraph"/>
        <w:numPr>
          <w:ilvl w:val="0"/>
          <w:numId w:val="43"/>
        </w:numPr>
        <w:tabs>
          <w:tab w:pos="694" w:val="left" w:leader="none"/>
          <w:tab w:pos="695" w:val="left" w:leader="none"/>
        </w:tabs>
        <w:spacing w:line="232" w:lineRule="auto" w:before="0" w:after="0"/>
        <w:ind w:left="214" w:right="415" w:firstLine="0"/>
        <w:jc w:val="left"/>
        <w:rPr>
          <w:sz w:val="18"/>
        </w:rPr>
      </w:pPr>
      <w:r>
        <w:rPr>
          <w:sz w:val="18"/>
        </w:rPr>
        <w:t>Export and import prices had risen by 1% and 0.6 % respectively in the three months to August. Stripping out the oil component, export prices had fallen and import prices had remained</w:t>
      </w:r>
      <w:r>
        <w:rPr>
          <w:spacing w:val="-2"/>
          <w:sz w:val="18"/>
        </w:rPr>
        <w:t> </w:t>
      </w:r>
      <w:r>
        <w:rPr>
          <w:sz w:val="18"/>
        </w:rPr>
        <w:t>unchanged.</w:t>
      </w:r>
    </w:p>
    <w:p>
      <w:pPr>
        <w:pStyle w:val="BodyText"/>
        <w:spacing w:before="7"/>
        <w:rPr>
          <w:sz w:val="20"/>
        </w:rPr>
      </w:pPr>
    </w:p>
    <w:p>
      <w:pPr>
        <w:pStyle w:val="ListParagraph"/>
        <w:numPr>
          <w:ilvl w:val="0"/>
          <w:numId w:val="43"/>
        </w:numPr>
        <w:tabs>
          <w:tab w:pos="694" w:val="left" w:leader="none"/>
          <w:tab w:pos="695" w:val="left" w:leader="none"/>
        </w:tabs>
        <w:spacing w:line="232" w:lineRule="auto" w:before="0" w:after="0"/>
        <w:ind w:left="214" w:right="160" w:firstLine="0"/>
        <w:jc w:val="left"/>
        <w:rPr>
          <w:sz w:val="18"/>
        </w:rPr>
      </w:pPr>
      <w:r>
        <w:rPr>
          <w:sz w:val="18"/>
        </w:rPr>
        <w:t>Comparing</w:t>
      </w:r>
      <w:r>
        <w:rPr>
          <w:spacing w:val="-7"/>
          <w:sz w:val="18"/>
        </w:rPr>
        <w:t> </w:t>
      </w:r>
      <w:r>
        <w:rPr>
          <w:sz w:val="18"/>
        </w:rPr>
        <w:t>price</w:t>
      </w:r>
      <w:r>
        <w:rPr>
          <w:spacing w:val="-6"/>
          <w:sz w:val="18"/>
        </w:rPr>
        <w:t> </w:t>
      </w:r>
      <w:r>
        <w:rPr>
          <w:sz w:val="18"/>
        </w:rPr>
        <w:t>inflation</w:t>
      </w:r>
      <w:r>
        <w:rPr>
          <w:spacing w:val="-7"/>
          <w:sz w:val="18"/>
        </w:rPr>
        <w:t> </w:t>
      </w:r>
      <w:r>
        <w:rPr>
          <w:sz w:val="18"/>
        </w:rPr>
        <w:t>with</w:t>
      </w:r>
      <w:r>
        <w:rPr>
          <w:spacing w:val="-6"/>
          <w:sz w:val="18"/>
        </w:rPr>
        <w:t> </w:t>
      </w:r>
      <w:r>
        <w:rPr>
          <w:sz w:val="18"/>
        </w:rPr>
        <w:t>weighted</w:t>
      </w:r>
      <w:r>
        <w:rPr>
          <w:spacing w:val="-7"/>
          <w:sz w:val="18"/>
        </w:rPr>
        <w:t> </w:t>
      </w:r>
      <w:r>
        <w:rPr>
          <w:sz w:val="18"/>
        </w:rPr>
        <w:t>costs</w:t>
      </w:r>
      <w:r>
        <w:rPr>
          <w:spacing w:val="-6"/>
          <w:sz w:val="18"/>
        </w:rPr>
        <w:t> </w:t>
      </w:r>
      <w:r>
        <w:rPr>
          <w:sz w:val="18"/>
        </w:rPr>
        <w:t>had</w:t>
      </w:r>
      <w:r>
        <w:rPr>
          <w:spacing w:val="-7"/>
          <w:sz w:val="18"/>
        </w:rPr>
        <w:t> </w:t>
      </w:r>
      <w:r>
        <w:rPr>
          <w:sz w:val="18"/>
        </w:rPr>
        <w:t>suggested that retailers’ and manufacturers’ margins had fallen over the past year. The Euler Trade Indemnity Survey had indicated that competitive pressures had somewhat reduced respondents’ profitability since early</w:t>
      </w:r>
      <w:r>
        <w:rPr>
          <w:spacing w:val="-5"/>
          <w:sz w:val="18"/>
        </w:rPr>
        <w:t> </w:t>
      </w:r>
      <w:r>
        <w:rPr>
          <w:sz w:val="18"/>
        </w:rPr>
        <w:t>1999.</w:t>
      </w:r>
    </w:p>
    <w:p>
      <w:pPr>
        <w:pStyle w:val="BodyText"/>
        <w:spacing w:before="6"/>
        <w:rPr>
          <w:sz w:val="20"/>
        </w:rPr>
      </w:pPr>
    </w:p>
    <w:p>
      <w:pPr>
        <w:pStyle w:val="ListParagraph"/>
        <w:numPr>
          <w:ilvl w:val="0"/>
          <w:numId w:val="43"/>
        </w:numPr>
        <w:tabs>
          <w:tab w:pos="694" w:val="left" w:leader="none"/>
          <w:tab w:pos="695" w:val="left" w:leader="none"/>
        </w:tabs>
        <w:spacing w:line="232" w:lineRule="auto" w:before="1" w:after="0"/>
        <w:ind w:left="214" w:right="371" w:firstLine="0"/>
        <w:jc w:val="left"/>
        <w:rPr>
          <w:sz w:val="18"/>
        </w:rPr>
      </w:pPr>
      <w:r>
        <w:rPr>
          <w:sz w:val="18"/>
        </w:rPr>
        <w:t>RPIX inflation had remained at 2.1% in September. Whereas harvest-related seasonal food prices had risen on the month, non-seasonal food prices had fallen. The annual rate of change of the retail sales deflator had remained at -0.5% in September. This had mainly reflected falls in food and non-food store prices earlier in the</w:t>
      </w:r>
      <w:r>
        <w:rPr>
          <w:spacing w:val="-7"/>
          <w:sz w:val="18"/>
        </w:rPr>
        <w:t> </w:t>
      </w:r>
      <w:r>
        <w:rPr>
          <w:sz w:val="18"/>
        </w:rPr>
        <w:t>year.</w:t>
      </w:r>
    </w:p>
    <w:p>
      <w:pPr>
        <w:pStyle w:val="BodyText"/>
        <w:spacing w:before="5"/>
        <w:rPr>
          <w:sz w:val="25"/>
        </w:rPr>
      </w:pPr>
    </w:p>
    <w:p>
      <w:pPr>
        <w:pStyle w:val="Heading7"/>
        <w:numPr>
          <w:ilvl w:val="0"/>
          <w:numId w:val="44"/>
        </w:numPr>
        <w:tabs>
          <w:tab w:pos="694" w:val="left" w:leader="none"/>
          <w:tab w:pos="695" w:val="left" w:leader="none"/>
        </w:tabs>
        <w:spacing w:line="240" w:lineRule="auto" w:before="0" w:after="0"/>
        <w:ind w:left="694" w:right="0" w:hanging="481"/>
        <w:jc w:val="left"/>
      </w:pPr>
      <w:r>
        <w:rPr>
          <w:color w:val="009391"/>
        </w:rPr>
        <w:t>Reports by the </w:t>
      </w:r>
      <w:r>
        <w:rPr>
          <w:color w:val="009391"/>
          <w:spacing w:val="-2"/>
        </w:rPr>
        <w:t>Bank’s</w:t>
      </w:r>
      <w:r>
        <w:rPr>
          <w:color w:val="009391"/>
          <w:spacing w:val="-6"/>
        </w:rPr>
        <w:t> </w:t>
      </w:r>
      <w:r>
        <w:rPr>
          <w:color w:val="009391"/>
        </w:rPr>
        <w:t>Agents</w:t>
      </w:r>
    </w:p>
    <w:p>
      <w:pPr>
        <w:pStyle w:val="ListParagraph"/>
        <w:numPr>
          <w:ilvl w:val="0"/>
          <w:numId w:val="43"/>
        </w:numPr>
        <w:tabs>
          <w:tab w:pos="694" w:val="left" w:leader="none"/>
          <w:tab w:pos="695" w:val="left" w:leader="none"/>
        </w:tabs>
        <w:spacing w:line="232" w:lineRule="auto" w:before="150" w:after="0"/>
        <w:ind w:left="214" w:right="251" w:firstLine="0"/>
        <w:jc w:val="left"/>
        <w:rPr>
          <w:sz w:val="18"/>
        </w:rPr>
      </w:pPr>
      <w:r>
        <w:rPr>
          <w:sz w:val="18"/>
        </w:rPr>
        <w:t>The Bank’s regional Agents had reported a continued recovery in economic activity. Growth had continued to be driven mainly by domestic demand, although many firms had also reported a pick-up in export orders. However, although manufacturing output continued to rise, the recovery had been far from universal. Construction activity had remained strong. The service sector continued to record strong growth, although it had not increased further. IT activity had remained strong, as Y2K work had been replaced by firms investing in more developmental projects, such as Internet sites. Agricultural production had remained weak in all</w:t>
      </w:r>
      <w:r>
        <w:rPr>
          <w:spacing w:val="-6"/>
          <w:sz w:val="18"/>
        </w:rPr>
        <w:t> </w:t>
      </w:r>
      <w:r>
        <w:rPr>
          <w:sz w:val="18"/>
        </w:rPr>
        <w:t>regions.</w:t>
      </w:r>
    </w:p>
    <w:p>
      <w:pPr>
        <w:spacing w:after="0" w:line="232" w:lineRule="auto"/>
        <w:jc w:val="left"/>
        <w:rPr>
          <w:sz w:val="18"/>
        </w:rPr>
        <w:sectPr>
          <w:type w:val="continuous"/>
          <w:pgSz w:w="11900" w:h="16840"/>
          <w:pgMar w:top="1220" w:bottom="280" w:left="620" w:right="640"/>
          <w:cols w:num="2" w:equalWidth="0">
            <w:col w:w="5153" w:space="227"/>
            <w:col w:w="526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4"/>
        <w:rPr>
          <w:sz w:val="21"/>
        </w:rPr>
      </w:pPr>
    </w:p>
    <w:p>
      <w:pPr>
        <w:pStyle w:val="ListParagraph"/>
        <w:numPr>
          <w:ilvl w:val="0"/>
          <w:numId w:val="43"/>
        </w:numPr>
        <w:tabs>
          <w:tab w:pos="665" w:val="left" w:leader="none"/>
          <w:tab w:pos="666" w:val="left" w:leader="none"/>
        </w:tabs>
        <w:spacing w:line="232" w:lineRule="auto" w:before="1" w:after="0"/>
        <w:ind w:left="185" w:right="38" w:firstLine="0"/>
        <w:jc w:val="left"/>
        <w:rPr>
          <w:sz w:val="18"/>
        </w:rPr>
      </w:pPr>
      <w:r>
        <w:rPr>
          <w:sz w:val="18"/>
        </w:rPr>
        <w:t>Retail spending had improved further, although growth had been moderate. The pattern of consumer spending had remained similar to previous months, with department store sales weaker than in discount and out-of-town</w:t>
      </w:r>
      <w:r>
        <w:rPr>
          <w:spacing w:val="-6"/>
          <w:sz w:val="18"/>
        </w:rPr>
        <w:t> </w:t>
      </w:r>
      <w:r>
        <w:rPr>
          <w:sz w:val="18"/>
        </w:rPr>
        <w:t>stores.</w:t>
      </w:r>
    </w:p>
    <w:p>
      <w:pPr>
        <w:pStyle w:val="BodyText"/>
        <w:spacing w:before="6"/>
        <w:rPr>
          <w:sz w:val="20"/>
        </w:rPr>
      </w:pPr>
    </w:p>
    <w:p>
      <w:pPr>
        <w:pStyle w:val="ListParagraph"/>
        <w:numPr>
          <w:ilvl w:val="0"/>
          <w:numId w:val="43"/>
        </w:numPr>
        <w:tabs>
          <w:tab w:pos="665" w:val="left" w:leader="none"/>
          <w:tab w:pos="666" w:val="left" w:leader="none"/>
        </w:tabs>
        <w:spacing w:line="232" w:lineRule="auto" w:before="1" w:after="0"/>
        <w:ind w:left="185" w:right="68" w:firstLine="0"/>
        <w:jc w:val="left"/>
        <w:rPr>
          <w:sz w:val="18"/>
        </w:rPr>
      </w:pPr>
      <w:r>
        <w:rPr>
          <w:sz w:val="18"/>
        </w:rPr>
        <w:t>There had been evidence of further tightening in the labour market. Most regions had reported increased skill shortages, with particular concern reported in the south and south-east of England. Many contacts had noted that unskilled labour had also become more difficult to recruit, especially for retail positions. Pay pressures had remained subdued, with most settlements lower than a year ago. However, pressures had appeared slightly stronger than in previous months, especially in southern</w:t>
      </w:r>
      <w:r>
        <w:rPr>
          <w:spacing w:val="-13"/>
          <w:sz w:val="18"/>
        </w:rPr>
        <w:t> </w:t>
      </w:r>
      <w:r>
        <w:rPr>
          <w:sz w:val="18"/>
        </w:rPr>
        <w:t>regions.</w:t>
      </w:r>
    </w:p>
    <w:p>
      <w:pPr>
        <w:pStyle w:val="BodyText"/>
        <w:rPr>
          <w:sz w:val="22"/>
        </w:rPr>
      </w:pPr>
    </w:p>
    <w:p>
      <w:pPr>
        <w:pStyle w:val="ListParagraph"/>
        <w:numPr>
          <w:ilvl w:val="0"/>
          <w:numId w:val="43"/>
        </w:numPr>
        <w:tabs>
          <w:tab w:pos="665" w:val="left" w:leader="none"/>
          <w:tab w:pos="666" w:val="left" w:leader="none"/>
        </w:tabs>
        <w:spacing w:line="232" w:lineRule="auto" w:before="0" w:after="0"/>
        <w:ind w:left="185" w:right="53" w:firstLine="0"/>
        <w:jc w:val="left"/>
        <w:rPr>
          <w:sz w:val="18"/>
        </w:rPr>
      </w:pPr>
      <w:r>
        <w:rPr>
          <w:sz w:val="18"/>
        </w:rPr>
        <w:t>Input prices had picked up further, particularly for oil-related products and some metals, although overall prices remained broadly flat. Many manufacturers had continued to find it difficult to raise prices, and retail prices remained flat or falling. Furthermore, a number of firms thought that consumers had become more sensitive to price differences within each sector, and had begun to bargain over price to an increasing</w:t>
      </w:r>
      <w:r>
        <w:rPr>
          <w:spacing w:val="-21"/>
          <w:sz w:val="18"/>
        </w:rPr>
        <w:t> </w:t>
      </w:r>
      <w:r>
        <w:rPr>
          <w:sz w:val="18"/>
        </w:rPr>
        <w:t>extent.</w:t>
      </w:r>
    </w:p>
    <w:p>
      <w:pPr>
        <w:pStyle w:val="BodyText"/>
        <w:spacing w:before="2"/>
        <w:rPr>
          <w:sz w:val="22"/>
        </w:rPr>
      </w:pPr>
    </w:p>
    <w:p>
      <w:pPr>
        <w:pStyle w:val="ListParagraph"/>
        <w:numPr>
          <w:ilvl w:val="0"/>
          <w:numId w:val="43"/>
        </w:numPr>
        <w:tabs>
          <w:tab w:pos="665" w:val="left" w:leader="none"/>
          <w:tab w:pos="666" w:val="left" w:leader="none"/>
        </w:tabs>
        <w:spacing w:line="232" w:lineRule="auto" w:before="0" w:after="0"/>
        <w:ind w:left="185" w:right="47" w:firstLine="0"/>
        <w:jc w:val="left"/>
        <w:rPr>
          <w:sz w:val="18"/>
        </w:rPr>
      </w:pPr>
      <w:r>
        <w:rPr>
          <w:sz w:val="18"/>
        </w:rPr>
        <w:t>Growth in house prices had remained more pronounced in the southern regions, although there had been evidence that growth here had peaked. The buy-to-let market had slowed.  In the northern regions of the United Kingdom, growth in housing activity had continued to increase</w:t>
      </w:r>
      <w:r>
        <w:rPr>
          <w:spacing w:val="-6"/>
          <w:sz w:val="18"/>
        </w:rPr>
        <w:t> </w:t>
      </w:r>
      <w:r>
        <w:rPr>
          <w:sz w:val="18"/>
        </w:rPr>
        <w:t>steadily.</w:t>
      </w:r>
    </w:p>
    <w:p>
      <w:pPr>
        <w:pStyle w:val="BodyText"/>
        <w:spacing w:before="2"/>
        <w:rPr>
          <w:sz w:val="20"/>
        </w:rPr>
      </w:pPr>
      <w:r>
        <w:rPr/>
        <w:br w:type="column"/>
      </w:r>
      <w:r>
        <w:rPr>
          <w:sz w:val="20"/>
        </w:rPr>
      </w:r>
    </w:p>
    <w:p>
      <w:pPr>
        <w:pStyle w:val="Heading7"/>
        <w:numPr>
          <w:ilvl w:val="0"/>
          <w:numId w:val="44"/>
        </w:numPr>
        <w:tabs>
          <w:tab w:pos="666" w:val="left" w:leader="none"/>
        </w:tabs>
        <w:spacing w:line="240" w:lineRule="auto" w:before="0" w:after="0"/>
        <w:ind w:left="665" w:right="0" w:hanging="481"/>
        <w:jc w:val="left"/>
      </w:pPr>
      <w:r>
        <w:rPr>
          <w:color w:val="009391"/>
        </w:rPr>
        <w:t>Market</w:t>
      </w:r>
      <w:r>
        <w:rPr>
          <w:color w:val="009391"/>
          <w:spacing w:val="-2"/>
        </w:rPr>
        <w:t> </w:t>
      </w:r>
      <w:r>
        <w:rPr>
          <w:color w:val="009391"/>
        </w:rPr>
        <w:t>intelligence</w:t>
      </w:r>
    </w:p>
    <w:p>
      <w:pPr>
        <w:pStyle w:val="ListParagraph"/>
        <w:numPr>
          <w:ilvl w:val="0"/>
          <w:numId w:val="43"/>
        </w:numPr>
        <w:tabs>
          <w:tab w:pos="665" w:val="left" w:leader="none"/>
          <w:tab w:pos="666" w:val="left" w:leader="none"/>
        </w:tabs>
        <w:spacing w:line="232" w:lineRule="auto" w:before="109" w:after="0"/>
        <w:ind w:left="185" w:right="243" w:firstLine="0"/>
        <w:jc w:val="left"/>
        <w:rPr>
          <w:sz w:val="18"/>
        </w:rPr>
      </w:pPr>
      <w:r>
        <w:rPr>
          <w:sz w:val="18"/>
        </w:rPr>
        <w:t>The effective exchange rate index for sterling had been little changed since the October MPC meeting, but sterling had appreciated against the euro from the middle of the month. This strengthening had coincided with the announcement of merger and acquisition activity. It was possible that anticipation of potential sterling purchases had encouraged others to bring forward their purchases of sterling. Such influences on sterling’s exchange rate were expected to be</w:t>
      </w:r>
      <w:r>
        <w:rPr>
          <w:spacing w:val="-6"/>
          <w:sz w:val="18"/>
        </w:rPr>
        <w:t> </w:t>
      </w:r>
      <w:r>
        <w:rPr>
          <w:sz w:val="18"/>
        </w:rPr>
        <w:t>temporary.</w:t>
      </w:r>
    </w:p>
    <w:p>
      <w:pPr>
        <w:pStyle w:val="BodyText"/>
        <w:spacing w:before="10"/>
        <w:rPr>
          <w:sz w:val="16"/>
        </w:rPr>
      </w:pPr>
    </w:p>
    <w:p>
      <w:pPr>
        <w:pStyle w:val="ListParagraph"/>
        <w:numPr>
          <w:ilvl w:val="0"/>
          <w:numId w:val="43"/>
        </w:numPr>
        <w:tabs>
          <w:tab w:pos="665" w:val="left" w:leader="none"/>
          <w:tab w:pos="666" w:val="left" w:leader="none"/>
        </w:tabs>
        <w:spacing w:line="232" w:lineRule="auto" w:before="0" w:after="0"/>
        <w:ind w:left="185" w:right="183" w:firstLine="0"/>
        <w:jc w:val="left"/>
        <w:rPr>
          <w:sz w:val="18"/>
        </w:rPr>
      </w:pPr>
      <w:r>
        <w:rPr>
          <w:sz w:val="18"/>
        </w:rPr>
        <w:t>Market participants had continued to comment that movements in US equities were an influence on the dollar’s exchange rate against sterling and other currencies. There had been some evidence of a greater correlation between the Dow Jones Industrial Average and dollar exchange rates, including that between the dollar and sterling. However, the wider implications for sterling’s effective exchange rate had been less</w:t>
      </w:r>
      <w:r>
        <w:rPr>
          <w:spacing w:val="-21"/>
          <w:sz w:val="18"/>
        </w:rPr>
        <w:t> </w:t>
      </w:r>
      <w:r>
        <w:rPr>
          <w:sz w:val="18"/>
        </w:rPr>
        <w:t>clear.</w:t>
      </w:r>
    </w:p>
    <w:p>
      <w:pPr>
        <w:pStyle w:val="BodyText"/>
        <w:spacing w:before="10"/>
        <w:rPr>
          <w:sz w:val="16"/>
        </w:rPr>
      </w:pPr>
    </w:p>
    <w:p>
      <w:pPr>
        <w:pStyle w:val="ListParagraph"/>
        <w:numPr>
          <w:ilvl w:val="0"/>
          <w:numId w:val="43"/>
        </w:numPr>
        <w:tabs>
          <w:tab w:pos="665" w:val="left" w:leader="none"/>
          <w:tab w:pos="666" w:val="left" w:leader="none"/>
        </w:tabs>
        <w:spacing w:line="232" w:lineRule="auto" w:before="1" w:after="0"/>
        <w:ind w:left="185" w:right="217" w:firstLine="0"/>
        <w:jc w:val="left"/>
        <w:rPr>
          <w:sz w:val="18"/>
        </w:rPr>
      </w:pPr>
      <w:r>
        <w:rPr>
          <w:sz w:val="18"/>
        </w:rPr>
        <w:t>The difference between interest rates implied by futures and economists’ interest rate forecasts had widened over the three months to October. This was more likely to be related to increased risk-aversion,</w:t>
      </w:r>
      <w:r>
        <w:rPr>
          <w:spacing w:val="-8"/>
          <w:sz w:val="18"/>
        </w:rPr>
        <w:t> </w:t>
      </w:r>
      <w:r>
        <w:rPr>
          <w:sz w:val="18"/>
        </w:rPr>
        <w:t>the</w:t>
      </w:r>
      <w:r>
        <w:rPr>
          <w:spacing w:val="-7"/>
          <w:sz w:val="18"/>
        </w:rPr>
        <w:t> </w:t>
      </w:r>
      <w:r>
        <w:rPr>
          <w:sz w:val="18"/>
        </w:rPr>
        <w:t>unwinding</w:t>
      </w:r>
      <w:r>
        <w:rPr>
          <w:spacing w:val="-7"/>
          <w:sz w:val="18"/>
        </w:rPr>
        <w:t> </w:t>
      </w:r>
      <w:r>
        <w:rPr>
          <w:sz w:val="18"/>
        </w:rPr>
        <w:t>of</w:t>
      </w:r>
      <w:r>
        <w:rPr>
          <w:spacing w:val="-8"/>
          <w:sz w:val="18"/>
        </w:rPr>
        <w:t> </w:t>
      </w:r>
      <w:r>
        <w:rPr>
          <w:sz w:val="18"/>
        </w:rPr>
        <w:t>long-standing</w:t>
      </w:r>
      <w:r>
        <w:rPr>
          <w:spacing w:val="-7"/>
          <w:sz w:val="18"/>
        </w:rPr>
        <w:t> </w:t>
      </w:r>
      <w:r>
        <w:rPr>
          <w:sz w:val="18"/>
        </w:rPr>
        <w:t>trading</w:t>
      </w:r>
      <w:r>
        <w:rPr>
          <w:spacing w:val="-7"/>
          <w:sz w:val="18"/>
        </w:rPr>
        <w:t> </w:t>
      </w:r>
      <w:r>
        <w:rPr>
          <w:sz w:val="18"/>
        </w:rPr>
        <w:t>positions</w:t>
      </w:r>
      <w:r>
        <w:rPr>
          <w:spacing w:val="-8"/>
          <w:sz w:val="18"/>
        </w:rPr>
        <w:t> </w:t>
      </w:r>
      <w:r>
        <w:rPr>
          <w:sz w:val="18"/>
        </w:rPr>
        <w:t>and mortgage-related swap market activity, rather than a genuine difference of view between traders and economists. In terms of the immediate rate decision, market commentators on balance attached a high probability to a 25 basis point increase in the Bank’s repo rate</w:t>
      </w:r>
      <w:r>
        <w:rPr>
          <w:spacing w:val="-4"/>
          <w:sz w:val="18"/>
        </w:rPr>
        <w:t> </w:t>
      </w:r>
      <w:r>
        <w:rPr>
          <w:sz w:val="18"/>
        </w:rPr>
        <w:t>but</w:t>
      </w:r>
      <w:r>
        <w:rPr>
          <w:spacing w:val="-3"/>
          <w:sz w:val="18"/>
        </w:rPr>
        <w:t> </w:t>
      </w:r>
      <w:r>
        <w:rPr>
          <w:sz w:val="18"/>
        </w:rPr>
        <w:t>did</w:t>
      </w:r>
      <w:r>
        <w:rPr>
          <w:spacing w:val="-4"/>
          <w:sz w:val="18"/>
        </w:rPr>
        <w:t> </w:t>
      </w:r>
      <w:r>
        <w:rPr>
          <w:sz w:val="18"/>
        </w:rPr>
        <w:t>not</w:t>
      </w:r>
      <w:r>
        <w:rPr>
          <w:spacing w:val="-3"/>
          <w:sz w:val="18"/>
        </w:rPr>
        <w:t> </w:t>
      </w:r>
      <w:r>
        <w:rPr>
          <w:sz w:val="18"/>
        </w:rPr>
        <w:t>expect</w:t>
      </w:r>
      <w:r>
        <w:rPr>
          <w:spacing w:val="-3"/>
          <w:sz w:val="18"/>
        </w:rPr>
        <w:t> </w:t>
      </w:r>
      <w:r>
        <w:rPr>
          <w:sz w:val="18"/>
        </w:rPr>
        <w:t>changes</w:t>
      </w:r>
      <w:r>
        <w:rPr>
          <w:spacing w:val="-4"/>
          <w:sz w:val="18"/>
        </w:rPr>
        <w:t> </w:t>
      </w:r>
      <w:r>
        <w:rPr>
          <w:sz w:val="18"/>
        </w:rPr>
        <w:t>in</w:t>
      </w:r>
      <w:r>
        <w:rPr>
          <w:spacing w:val="-3"/>
          <w:sz w:val="18"/>
        </w:rPr>
        <w:t> </w:t>
      </w:r>
      <w:r>
        <w:rPr>
          <w:sz w:val="18"/>
        </w:rPr>
        <w:t>rates</w:t>
      </w:r>
      <w:r>
        <w:rPr>
          <w:spacing w:val="-4"/>
          <w:sz w:val="18"/>
        </w:rPr>
        <w:t> </w:t>
      </w:r>
      <w:r>
        <w:rPr>
          <w:sz w:val="18"/>
        </w:rPr>
        <w:t>in</w:t>
      </w:r>
      <w:r>
        <w:rPr>
          <w:spacing w:val="-3"/>
          <w:sz w:val="18"/>
        </w:rPr>
        <w:t> </w:t>
      </w:r>
      <w:r>
        <w:rPr>
          <w:sz w:val="18"/>
        </w:rPr>
        <w:t>December</w:t>
      </w:r>
      <w:r>
        <w:rPr>
          <w:spacing w:val="-3"/>
          <w:sz w:val="18"/>
        </w:rPr>
        <w:t> </w:t>
      </w:r>
      <w:r>
        <w:rPr>
          <w:sz w:val="18"/>
        </w:rPr>
        <w:t>or</w:t>
      </w:r>
      <w:r>
        <w:rPr>
          <w:spacing w:val="-4"/>
          <w:sz w:val="18"/>
        </w:rPr>
        <w:t> </w:t>
      </w:r>
      <w:r>
        <w:rPr>
          <w:sz w:val="18"/>
        </w:rPr>
        <w:t>January.</w:t>
      </w:r>
    </w:p>
    <w:p>
      <w:pPr>
        <w:spacing w:after="0" w:line="232" w:lineRule="auto"/>
        <w:jc w:val="left"/>
        <w:rPr>
          <w:sz w:val="18"/>
        </w:rPr>
        <w:sectPr>
          <w:type w:val="continuous"/>
          <w:pgSz w:w="11900" w:h="16840"/>
          <w:pgMar w:top="1220" w:bottom="280" w:left="620" w:right="640"/>
          <w:cols w:num="2" w:equalWidth="0">
            <w:col w:w="5124" w:space="263"/>
            <w:col w:w="5253"/>
          </w:cols>
        </w:sectPr>
      </w:pPr>
    </w:p>
    <w:p>
      <w:pPr>
        <w:pStyle w:val="BodyText"/>
        <w:rPr>
          <w:sz w:val="20"/>
        </w:rPr>
      </w:pPr>
    </w:p>
    <w:p>
      <w:pPr>
        <w:pStyle w:val="BodyText"/>
        <w:rPr>
          <w:sz w:val="20"/>
        </w:rPr>
      </w:pPr>
    </w:p>
    <w:p>
      <w:pPr>
        <w:pStyle w:val="BodyText"/>
        <w:rPr>
          <w:sz w:val="21"/>
        </w:rPr>
      </w:pPr>
    </w:p>
    <w:p>
      <w:pPr>
        <w:pStyle w:val="Heading2"/>
        <w:spacing w:before="87"/>
      </w:pPr>
      <w:bookmarkStart w:name="December minutes" w:id="85"/>
      <w:bookmarkEnd w:id="85"/>
      <w:r>
        <w:rPr>
          <w:b w:val="0"/>
        </w:rPr>
      </w:r>
      <w:bookmarkStart w:name="_bookmark36" w:id="86"/>
      <w:bookmarkEnd w:id="86"/>
      <w:r>
        <w:rPr>
          <w:b w:val="0"/>
        </w:rPr>
      </w:r>
      <w:r>
        <w:rPr>
          <w:color w:val="009391"/>
        </w:rPr>
        <w:t>Minutes of the Monetary Policy Committee meeting on 8–9 December 1999</w:t>
      </w:r>
    </w:p>
    <w:p>
      <w:pPr>
        <w:pStyle w:val="BodyText"/>
        <w:rPr>
          <w:b/>
          <w:sz w:val="20"/>
        </w:rPr>
      </w:pPr>
    </w:p>
    <w:p>
      <w:pPr>
        <w:pStyle w:val="BodyText"/>
        <w:spacing w:before="10"/>
        <w:rPr>
          <w:b/>
          <w:sz w:val="28"/>
        </w:rPr>
      </w:pPr>
    </w:p>
    <w:p>
      <w:pPr>
        <w:spacing w:after="0"/>
        <w:rPr>
          <w:sz w:val="28"/>
        </w:rPr>
        <w:sectPr>
          <w:pgSz w:w="11900" w:h="16840"/>
          <w:pgMar w:header="566" w:footer="597" w:top="760" w:bottom="780" w:left="620" w:right="640"/>
        </w:sectPr>
      </w:pPr>
    </w:p>
    <w:p>
      <w:pPr>
        <w:pStyle w:val="ListParagraph"/>
        <w:numPr>
          <w:ilvl w:val="0"/>
          <w:numId w:val="45"/>
        </w:numPr>
        <w:tabs>
          <w:tab w:pos="674" w:val="left" w:leader="none"/>
          <w:tab w:pos="675" w:val="left" w:leader="none"/>
        </w:tabs>
        <w:spacing w:line="232" w:lineRule="auto" w:before="98" w:after="0"/>
        <w:ind w:left="194" w:right="38" w:firstLine="0"/>
        <w:jc w:val="left"/>
        <w:rPr>
          <w:sz w:val="18"/>
        </w:rPr>
      </w:pPr>
      <w:r>
        <w:rPr>
          <w:sz w:val="18"/>
        </w:rPr>
        <w:t>Before turning to the immediate policy decision, the Committee discussed demand and output; money and asset prices; prices and costs; the world economy; the labour market; and other considerations relevant to the</w:t>
      </w:r>
      <w:r>
        <w:rPr>
          <w:spacing w:val="-7"/>
          <w:sz w:val="18"/>
        </w:rPr>
        <w:t> </w:t>
      </w:r>
      <w:r>
        <w:rPr>
          <w:sz w:val="18"/>
        </w:rPr>
        <w:t>decision.</w:t>
      </w:r>
    </w:p>
    <w:p>
      <w:pPr>
        <w:pStyle w:val="BodyText"/>
        <w:spacing w:before="10"/>
        <w:rPr>
          <w:sz w:val="23"/>
        </w:rPr>
      </w:pPr>
    </w:p>
    <w:p>
      <w:pPr>
        <w:pStyle w:val="Heading7"/>
      </w:pPr>
      <w:r>
        <w:rPr>
          <w:color w:val="009391"/>
        </w:rPr>
        <w:t>Demand and output</w:t>
      </w:r>
    </w:p>
    <w:p>
      <w:pPr>
        <w:pStyle w:val="ListParagraph"/>
        <w:numPr>
          <w:ilvl w:val="0"/>
          <w:numId w:val="45"/>
        </w:numPr>
        <w:tabs>
          <w:tab w:pos="674" w:val="left" w:leader="none"/>
          <w:tab w:pos="675" w:val="left" w:leader="none"/>
        </w:tabs>
        <w:spacing w:line="232" w:lineRule="auto" w:before="109" w:after="0"/>
        <w:ind w:left="194" w:right="66" w:firstLine="0"/>
        <w:jc w:val="left"/>
        <w:rPr>
          <w:sz w:val="18"/>
        </w:rPr>
      </w:pPr>
      <w:r>
        <w:rPr>
          <w:sz w:val="18"/>
        </w:rPr>
        <w:t>Final domestic demand in Q3 had turned out as expected at the time of the November </w:t>
      </w:r>
      <w:r>
        <w:rPr>
          <w:i/>
          <w:sz w:val="18"/>
        </w:rPr>
        <w:t>Inflation Report</w:t>
      </w:r>
      <w:r>
        <w:rPr>
          <w:sz w:val="18"/>
        </w:rPr>
        <w:t>. However, consumption had been a little stronger than expected, while investment was a little weaker. On the basis of the pattern of revisions over recent years, it was quite possible that the Q3 investment figures could be revised up. However, it was also possible that the weaker figures partly reflected a ‘millennium pause’ in IT-related investment spending. The slightly stronger-than-expected consumption numbers reflected the ONS’ attempts to capture the changing seasonal pattern of car registrations. The figures for consumption growth in the first half of the year could therefore be</w:t>
      </w:r>
      <w:r>
        <w:rPr>
          <w:spacing w:val="-30"/>
          <w:sz w:val="18"/>
        </w:rPr>
        <w:t> </w:t>
      </w:r>
      <w:r>
        <w:rPr>
          <w:sz w:val="18"/>
        </w:rPr>
        <w:t>revised</w:t>
      </w:r>
    </w:p>
    <w:p>
      <w:pPr>
        <w:pStyle w:val="BodyText"/>
        <w:spacing w:line="232" w:lineRule="auto"/>
        <w:ind w:left="194" w:right="262"/>
      </w:pPr>
      <w:r>
        <w:rPr/>
        <w:t>down, reflecting the latest estimates of the seasonal factors, when the National Accounts for Q3 were published.</w:t>
      </w:r>
      <w:r>
        <w:rPr>
          <w:spacing w:val="-3"/>
        </w:rPr>
        <w:t> </w:t>
      </w:r>
      <w:r>
        <w:rPr/>
        <w:t>Abstracting</w:t>
      </w:r>
    </w:p>
    <w:p>
      <w:pPr>
        <w:pStyle w:val="BodyText"/>
        <w:spacing w:line="232" w:lineRule="auto"/>
        <w:ind w:left="194" w:right="59"/>
      </w:pPr>
      <w:r>
        <w:rPr/>
        <w:t>from these seasonal effects, the underlying picture for consumption growth in Q3 appeared broadly in line with expectations at</w:t>
      </w:r>
    </w:p>
    <w:p>
      <w:pPr>
        <w:pStyle w:val="BodyText"/>
        <w:spacing w:line="232" w:lineRule="auto"/>
        <w:ind w:left="194" w:right="363"/>
      </w:pPr>
      <w:r>
        <w:rPr/>
        <w:t>the time of the November </w:t>
      </w:r>
      <w:r>
        <w:rPr>
          <w:i/>
        </w:rPr>
        <w:t>Inflation Report</w:t>
      </w:r>
      <w:r>
        <w:rPr/>
        <w:t>. Looking beyond Q3, the latest evidence suggested that car registrations were turning out quite weak—possibly reflecting expectations of reductions in car prices in the near future, in which case car</w:t>
      </w:r>
    </w:p>
    <w:p>
      <w:pPr>
        <w:pStyle w:val="BodyText"/>
        <w:spacing w:line="232" w:lineRule="auto"/>
        <w:ind w:left="194" w:right="98"/>
      </w:pPr>
      <w:r>
        <w:rPr/>
        <w:t>sales, and hence consumption, might subsequently pick up at some point.</w:t>
      </w:r>
    </w:p>
    <w:p>
      <w:pPr>
        <w:pStyle w:val="BodyText"/>
        <w:rPr>
          <w:sz w:val="16"/>
        </w:rPr>
      </w:pPr>
    </w:p>
    <w:p>
      <w:pPr>
        <w:pStyle w:val="ListParagraph"/>
        <w:numPr>
          <w:ilvl w:val="0"/>
          <w:numId w:val="45"/>
        </w:numPr>
        <w:tabs>
          <w:tab w:pos="674" w:val="left" w:leader="none"/>
          <w:tab w:pos="675" w:val="left" w:leader="none"/>
        </w:tabs>
        <w:spacing w:line="232" w:lineRule="auto" w:before="0" w:after="0"/>
        <w:ind w:left="194" w:right="53" w:firstLine="0"/>
        <w:jc w:val="left"/>
        <w:rPr>
          <w:sz w:val="18"/>
        </w:rPr>
      </w:pPr>
      <w:r>
        <w:rPr>
          <w:sz w:val="18"/>
        </w:rPr>
        <w:t>The Committee discussed other recent indicators of household consumption.  Retail sales growth had remained strong at the beginning of the fourth quarter, though the three-month on three-month growth rate for October was slightly lower than it had been a few months ago.  The Bank’s regional Agents’ contacts were reporting some strengthening of retail activity, but the picture seemed somewhat weaker than the official data.  There were several possible explanations. First, sales values were rising less quickly</w:t>
      </w:r>
      <w:r>
        <w:rPr>
          <w:spacing w:val="-6"/>
          <w:sz w:val="18"/>
        </w:rPr>
        <w:t> </w:t>
      </w:r>
      <w:r>
        <w:rPr>
          <w:sz w:val="18"/>
        </w:rPr>
        <w:t>than</w:t>
      </w:r>
      <w:r>
        <w:rPr>
          <w:spacing w:val="-5"/>
          <w:sz w:val="18"/>
        </w:rPr>
        <w:t> </w:t>
      </w:r>
      <w:r>
        <w:rPr>
          <w:sz w:val="18"/>
        </w:rPr>
        <w:t>volumes,</w:t>
      </w:r>
      <w:r>
        <w:rPr>
          <w:spacing w:val="-6"/>
          <w:sz w:val="18"/>
        </w:rPr>
        <w:t> </w:t>
      </w:r>
      <w:r>
        <w:rPr>
          <w:sz w:val="18"/>
        </w:rPr>
        <w:t>since</w:t>
      </w:r>
      <w:r>
        <w:rPr>
          <w:spacing w:val="-5"/>
          <w:sz w:val="18"/>
        </w:rPr>
        <w:t> </w:t>
      </w:r>
      <w:r>
        <w:rPr>
          <w:sz w:val="18"/>
        </w:rPr>
        <w:t>the</w:t>
      </w:r>
      <w:r>
        <w:rPr>
          <w:spacing w:val="-5"/>
          <w:sz w:val="18"/>
        </w:rPr>
        <w:t> </w:t>
      </w:r>
      <w:r>
        <w:rPr>
          <w:sz w:val="18"/>
        </w:rPr>
        <w:t>retail</w:t>
      </w:r>
      <w:r>
        <w:rPr>
          <w:spacing w:val="-6"/>
          <w:sz w:val="18"/>
        </w:rPr>
        <w:t> </w:t>
      </w:r>
      <w:r>
        <w:rPr>
          <w:sz w:val="18"/>
        </w:rPr>
        <w:t>sales</w:t>
      </w:r>
      <w:r>
        <w:rPr>
          <w:spacing w:val="-5"/>
          <w:sz w:val="18"/>
        </w:rPr>
        <w:t> </w:t>
      </w:r>
      <w:r>
        <w:rPr>
          <w:sz w:val="18"/>
        </w:rPr>
        <w:t>deflator</w:t>
      </w:r>
      <w:r>
        <w:rPr>
          <w:spacing w:val="-6"/>
          <w:sz w:val="18"/>
        </w:rPr>
        <w:t> </w:t>
      </w:r>
      <w:r>
        <w:rPr>
          <w:sz w:val="18"/>
        </w:rPr>
        <w:t>was</w:t>
      </w:r>
      <w:r>
        <w:rPr>
          <w:spacing w:val="-5"/>
          <w:sz w:val="18"/>
        </w:rPr>
        <w:t> </w:t>
      </w:r>
      <w:r>
        <w:rPr>
          <w:sz w:val="18"/>
        </w:rPr>
        <w:t>falling,</w:t>
      </w:r>
      <w:r>
        <w:rPr>
          <w:spacing w:val="-5"/>
          <w:sz w:val="18"/>
        </w:rPr>
        <w:t> </w:t>
      </w:r>
      <w:r>
        <w:rPr>
          <w:sz w:val="18"/>
        </w:rPr>
        <w:t>and this might be affecting contacts’ responses. Second, retail floor space was probably still rising—and this was reflected in the difference between total sales and like-for-like sales in the British Retail Consortium survey. Third, it was possible that the Agents’ retail contacts were weighted more towards those sectors that were losing market share, such as department stores, and less towards discount</w:t>
      </w:r>
      <w:r>
        <w:rPr>
          <w:spacing w:val="-2"/>
          <w:sz w:val="18"/>
        </w:rPr>
        <w:t> </w:t>
      </w:r>
      <w:r>
        <w:rPr>
          <w:sz w:val="18"/>
        </w:rPr>
        <w:t>stores.</w:t>
      </w:r>
    </w:p>
    <w:p>
      <w:pPr>
        <w:pStyle w:val="BodyText"/>
      </w:pPr>
    </w:p>
    <w:p>
      <w:pPr>
        <w:pStyle w:val="ListParagraph"/>
        <w:numPr>
          <w:ilvl w:val="0"/>
          <w:numId w:val="45"/>
        </w:numPr>
        <w:tabs>
          <w:tab w:pos="674" w:val="left" w:leader="none"/>
          <w:tab w:pos="675" w:val="left" w:leader="none"/>
        </w:tabs>
        <w:spacing w:line="232" w:lineRule="auto" w:before="1" w:after="0"/>
        <w:ind w:left="194" w:right="97" w:firstLine="0"/>
        <w:jc w:val="left"/>
        <w:rPr>
          <w:sz w:val="18"/>
        </w:rPr>
      </w:pPr>
      <w:r>
        <w:rPr>
          <w:sz w:val="18"/>
        </w:rPr>
        <w:t>Consumer confidence, as measured by the GfK survey, had fallen in November but remained above its long-run average. The M</w:t>
      </w:r>
      <w:r>
        <w:rPr>
          <w:sz w:val="14"/>
        </w:rPr>
        <w:t>ORI </w:t>
      </w:r>
      <w:r>
        <w:rPr>
          <w:sz w:val="18"/>
        </w:rPr>
        <w:t>survey had risen, but this series was usually more volatile than the GfK measure. While the recent fall in the GfK survey might reflect monthly volatility, the rises in interest rates since the beginning of September might have had some dampening effect on confidence. The disaggregated responses to the individual questions in the survey showed that respondents thought that the general level of unemployment would rise. This seemed at odds with the recent evidence that employment had continued to grow. It was possible that, although employment remained high, the pace of job creation and job destruction was higher now than in the past and that this had heightened individuals’ feelings about their job insecurity in an existing job. If so, that uncertainty could in turn have a dampening effect on consumption growth. But looking beyond the latest movements in consumer confidence and retail sales, the fundamental determinants of consumption such as housing and financial wealth and real incomes seemed to be strengthening.</w:t>
      </w:r>
    </w:p>
    <w:p>
      <w:pPr>
        <w:pStyle w:val="ListParagraph"/>
        <w:numPr>
          <w:ilvl w:val="0"/>
          <w:numId w:val="45"/>
        </w:numPr>
        <w:tabs>
          <w:tab w:pos="674" w:val="left" w:leader="none"/>
          <w:tab w:pos="675" w:val="left" w:leader="none"/>
        </w:tabs>
        <w:spacing w:line="232" w:lineRule="auto" w:before="98" w:after="0"/>
        <w:ind w:left="194" w:right="168" w:firstLine="0"/>
        <w:jc w:val="left"/>
        <w:rPr>
          <w:sz w:val="18"/>
        </w:rPr>
      </w:pPr>
      <w:r>
        <w:rPr>
          <w:spacing w:val="-1"/>
          <w:sz w:val="18"/>
        </w:rPr>
        <w:br w:type="column"/>
      </w:r>
      <w:r>
        <w:rPr>
          <w:sz w:val="18"/>
        </w:rPr>
        <w:t>Turning to net trade, both exports and imports had turned out a little stronger than expected at the time of the November </w:t>
      </w:r>
      <w:r>
        <w:rPr>
          <w:i/>
          <w:sz w:val="18"/>
        </w:rPr>
        <w:t>Inflation </w:t>
      </w:r>
      <w:r>
        <w:rPr>
          <w:i/>
          <w:sz w:val="18"/>
        </w:rPr>
        <w:t>Report</w:t>
      </w:r>
      <w:r>
        <w:rPr>
          <w:sz w:val="18"/>
        </w:rPr>
        <w:t>. The UK share of world export markets probably increased in Q3, but was much lower than it had been prior to the appreciation of sterling from August 1996. The export orders index in the latest C</w:t>
      </w:r>
      <w:r>
        <w:rPr>
          <w:sz w:val="14"/>
        </w:rPr>
        <w:t>IPS </w:t>
      </w:r>
      <w:r>
        <w:rPr>
          <w:sz w:val="18"/>
        </w:rPr>
        <w:t>survey had remained above 50 for the seventh successive month, while the CBI monthly trends survey balance for export orders was negative, but less so than a year ago.  There were, however, some signs that export optimism had deteriorated in recent months, for example in the DHL</w:t>
      </w:r>
      <w:r>
        <w:rPr>
          <w:spacing w:val="-13"/>
          <w:sz w:val="18"/>
        </w:rPr>
        <w:t> </w:t>
      </w:r>
      <w:r>
        <w:rPr>
          <w:sz w:val="18"/>
        </w:rPr>
        <w:t>survey.</w:t>
      </w:r>
    </w:p>
    <w:p>
      <w:pPr>
        <w:pStyle w:val="BodyText"/>
        <w:spacing w:before="8"/>
        <w:rPr>
          <w:sz w:val="16"/>
        </w:rPr>
      </w:pPr>
    </w:p>
    <w:p>
      <w:pPr>
        <w:pStyle w:val="ListParagraph"/>
        <w:numPr>
          <w:ilvl w:val="0"/>
          <w:numId w:val="45"/>
        </w:numPr>
        <w:tabs>
          <w:tab w:pos="674" w:val="left" w:leader="none"/>
          <w:tab w:pos="675" w:val="left" w:leader="none"/>
        </w:tabs>
        <w:spacing w:line="232" w:lineRule="auto" w:before="0" w:after="0"/>
        <w:ind w:left="194" w:right="323" w:firstLine="0"/>
        <w:jc w:val="left"/>
        <w:rPr>
          <w:sz w:val="18"/>
        </w:rPr>
      </w:pPr>
      <w:r>
        <w:rPr>
          <w:sz w:val="18"/>
        </w:rPr>
        <w:t>There</w:t>
      </w:r>
      <w:r>
        <w:rPr>
          <w:spacing w:val="-8"/>
          <w:sz w:val="18"/>
        </w:rPr>
        <w:t> </w:t>
      </w:r>
      <w:r>
        <w:rPr>
          <w:sz w:val="18"/>
        </w:rPr>
        <w:t>had</w:t>
      </w:r>
      <w:r>
        <w:rPr>
          <w:spacing w:val="-7"/>
          <w:sz w:val="18"/>
        </w:rPr>
        <w:t> </w:t>
      </w:r>
      <w:r>
        <w:rPr>
          <w:sz w:val="18"/>
        </w:rPr>
        <w:t>also</w:t>
      </w:r>
      <w:r>
        <w:rPr>
          <w:spacing w:val="-8"/>
          <w:sz w:val="18"/>
        </w:rPr>
        <w:t> </w:t>
      </w:r>
      <w:r>
        <w:rPr>
          <w:sz w:val="18"/>
        </w:rPr>
        <w:t>been</w:t>
      </w:r>
      <w:r>
        <w:rPr>
          <w:spacing w:val="-7"/>
          <w:sz w:val="18"/>
        </w:rPr>
        <w:t> </w:t>
      </w:r>
      <w:r>
        <w:rPr>
          <w:sz w:val="18"/>
        </w:rPr>
        <w:t>slightly</w:t>
      </w:r>
      <w:r>
        <w:rPr>
          <w:spacing w:val="-7"/>
          <w:sz w:val="18"/>
        </w:rPr>
        <w:t> </w:t>
      </w:r>
      <w:r>
        <w:rPr>
          <w:sz w:val="18"/>
        </w:rPr>
        <w:t>stronger-than-expected</w:t>
      </w:r>
      <w:r>
        <w:rPr>
          <w:spacing w:val="-8"/>
          <w:sz w:val="18"/>
        </w:rPr>
        <w:t> </w:t>
      </w:r>
      <w:r>
        <w:rPr>
          <w:sz w:val="18"/>
        </w:rPr>
        <w:t>import growth in Q3, so that the contribution of net trade to GDP growth in Q3 was only slightly more positive than had been expected. Strong growth in imports could be linked to re-exporting, and it seemed stronger than was consistent with recently observed domestic demand</w:t>
      </w:r>
      <w:r>
        <w:rPr>
          <w:spacing w:val="-3"/>
          <w:sz w:val="18"/>
        </w:rPr>
        <w:t> </w:t>
      </w:r>
      <w:r>
        <w:rPr>
          <w:sz w:val="18"/>
        </w:rPr>
        <w:t>growth.</w:t>
      </w:r>
    </w:p>
    <w:p>
      <w:pPr>
        <w:pStyle w:val="BodyText"/>
        <w:spacing w:before="8"/>
      </w:pPr>
    </w:p>
    <w:p>
      <w:pPr>
        <w:pStyle w:val="ListParagraph"/>
        <w:numPr>
          <w:ilvl w:val="0"/>
          <w:numId w:val="45"/>
        </w:numPr>
        <w:tabs>
          <w:tab w:pos="674" w:val="left" w:leader="none"/>
          <w:tab w:pos="675" w:val="left" w:leader="none"/>
        </w:tabs>
        <w:spacing w:line="232" w:lineRule="auto" w:before="0" w:after="0"/>
        <w:ind w:left="194" w:right="189" w:firstLine="0"/>
        <w:jc w:val="left"/>
        <w:rPr>
          <w:sz w:val="18"/>
        </w:rPr>
      </w:pPr>
      <w:r>
        <w:rPr>
          <w:sz w:val="18"/>
        </w:rPr>
        <w:t>Looking forward, the central projection for activity in the published fan chart assumed that net trade would make negative contributions to GDP growth in the forecast period. The net trade contributions in the central projection were somewhat more negative</w:t>
      </w:r>
      <w:r>
        <w:rPr>
          <w:spacing w:val="-6"/>
          <w:sz w:val="18"/>
        </w:rPr>
        <w:t> </w:t>
      </w:r>
      <w:r>
        <w:rPr>
          <w:sz w:val="18"/>
        </w:rPr>
        <w:t>than</w:t>
      </w:r>
      <w:r>
        <w:rPr>
          <w:spacing w:val="-5"/>
          <w:sz w:val="18"/>
        </w:rPr>
        <w:t> </w:t>
      </w:r>
      <w:r>
        <w:rPr>
          <w:sz w:val="18"/>
        </w:rPr>
        <w:t>projected</w:t>
      </w:r>
      <w:r>
        <w:rPr>
          <w:spacing w:val="-5"/>
          <w:sz w:val="18"/>
        </w:rPr>
        <w:t> </w:t>
      </w:r>
      <w:r>
        <w:rPr>
          <w:sz w:val="18"/>
        </w:rPr>
        <w:t>by</w:t>
      </w:r>
      <w:r>
        <w:rPr>
          <w:spacing w:val="-6"/>
          <w:sz w:val="18"/>
        </w:rPr>
        <w:t> </w:t>
      </w:r>
      <w:r>
        <w:rPr>
          <w:sz w:val="18"/>
        </w:rPr>
        <w:t>the</w:t>
      </w:r>
      <w:r>
        <w:rPr>
          <w:spacing w:val="-5"/>
          <w:sz w:val="18"/>
        </w:rPr>
        <w:t> </w:t>
      </w:r>
      <w:r>
        <w:rPr>
          <w:sz w:val="18"/>
        </w:rPr>
        <w:t>average</w:t>
      </w:r>
      <w:r>
        <w:rPr>
          <w:spacing w:val="-5"/>
          <w:sz w:val="18"/>
        </w:rPr>
        <w:t> </w:t>
      </w:r>
      <w:r>
        <w:rPr>
          <w:sz w:val="18"/>
        </w:rPr>
        <w:t>of</w:t>
      </w:r>
      <w:r>
        <w:rPr>
          <w:spacing w:val="-6"/>
          <w:sz w:val="18"/>
        </w:rPr>
        <w:t> </w:t>
      </w:r>
      <w:r>
        <w:rPr>
          <w:sz w:val="18"/>
        </w:rPr>
        <w:t>other</w:t>
      </w:r>
      <w:r>
        <w:rPr>
          <w:spacing w:val="-5"/>
          <w:sz w:val="18"/>
        </w:rPr>
        <w:t> </w:t>
      </w:r>
      <w:r>
        <w:rPr>
          <w:sz w:val="18"/>
        </w:rPr>
        <w:t>forecasters,</w:t>
      </w:r>
      <w:r>
        <w:rPr>
          <w:spacing w:val="-5"/>
          <w:sz w:val="18"/>
        </w:rPr>
        <w:t> </w:t>
      </w:r>
      <w:r>
        <w:rPr>
          <w:sz w:val="18"/>
        </w:rPr>
        <w:t>and</w:t>
      </w:r>
      <w:r>
        <w:rPr>
          <w:spacing w:val="-6"/>
          <w:sz w:val="18"/>
        </w:rPr>
        <w:t> </w:t>
      </w:r>
      <w:r>
        <w:rPr>
          <w:sz w:val="18"/>
        </w:rPr>
        <w:t>that largely reflected a steeper assumed sterling depreciation by other forecasters. The sterling effective exchange rate had strengthened since the November </w:t>
      </w:r>
      <w:r>
        <w:rPr>
          <w:i/>
          <w:sz w:val="18"/>
        </w:rPr>
        <w:t>Report </w:t>
      </w:r>
      <w:r>
        <w:rPr>
          <w:sz w:val="18"/>
        </w:rPr>
        <w:t>and other things being equal that would tend</w:t>
      </w:r>
      <w:r>
        <w:rPr>
          <w:spacing w:val="-4"/>
          <w:sz w:val="18"/>
        </w:rPr>
        <w:t> </w:t>
      </w:r>
      <w:r>
        <w:rPr>
          <w:sz w:val="18"/>
        </w:rPr>
        <w:t>to</w:t>
      </w:r>
      <w:r>
        <w:rPr>
          <w:spacing w:val="-3"/>
          <w:sz w:val="18"/>
        </w:rPr>
        <w:t> </w:t>
      </w:r>
      <w:r>
        <w:rPr>
          <w:sz w:val="18"/>
        </w:rPr>
        <w:t>depress</w:t>
      </w:r>
      <w:r>
        <w:rPr>
          <w:spacing w:val="-4"/>
          <w:sz w:val="18"/>
        </w:rPr>
        <w:t> </w:t>
      </w:r>
      <w:r>
        <w:rPr>
          <w:sz w:val="18"/>
        </w:rPr>
        <w:t>net</w:t>
      </w:r>
      <w:r>
        <w:rPr>
          <w:spacing w:val="-3"/>
          <w:sz w:val="18"/>
        </w:rPr>
        <w:t> </w:t>
      </w:r>
      <w:r>
        <w:rPr>
          <w:sz w:val="18"/>
        </w:rPr>
        <w:t>exports</w:t>
      </w:r>
      <w:r>
        <w:rPr>
          <w:spacing w:val="-4"/>
          <w:sz w:val="18"/>
        </w:rPr>
        <w:t> </w:t>
      </w:r>
      <w:r>
        <w:rPr>
          <w:sz w:val="18"/>
        </w:rPr>
        <w:t>relative</w:t>
      </w:r>
      <w:r>
        <w:rPr>
          <w:spacing w:val="-3"/>
          <w:sz w:val="18"/>
        </w:rPr>
        <w:t> </w:t>
      </w:r>
      <w:r>
        <w:rPr>
          <w:sz w:val="18"/>
        </w:rPr>
        <w:t>to</w:t>
      </w:r>
      <w:r>
        <w:rPr>
          <w:spacing w:val="-4"/>
          <w:sz w:val="18"/>
        </w:rPr>
        <w:t> </w:t>
      </w:r>
      <w:r>
        <w:rPr>
          <w:sz w:val="18"/>
        </w:rPr>
        <w:t>the</w:t>
      </w:r>
      <w:r>
        <w:rPr>
          <w:spacing w:val="-3"/>
          <w:sz w:val="18"/>
        </w:rPr>
        <w:t> </w:t>
      </w:r>
      <w:r>
        <w:rPr>
          <w:sz w:val="18"/>
        </w:rPr>
        <w:t>projection</w:t>
      </w:r>
      <w:r>
        <w:rPr>
          <w:spacing w:val="-4"/>
          <w:sz w:val="18"/>
        </w:rPr>
        <w:t> </w:t>
      </w:r>
      <w:r>
        <w:rPr>
          <w:sz w:val="18"/>
        </w:rPr>
        <w:t>made</w:t>
      </w:r>
      <w:r>
        <w:rPr>
          <w:spacing w:val="-3"/>
          <w:sz w:val="18"/>
        </w:rPr>
        <w:t> </w:t>
      </w:r>
      <w:r>
        <w:rPr>
          <w:sz w:val="18"/>
        </w:rPr>
        <w:t>then.</w:t>
      </w:r>
    </w:p>
    <w:p>
      <w:pPr>
        <w:pStyle w:val="BodyText"/>
        <w:spacing w:before="6"/>
      </w:pPr>
    </w:p>
    <w:p>
      <w:pPr>
        <w:pStyle w:val="ListParagraph"/>
        <w:numPr>
          <w:ilvl w:val="0"/>
          <w:numId w:val="45"/>
        </w:numPr>
        <w:tabs>
          <w:tab w:pos="674" w:val="left" w:leader="none"/>
          <w:tab w:pos="675" w:val="left" w:leader="none"/>
        </w:tabs>
        <w:spacing w:line="232" w:lineRule="auto" w:before="0" w:after="0"/>
        <w:ind w:left="194" w:right="263" w:firstLine="0"/>
        <w:jc w:val="left"/>
        <w:rPr>
          <w:sz w:val="18"/>
        </w:rPr>
      </w:pPr>
      <w:r>
        <w:rPr>
          <w:sz w:val="18"/>
        </w:rPr>
        <w:t>The latest data for non-EU trade in October showed a marked fall in exports but September had been strong. That evidence seemed broadly consistent with the projections so far. The Agents’ special survey tried to shed light on the recent export puzzle. The picture that emerged was of very considerable price and market pressures. This was particularly marked for exports to the</w:t>
      </w:r>
      <w:r>
        <w:rPr>
          <w:spacing w:val="-5"/>
          <w:sz w:val="18"/>
        </w:rPr>
        <w:t> </w:t>
      </w:r>
      <w:r>
        <w:rPr>
          <w:sz w:val="18"/>
        </w:rPr>
        <w:t>EU,</w:t>
      </w:r>
      <w:r>
        <w:rPr>
          <w:spacing w:val="-4"/>
          <w:sz w:val="18"/>
        </w:rPr>
        <w:t> </w:t>
      </w:r>
      <w:r>
        <w:rPr>
          <w:sz w:val="18"/>
        </w:rPr>
        <w:t>which</w:t>
      </w:r>
      <w:r>
        <w:rPr>
          <w:spacing w:val="-5"/>
          <w:sz w:val="18"/>
        </w:rPr>
        <w:t> </w:t>
      </w:r>
      <w:r>
        <w:rPr>
          <w:sz w:val="18"/>
        </w:rPr>
        <w:t>was</w:t>
      </w:r>
      <w:r>
        <w:rPr>
          <w:spacing w:val="-4"/>
          <w:sz w:val="18"/>
        </w:rPr>
        <w:t> </w:t>
      </w:r>
      <w:r>
        <w:rPr>
          <w:sz w:val="18"/>
        </w:rPr>
        <w:t>to</w:t>
      </w:r>
      <w:r>
        <w:rPr>
          <w:spacing w:val="-5"/>
          <w:sz w:val="18"/>
        </w:rPr>
        <w:t> </w:t>
      </w:r>
      <w:r>
        <w:rPr>
          <w:sz w:val="18"/>
        </w:rPr>
        <w:t>be</w:t>
      </w:r>
      <w:r>
        <w:rPr>
          <w:spacing w:val="-4"/>
          <w:sz w:val="18"/>
        </w:rPr>
        <w:t> </w:t>
      </w:r>
      <w:r>
        <w:rPr>
          <w:sz w:val="18"/>
        </w:rPr>
        <w:t>expected</w:t>
      </w:r>
      <w:r>
        <w:rPr>
          <w:spacing w:val="-5"/>
          <w:sz w:val="18"/>
        </w:rPr>
        <w:t> </w:t>
      </w:r>
      <w:r>
        <w:rPr>
          <w:sz w:val="18"/>
        </w:rPr>
        <w:t>given</w:t>
      </w:r>
      <w:r>
        <w:rPr>
          <w:spacing w:val="-4"/>
          <w:sz w:val="18"/>
        </w:rPr>
        <w:t> </w:t>
      </w:r>
      <w:r>
        <w:rPr>
          <w:sz w:val="18"/>
        </w:rPr>
        <w:t>the</w:t>
      </w:r>
      <w:r>
        <w:rPr>
          <w:spacing w:val="-4"/>
          <w:sz w:val="18"/>
        </w:rPr>
        <w:t> </w:t>
      </w:r>
      <w:r>
        <w:rPr>
          <w:sz w:val="18"/>
        </w:rPr>
        <w:t>movements</w:t>
      </w:r>
      <w:r>
        <w:rPr>
          <w:spacing w:val="-5"/>
          <w:sz w:val="18"/>
        </w:rPr>
        <w:t> </w:t>
      </w:r>
      <w:r>
        <w:rPr>
          <w:sz w:val="18"/>
        </w:rPr>
        <w:t>in</w:t>
      </w:r>
      <w:r>
        <w:rPr>
          <w:spacing w:val="-4"/>
          <w:sz w:val="18"/>
        </w:rPr>
        <w:t> </w:t>
      </w:r>
      <w:r>
        <w:rPr>
          <w:sz w:val="18"/>
        </w:rPr>
        <w:t>sterling against the euro compared with the dollar. Overall, the export picture in the survey seemed weaker than that suggested by recent official</w:t>
      </w:r>
      <w:r>
        <w:rPr>
          <w:spacing w:val="-2"/>
          <w:sz w:val="18"/>
        </w:rPr>
        <w:t> </w:t>
      </w:r>
      <w:r>
        <w:rPr>
          <w:sz w:val="18"/>
        </w:rPr>
        <w:t>data.</w:t>
      </w:r>
    </w:p>
    <w:p>
      <w:pPr>
        <w:pStyle w:val="BodyText"/>
        <w:spacing w:before="5"/>
      </w:pPr>
    </w:p>
    <w:p>
      <w:pPr>
        <w:pStyle w:val="ListParagraph"/>
        <w:numPr>
          <w:ilvl w:val="0"/>
          <w:numId w:val="45"/>
        </w:numPr>
        <w:tabs>
          <w:tab w:pos="674" w:val="left" w:leader="none"/>
          <w:tab w:pos="675" w:val="left" w:leader="none"/>
        </w:tabs>
        <w:spacing w:line="232" w:lineRule="auto" w:before="1" w:after="0"/>
        <w:ind w:left="194" w:right="218" w:firstLine="0"/>
        <w:jc w:val="left"/>
        <w:rPr>
          <w:sz w:val="18"/>
        </w:rPr>
      </w:pPr>
      <w:r>
        <w:rPr>
          <w:sz w:val="18"/>
        </w:rPr>
        <w:t>On output, the latest estimate of GDP growth in Q3 was still in line with the 0.9% first estimate available at the time of the November </w:t>
      </w:r>
      <w:r>
        <w:rPr>
          <w:i/>
          <w:sz w:val="18"/>
        </w:rPr>
        <w:t>Report</w:t>
      </w:r>
      <w:r>
        <w:rPr>
          <w:sz w:val="18"/>
        </w:rPr>
        <w:t>. The latest manufacturing data showed a slight upward</w:t>
      </w:r>
      <w:r>
        <w:rPr>
          <w:spacing w:val="-5"/>
          <w:sz w:val="18"/>
        </w:rPr>
        <w:t> </w:t>
      </w:r>
      <w:r>
        <w:rPr>
          <w:sz w:val="18"/>
        </w:rPr>
        <w:t>revision</w:t>
      </w:r>
      <w:r>
        <w:rPr>
          <w:spacing w:val="-5"/>
          <w:sz w:val="18"/>
        </w:rPr>
        <w:t> </w:t>
      </w:r>
      <w:r>
        <w:rPr>
          <w:sz w:val="18"/>
        </w:rPr>
        <w:t>to</w:t>
      </w:r>
      <w:r>
        <w:rPr>
          <w:spacing w:val="-5"/>
          <w:sz w:val="18"/>
        </w:rPr>
        <w:t> </w:t>
      </w:r>
      <w:r>
        <w:rPr>
          <w:sz w:val="18"/>
        </w:rPr>
        <w:t>Q3,</w:t>
      </w:r>
      <w:r>
        <w:rPr>
          <w:spacing w:val="-5"/>
          <w:sz w:val="18"/>
        </w:rPr>
        <w:t> </w:t>
      </w:r>
      <w:r>
        <w:rPr>
          <w:sz w:val="18"/>
        </w:rPr>
        <w:t>although</w:t>
      </w:r>
      <w:r>
        <w:rPr>
          <w:spacing w:val="-5"/>
          <w:sz w:val="18"/>
        </w:rPr>
        <w:t> </w:t>
      </w:r>
      <w:r>
        <w:rPr>
          <w:sz w:val="18"/>
        </w:rPr>
        <w:t>growth</w:t>
      </w:r>
      <w:r>
        <w:rPr>
          <w:spacing w:val="-5"/>
          <w:sz w:val="18"/>
        </w:rPr>
        <w:t> </w:t>
      </w:r>
      <w:r>
        <w:rPr>
          <w:sz w:val="18"/>
        </w:rPr>
        <w:t>in</w:t>
      </w:r>
      <w:r>
        <w:rPr>
          <w:spacing w:val="-5"/>
          <w:sz w:val="18"/>
        </w:rPr>
        <w:t> </w:t>
      </w:r>
      <w:r>
        <w:rPr>
          <w:sz w:val="18"/>
        </w:rPr>
        <w:t>October</w:t>
      </w:r>
      <w:r>
        <w:rPr>
          <w:spacing w:val="-5"/>
          <w:sz w:val="18"/>
        </w:rPr>
        <w:t> </w:t>
      </w:r>
      <w:r>
        <w:rPr>
          <w:sz w:val="18"/>
        </w:rPr>
        <w:t>had</w:t>
      </w:r>
      <w:r>
        <w:rPr>
          <w:spacing w:val="-5"/>
          <w:sz w:val="18"/>
        </w:rPr>
        <w:t> </w:t>
      </w:r>
      <w:r>
        <w:rPr>
          <w:sz w:val="18"/>
        </w:rPr>
        <w:t>been</w:t>
      </w:r>
      <w:r>
        <w:rPr>
          <w:spacing w:val="-5"/>
          <w:sz w:val="18"/>
        </w:rPr>
        <w:t> </w:t>
      </w:r>
      <w:r>
        <w:rPr>
          <w:sz w:val="18"/>
        </w:rPr>
        <w:t>lower than the average monthly rate in Q3. The CBI Industrial Trends survey for November recorded a positive balance for output expectations, though less positive than in October. The latest construction survey indicators also seemed quite buoyant, more so than the official data on new orders. The monthly C</w:t>
      </w:r>
      <w:r>
        <w:rPr>
          <w:sz w:val="14"/>
        </w:rPr>
        <w:t>IPS </w:t>
      </w:r>
      <w:r>
        <w:rPr>
          <w:sz w:val="18"/>
        </w:rPr>
        <w:t>services survey had shown a marked increase in the activity index. This index looked particularly strong when compared with the average since the survey began in 1996, which itself reflected a period of strong service sector output growth. The latest CBI/Deloitte &amp; Touche survey however pointed to some recent weakening of consumer services volumes. There were some suggestions that the latest rise in the C</w:t>
      </w:r>
      <w:r>
        <w:rPr>
          <w:sz w:val="14"/>
        </w:rPr>
        <w:t>IPS </w:t>
      </w:r>
      <w:r>
        <w:rPr>
          <w:sz w:val="18"/>
        </w:rPr>
        <w:t>survey might be millennium-related rather than a more sustained acceleration in service sector activity. There was however little evidence from the Bank’s regional Agents of strong millennium-related effects on demand or output, apart from the possible pause in IT investment noted above and some isolated examples of increasing inventories. The latest National Institute of Economic and Social Research projection of GDP growth in the three months to November was 0.8%, down slightly on the outturn for October. The staff’s latest survey-based estimate of GDP growth in Q4 was broadly at the same rate as in the third quarter, but higher than in November’s central</w:t>
      </w:r>
      <w:r>
        <w:rPr>
          <w:spacing w:val="-13"/>
          <w:sz w:val="18"/>
        </w:rPr>
        <w:t> </w:t>
      </w:r>
      <w:r>
        <w:rPr>
          <w:sz w:val="18"/>
        </w:rPr>
        <w:t>projection.</w:t>
      </w:r>
    </w:p>
    <w:p>
      <w:pPr>
        <w:spacing w:after="0" w:line="232" w:lineRule="auto"/>
        <w:jc w:val="left"/>
        <w:rPr>
          <w:sz w:val="18"/>
        </w:rPr>
        <w:sectPr>
          <w:type w:val="continuous"/>
          <w:pgSz w:w="11900" w:h="16840"/>
          <w:pgMar w:top="1220" w:bottom="280" w:left="620" w:right="640"/>
          <w:cols w:num="2" w:equalWidth="0">
            <w:col w:w="5127" w:space="256"/>
            <w:col w:w="5257"/>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4"/>
        <w:rPr>
          <w:sz w:val="21"/>
        </w:rPr>
      </w:pPr>
    </w:p>
    <w:p>
      <w:pPr>
        <w:pStyle w:val="ListParagraph"/>
        <w:numPr>
          <w:ilvl w:val="0"/>
          <w:numId w:val="45"/>
        </w:numPr>
        <w:tabs>
          <w:tab w:pos="665" w:val="left" w:leader="none"/>
          <w:tab w:pos="666" w:val="left" w:leader="none"/>
        </w:tabs>
        <w:spacing w:line="232" w:lineRule="auto" w:before="1" w:after="0"/>
        <w:ind w:left="185" w:right="38" w:firstLine="0"/>
        <w:jc w:val="left"/>
        <w:rPr>
          <w:sz w:val="18"/>
        </w:rPr>
      </w:pPr>
      <w:r>
        <w:rPr>
          <w:sz w:val="18"/>
        </w:rPr>
        <w:t>Overall there was not much evidence, on balance, that demand</w:t>
      </w:r>
      <w:r>
        <w:rPr>
          <w:spacing w:val="-5"/>
          <w:sz w:val="18"/>
        </w:rPr>
        <w:t> </w:t>
      </w:r>
      <w:r>
        <w:rPr>
          <w:sz w:val="18"/>
        </w:rPr>
        <w:t>and</w:t>
      </w:r>
      <w:r>
        <w:rPr>
          <w:spacing w:val="-5"/>
          <w:sz w:val="18"/>
        </w:rPr>
        <w:t> </w:t>
      </w:r>
      <w:r>
        <w:rPr>
          <w:sz w:val="18"/>
        </w:rPr>
        <w:t>output</w:t>
      </w:r>
      <w:r>
        <w:rPr>
          <w:spacing w:val="-5"/>
          <w:sz w:val="18"/>
        </w:rPr>
        <w:t> </w:t>
      </w:r>
      <w:r>
        <w:rPr>
          <w:sz w:val="18"/>
        </w:rPr>
        <w:t>were</w:t>
      </w:r>
      <w:r>
        <w:rPr>
          <w:spacing w:val="-5"/>
          <w:sz w:val="18"/>
        </w:rPr>
        <w:t> </w:t>
      </w:r>
      <w:r>
        <w:rPr>
          <w:sz w:val="18"/>
        </w:rPr>
        <w:t>turning</w:t>
      </w:r>
      <w:r>
        <w:rPr>
          <w:spacing w:val="-5"/>
          <w:sz w:val="18"/>
        </w:rPr>
        <w:t> </w:t>
      </w:r>
      <w:r>
        <w:rPr>
          <w:sz w:val="18"/>
        </w:rPr>
        <w:t>out</w:t>
      </w:r>
      <w:r>
        <w:rPr>
          <w:spacing w:val="-5"/>
          <w:sz w:val="18"/>
        </w:rPr>
        <w:t> </w:t>
      </w:r>
      <w:r>
        <w:rPr>
          <w:sz w:val="18"/>
        </w:rPr>
        <w:t>differently</w:t>
      </w:r>
      <w:r>
        <w:rPr>
          <w:spacing w:val="-5"/>
          <w:sz w:val="18"/>
        </w:rPr>
        <w:t> </w:t>
      </w:r>
      <w:r>
        <w:rPr>
          <w:sz w:val="18"/>
        </w:rPr>
        <w:t>from</w:t>
      </w:r>
      <w:r>
        <w:rPr>
          <w:spacing w:val="-5"/>
          <w:sz w:val="18"/>
        </w:rPr>
        <w:t> </w:t>
      </w:r>
      <w:r>
        <w:rPr>
          <w:sz w:val="18"/>
        </w:rPr>
        <w:t>what</w:t>
      </w:r>
      <w:r>
        <w:rPr>
          <w:spacing w:val="-5"/>
          <w:sz w:val="18"/>
        </w:rPr>
        <w:t> </w:t>
      </w:r>
      <w:r>
        <w:rPr>
          <w:sz w:val="18"/>
        </w:rPr>
        <w:t>had</w:t>
      </w:r>
      <w:r>
        <w:rPr>
          <w:spacing w:val="-5"/>
          <w:sz w:val="18"/>
        </w:rPr>
        <w:t> </w:t>
      </w:r>
      <w:r>
        <w:rPr>
          <w:sz w:val="18"/>
        </w:rPr>
        <w:t>been expected in November. If anything, the risks were of slightly stronger outturns in Q4 than thought a month</w:t>
      </w:r>
      <w:r>
        <w:rPr>
          <w:spacing w:val="-15"/>
          <w:sz w:val="18"/>
        </w:rPr>
        <w:t> </w:t>
      </w:r>
      <w:r>
        <w:rPr>
          <w:sz w:val="18"/>
        </w:rPr>
        <w:t>ago.</w:t>
      </w:r>
    </w:p>
    <w:p>
      <w:pPr>
        <w:pStyle w:val="BodyText"/>
        <w:spacing w:before="4"/>
        <w:rPr>
          <w:sz w:val="20"/>
        </w:rPr>
      </w:pPr>
    </w:p>
    <w:p>
      <w:pPr>
        <w:pStyle w:val="Heading7"/>
        <w:ind w:left="185"/>
      </w:pPr>
      <w:r>
        <w:rPr>
          <w:color w:val="009391"/>
        </w:rPr>
        <w:t>Money, credit and asset prices</w:t>
      </w:r>
    </w:p>
    <w:p>
      <w:pPr>
        <w:pStyle w:val="ListParagraph"/>
        <w:numPr>
          <w:ilvl w:val="0"/>
          <w:numId w:val="45"/>
        </w:numPr>
        <w:tabs>
          <w:tab w:pos="665" w:val="left" w:leader="none"/>
          <w:tab w:pos="666" w:val="left" w:leader="none"/>
        </w:tabs>
        <w:spacing w:line="232" w:lineRule="auto" w:before="110" w:after="0"/>
        <w:ind w:left="185" w:right="118" w:firstLine="0"/>
        <w:jc w:val="left"/>
        <w:rPr>
          <w:sz w:val="18"/>
        </w:rPr>
      </w:pPr>
      <w:r>
        <w:rPr>
          <w:sz w:val="18"/>
        </w:rPr>
        <w:t>Broad money growth, excluding Other Financial Corporations, remained fairly stable. The most striking monetary indicator over the past month had been the marked increase in narrow money in November. Notes and coin were growing at the fastest annual rate since 1980, with a particularly rapid rise in November. The seasonal adjustment updated the seasonal factors each month using a three-year window. This meant that one third of the rapid increase in November had already been attributed as a seasonal effect—the headline increase was even larger than the seasonally adjusted figures suggested. The staff had tried to make allowance for the possible effects of the millennium and the Government’s Winter Allowance, but it seemed likely to explain only</w:t>
      </w:r>
      <w:r>
        <w:rPr>
          <w:spacing w:val="-5"/>
          <w:sz w:val="18"/>
        </w:rPr>
        <w:t> </w:t>
      </w:r>
      <w:r>
        <w:rPr>
          <w:sz w:val="18"/>
        </w:rPr>
        <w:t>part</w:t>
      </w:r>
      <w:r>
        <w:rPr>
          <w:spacing w:val="-5"/>
          <w:sz w:val="18"/>
        </w:rPr>
        <w:t> </w:t>
      </w:r>
      <w:r>
        <w:rPr>
          <w:sz w:val="18"/>
        </w:rPr>
        <w:t>of</w:t>
      </w:r>
      <w:r>
        <w:rPr>
          <w:spacing w:val="-4"/>
          <w:sz w:val="18"/>
        </w:rPr>
        <w:t> </w:t>
      </w:r>
      <w:r>
        <w:rPr>
          <w:sz w:val="18"/>
        </w:rPr>
        <w:t>the</w:t>
      </w:r>
      <w:r>
        <w:rPr>
          <w:spacing w:val="-5"/>
          <w:sz w:val="18"/>
        </w:rPr>
        <w:t> </w:t>
      </w:r>
      <w:r>
        <w:rPr>
          <w:sz w:val="18"/>
        </w:rPr>
        <w:t>total</w:t>
      </w:r>
      <w:r>
        <w:rPr>
          <w:spacing w:val="-5"/>
          <w:sz w:val="18"/>
        </w:rPr>
        <w:t> </w:t>
      </w:r>
      <w:r>
        <w:rPr>
          <w:sz w:val="18"/>
        </w:rPr>
        <w:t>increase</w:t>
      </w:r>
      <w:r>
        <w:rPr>
          <w:spacing w:val="-4"/>
          <w:sz w:val="18"/>
        </w:rPr>
        <w:t> </w:t>
      </w:r>
      <w:r>
        <w:rPr>
          <w:sz w:val="18"/>
        </w:rPr>
        <w:t>in</w:t>
      </w:r>
      <w:r>
        <w:rPr>
          <w:spacing w:val="-5"/>
          <w:sz w:val="18"/>
        </w:rPr>
        <w:t> </w:t>
      </w:r>
      <w:r>
        <w:rPr>
          <w:sz w:val="18"/>
        </w:rPr>
        <w:t>November,</w:t>
      </w:r>
      <w:r>
        <w:rPr>
          <w:spacing w:val="-5"/>
          <w:sz w:val="18"/>
        </w:rPr>
        <w:t> </w:t>
      </w:r>
      <w:r>
        <w:rPr>
          <w:sz w:val="18"/>
        </w:rPr>
        <w:t>though</w:t>
      </w:r>
      <w:r>
        <w:rPr>
          <w:spacing w:val="-4"/>
          <w:sz w:val="18"/>
        </w:rPr>
        <w:t> </w:t>
      </w:r>
      <w:r>
        <w:rPr>
          <w:sz w:val="18"/>
        </w:rPr>
        <w:t>there</w:t>
      </w:r>
      <w:r>
        <w:rPr>
          <w:spacing w:val="-5"/>
          <w:sz w:val="18"/>
        </w:rPr>
        <w:t> </w:t>
      </w:r>
      <w:r>
        <w:rPr>
          <w:sz w:val="18"/>
        </w:rPr>
        <w:t>was</w:t>
      </w:r>
      <w:r>
        <w:rPr>
          <w:spacing w:val="-5"/>
          <w:sz w:val="18"/>
        </w:rPr>
        <w:t> </w:t>
      </w:r>
      <w:r>
        <w:rPr>
          <w:sz w:val="18"/>
        </w:rPr>
        <w:t>great uncertainty over the magnitude of these effects. An increase in money balances ahead of the year-end might occur for several reasons. For example, it might be precautionary on account of concerns about computer-related Y2K problems, or it might be to spend on millennium-related celebrations. Even in the latter case, the effects might only be temporary if spending was transferred from other months. It might have no effect on aggregate spending if it reflected a shift from other types of spending to</w:t>
      </w:r>
      <w:r>
        <w:rPr>
          <w:spacing w:val="-27"/>
          <w:sz w:val="18"/>
        </w:rPr>
        <w:t> </w:t>
      </w:r>
      <w:r>
        <w:rPr>
          <w:sz w:val="18"/>
        </w:rPr>
        <w:t>more</w:t>
      </w:r>
    </w:p>
    <w:p>
      <w:pPr>
        <w:pStyle w:val="BodyText"/>
        <w:spacing w:line="182" w:lineRule="exact"/>
        <w:ind w:left="185"/>
      </w:pPr>
      <w:r>
        <w:rPr/>
        <w:t>cash-based items. In any event, it seemed unclear why households</w:t>
      </w:r>
    </w:p>
    <w:p>
      <w:pPr>
        <w:pStyle w:val="BodyText"/>
        <w:spacing w:line="232" w:lineRule="auto" w:before="1"/>
        <w:ind w:left="185" w:right="57"/>
      </w:pPr>
      <w:r>
        <w:rPr/>
        <w:t>should withdraw substantial balances in November, so far from the year-end. There was no anecdotal evidence to support a large effect. Although there was a link between retail sales and narrow money, it had not been particularly close from month to month recently. There was, however, a risk that higher money balances would eventually feed through to consumption, even if the balances were not spent immediately. There was a range of views on how much weight to attach to the risk of higher spending. For some, the risk was mitigated by the fact that the large monthly increase came just before the year end, when interpretation of month-on-month changes was usually difficult and was made more so by any potential millennium-related</w:t>
      </w:r>
      <w:r>
        <w:rPr>
          <w:spacing w:val="-4"/>
        </w:rPr>
        <w:t> </w:t>
      </w:r>
      <w:r>
        <w:rPr/>
        <w:t>effects.</w:t>
      </w:r>
    </w:p>
    <w:p>
      <w:pPr>
        <w:pStyle w:val="BodyText"/>
        <w:spacing w:before="7"/>
        <w:rPr>
          <w:sz w:val="16"/>
        </w:rPr>
      </w:pPr>
    </w:p>
    <w:p>
      <w:pPr>
        <w:pStyle w:val="ListParagraph"/>
        <w:numPr>
          <w:ilvl w:val="0"/>
          <w:numId w:val="45"/>
        </w:numPr>
        <w:tabs>
          <w:tab w:pos="665" w:val="left" w:leader="none"/>
          <w:tab w:pos="666" w:val="left" w:leader="none"/>
        </w:tabs>
        <w:spacing w:line="232" w:lineRule="auto" w:before="0" w:after="0"/>
        <w:ind w:left="185" w:right="207" w:firstLine="0"/>
        <w:jc w:val="left"/>
        <w:rPr>
          <w:sz w:val="18"/>
        </w:rPr>
      </w:pPr>
      <w:r>
        <w:rPr>
          <w:sz w:val="18"/>
        </w:rPr>
        <w:t>Asset prices had risen in the UK and overseas. The FTSE 100</w:t>
      </w:r>
      <w:r>
        <w:rPr>
          <w:spacing w:val="-4"/>
          <w:sz w:val="18"/>
        </w:rPr>
        <w:t> </w:t>
      </w:r>
      <w:r>
        <w:rPr>
          <w:sz w:val="18"/>
        </w:rPr>
        <w:t>had</w:t>
      </w:r>
      <w:r>
        <w:rPr>
          <w:spacing w:val="-4"/>
          <w:sz w:val="18"/>
        </w:rPr>
        <w:t> </w:t>
      </w:r>
      <w:r>
        <w:rPr>
          <w:sz w:val="18"/>
        </w:rPr>
        <w:t>risen</w:t>
      </w:r>
      <w:r>
        <w:rPr>
          <w:spacing w:val="-4"/>
          <w:sz w:val="18"/>
        </w:rPr>
        <w:t> </w:t>
      </w:r>
      <w:r>
        <w:rPr>
          <w:sz w:val="18"/>
        </w:rPr>
        <w:t>by</w:t>
      </w:r>
      <w:r>
        <w:rPr>
          <w:spacing w:val="-4"/>
          <w:sz w:val="18"/>
        </w:rPr>
        <w:t> </w:t>
      </w:r>
      <w:r>
        <w:rPr>
          <w:sz w:val="18"/>
        </w:rPr>
        <w:t>5%</w:t>
      </w:r>
      <w:r>
        <w:rPr>
          <w:spacing w:val="-4"/>
          <w:sz w:val="18"/>
        </w:rPr>
        <w:t> </w:t>
      </w:r>
      <w:r>
        <w:rPr>
          <w:sz w:val="18"/>
        </w:rPr>
        <w:t>over</w:t>
      </w:r>
      <w:r>
        <w:rPr>
          <w:spacing w:val="-4"/>
          <w:sz w:val="18"/>
        </w:rPr>
        <w:t> </w:t>
      </w:r>
      <w:r>
        <w:rPr>
          <w:sz w:val="18"/>
        </w:rPr>
        <w:t>the</w:t>
      </w:r>
      <w:r>
        <w:rPr>
          <w:spacing w:val="-4"/>
          <w:sz w:val="18"/>
        </w:rPr>
        <w:t> </w:t>
      </w:r>
      <w:r>
        <w:rPr>
          <w:sz w:val="18"/>
        </w:rPr>
        <w:t>past</w:t>
      </w:r>
      <w:r>
        <w:rPr>
          <w:spacing w:val="-4"/>
          <w:sz w:val="18"/>
        </w:rPr>
        <w:t> </w:t>
      </w:r>
      <w:r>
        <w:rPr>
          <w:sz w:val="18"/>
        </w:rPr>
        <w:t>month</w:t>
      </w:r>
      <w:r>
        <w:rPr>
          <w:spacing w:val="-3"/>
          <w:sz w:val="18"/>
        </w:rPr>
        <w:t> </w:t>
      </w:r>
      <w:r>
        <w:rPr>
          <w:sz w:val="18"/>
        </w:rPr>
        <w:t>and</w:t>
      </w:r>
      <w:r>
        <w:rPr>
          <w:spacing w:val="-4"/>
          <w:sz w:val="18"/>
        </w:rPr>
        <w:t> </w:t>
      </w:r>
      <w:r>
        <w:rPr>
          <w:sz w:val="18"/>
        </w:rPr>
        <w:t>the</w:t>
      </w:r>
      <w:r>
        <w:rPr>
          <w:spacing w:val="-4"/>
          <w:sz w:val="18"/>
        </w:rPr>
        <w:t> </w:t>
      </w:r>
      <w:r>
        <w:rPr>
          <w:sz w:val="18"/>
        </w:rPr>
        <w:t>FTSE</w:t>
      </w:r>
      <w:r>
        <w:rPr>
          <w:spacing w:val="-4"/>
          <w:sz w:val="18"/>
        </w:rPr>
        <w:t> </w:t>
      </w:r>
      <w:r>
        <w:rPr>
          <w:sz w:val="18"/>
        </w:rPr>
        <w:t>All-Share index was now more than 6% up, and over 9% above the fifteen day average used as the starting assumption in the November </w:t>
      </w:r>
      <w:r>
        <w:rPr>
          <w:i/>
          <w:sz w:val="18"/>
        </w:rPr>
        <w:t>Inflation Report </w:t>
      </w:r>
      <w:r>
        <w:rPr>
          <w:sz w:val="18"/>
        </w:rPr>
        <w:t>projections. There had been rises in Japan, continental Europe and the United States too. The</w:t>
      </w:r>
      <w:r>
        <w:rPr>
          <w:spacing w:val="-20"/>
          <w:sz w:val="18"/>
        </w:rPr>
        <w:t> </w:t>
      </w:r>
      <w:r>
        <w:rPr>
          <w:sz w:val="18"/>
        </w:rPr>
        <w:t>FT</w:t>
      </w:r>
    </w:p>
    <w:p>
      <w:pPr>
        <w:pStyle w:val="BodyText"/>
        <w:spacing w:line="232" w:lineRule="auto"/>
        <w:ind w:left="185" w:right="59"/>
      </w:pPr>
      <w:r>
        <w:rPr/>
        <w:t>Small-Capitalisation index had outperformed the FTSE 100 index over the past month. Some of the rise in share price indices was accounted for by high-tech IT stocks, but this did not account for the entire rise. Nor was it clear that the rise in IT stocks should be excluded in any event, because it was necessary to look at the aggregate. However, fluctuations in these stocks might be contributing to greater volatility. The rise in indices both here and abroad seemed broadly consistent with a general rise in market confidence about the strength of world activity.</w:t>
      </w:r>
    </w:p>
    <w:p>
      <w:pPr>
        <w:pStyle w:val="BodyText"/>
        <w:spacing w:before="4"/>
        <w:rPr>
          <w:sz w:val="16"/>
        </w:rPr>
      </w:pPr>
    </w:p>
    <w:p>
      <w:pPr>
        <w:pStyle w:val="ListParagraph"/>
        <w:numPr>
          <w:ilvl w:val="0"/>
          <w:numId w:val="45"/>
        </w:numPr>
        <w:tabs>
          <w:tab w:pos="665" w:val="left" w:leader="none"/>
          <w:tab w:pos="666" w:val="left" w:leader="none"/>
        </w:tabs>
        <w:spacing w:line="232" w:lineRule="auto" w:before="0" w:after="0"/>
        <w:ind w:left="185" w:right="122" w:firstLine="0"/>
        <w:jc w:val="left"/>
        <w:rPr>
          <w:sz w:val="18"/>
        </w:rPr>
      </w:pPr>
      <w:r>
        <w:rPr>
          <w:sz w:val="18"/>
        </w:rPr>
        <w:t>For the UK the rise in equity wealth, coupled with the strength</w:t>
      </w:r>
      <w:r>
        <w:rPr>
          <w:spacing w:val="-7"/>
          <w:sz w:val="18"/>
        </w:rPr>
        <w:t> </w:t>
      </w:r>
      <w:r>
        <w:rPr>
          <w:sz w:val="18"/>
        </w:rPr>
        <w:t>of</w:t>
      </w:r>
      <w:r>
        <w:rPr>
          <w:spacing w:val="-6"/>
          <w:sz w:val="18"/>
        </w:rPr>
        <w:t> </w:t>
      </w:r>
      <w:r>
        <w:rPr>
          <w:sz w:val="18"/>
        </w:rPr>
        <w:t>borrowing</w:t>
      </w:r>
      <w:r>
        <w:rPr>
          <w:spacing w:val="-6"/>
          <w:sz w:val="18"/>
        </w:rPr>
        <w:t> </w:t>
      </w:r>
      <w:r>
        <w:rPr>
          <w:sz w:val="18"/>
        </w:rPr>
        <w:t>for</w:t>
      </w:r>
      <w:r>
        <w:rPr>
          <w:spacing w:val="-6"/>
          <w:sz w:val="18"/>
        </w:rPr>
        <w:t> </w:t>
      </w:r>
      <w:r>
        <w:rPr>
          <w:sz w:val="18"/>
        </w:rPr>
        <w:t>consumption,</w:t>
      </w:r>
      <w:r>
        <w:rPr>
          <w:spacing w:val="-7"/>
          <w:sz w:val="18"/>
        </w:rPr>
        <w:t> </w:t>
      </w:r>
      <w:r>
        <w:rPr>
          <w:sz w:val="18"/>
        </w:rPr>
        <w:t>suggested</w:t>
      </w:r>
      <w:r>
        <w:rPr>
          <w:spacing w:val="-6"/>
          <w:sz w:val="18"/>
        </w:rPr>
        <w:t> </w:t>
      </w:r>
      <w:r>
        <w:rPr>
          <w:sz w:val="18"/>
        </w:rPr>
        <w:t>a</w:t>
      </w:r>
      <w:r>
        <w:rPr>
          <w:spacing w:val="-6"/>
          <w:sz w:val="18"/>
        </w:rPr>
        <w:t> </w:t>
      </w:r>
      <w:r>
        <w:rPr>
          <w:sz w:val="18"/>
        </w:rPr>
        <w:t>robust</w:t>
      </w:r>
      <w:r>
        <w:rPr>
          <w:spacing w:val="-6"/>
          <w:sz w:val="18"/>
        </w:rPr>
        <w:t> </w:t>
      </w:r>
      <w:r>
        <w:rPr>
          <w:sz w:val="18"/>
        </w:rPr>
        <w:t>outlook for consumption growth. House prices had again been volatile, with the Nationwide index recording a strong rise on the month, while the Halifax index had fallen. Annual percentage rates of increase in house prices, and hence gross housing wealth, were in double digits, and many short-run growth rates were at least as fast as the annual rates. Activity indicators in the housing market had been mixed over the month, but on balance showed activity broadly stable over the past few months and stronger than</w:t>
      </w:r>
      <w:r>
        <w:rPr>
          <w:spacing w:val="-29"/>
          <w:sz w:val="18"/>
        </w:rPr>
        <w:t> </w:t>
      </w:r>
      <w:r>
        <w:rPr>
          <w:sz w:val="18"/>
        </w:rPr>
        <w:t>at</w:t>
      </w:r>
    </w:p>
    <w:p>
      <w:pPr>
        <w:pStyle w:val="BodyText"/>
        <w:spacing w:line="232" w:lineRule="auto"/>
        <w:ind w:left="185" w:right="369"/>
      </w:pPr>
      <w:r>
        <w:rPr/>
        <w:t>the beginning of the year. The staff’s provisional estimate of the increase in mortgage equity withdrawal in the third quarter, though well below the levels of the late 1980s as a share of personal income, was quite marked, and appeared to be closely</w:t>
      </w:r>
    </w:p>
    <w:p>
      <w:pPr>
        <w:pStyle w:val="BodyText"/>
        <w:spacing w:before="4"/>
        <w:rPr>
          <w:sz w:val="21"/>
        </w:rPr>
      </w:pPr>
      <w:r>
        <w:rPr/>
        <w:br w:type="column"/>
      </w:r>
      <w:r>
        <w:rPr>
          <w:sz w:val="21"/>
        </w:rPr>
      </w:r>
    </w:p>
    <w:p>
      <w:pPr>
        <w:pStyle w:val="BodyText"/>
        <w:spacing w:line="232" w:lineRule="auto"/>
        <w:ind w:left="185" w:right="601"/>
      </w:pPr>
      <w:r>
        <w:rPr/>
        <w:t>correlated with recent growth rates in household consumption spending.</w:t>
      </w:r>
    </w:p>
    <w:p>
      <w:pPr>
        <w:pStyle w:val="BodyText"/>
        <w:spacing w:before="7"/>
        <w:rPr>
          <w:sz w:val="20"/>
        </w:rPr>
      </w:pPr>
    </w:p>
    <w:p>
      <w:pPr>
        <w:pStyle w:val="Heading7"/>
        <w:ind w:left="185"/>
      </w:pPr>
      <w:r>
        <w:rPr>
          <w:color w:val="009391"/>
        </w:rPr>
        <w:t>Prices and costs</w:t>
      </w:r>
    </w:p>
    <w:p>
      <w:pPr>
        <w:pStyle w:val="ListParagraph"/>
        <w:numPr>
          <w:ilvl w:val="0"/>
          <w:numId w:val="45"/>
        </w:numPr>
        <w:tabs>
          <w:tab w:pos="665" w:val="left" w:leader="none"/>
          <w:tab w:pos="666" w:val="left" w:leader="none"/>
        </w:tabs>
        <w:spacing w:line="232" w:lineRule="auto" w:before="109" w:after="0"/>
        <w:ind w:left="185" w:right="230" w:firstLine="0"/>
        <w:jc w:val="left"/>
        <w:rPr>
          <w:sz w:val="18"/>
        </w:rPr>
      </w:pPr>
      <w:r>
        <w:rPr>
          <w:sz w:val="18"/>
        </w:rPr>
        <w:t>The Bank’s commodity price index had fallen in October, reflecting both the fall in oil prices and a fall in metals and food prices. However oil prices had risen again in November. Producer input prices continued to reflect higher oil prices. At the retail level,</w:t>
      </w:r>
      <w:r>
        <w:rPr>
          <w:spacing w:val="-6"/>
          <w:sz w:val="18"/>
        </w:rPr>
        <w:t> </w:t>
      </w:r>
      <w:r>
        <w:rPr>
          <w:sz w:val="18"/>
        </w:rPr>
        <w:t>oil</w:t>
      </w:r>
      <w:r>
        <w:rPr>
          <w:spacing w:val="-5"/>
          <w:sz w:val="18"/>
        </w:rPr>
        <w:t> </w:t>
      </w:r>
      <w:r>
        <w:rPr>
          <w:sz w:val="18"/>
        </w:rPr>
        <w:t>prices</w:t>
      </w:r>
      <w:r>
        <w:rPr>
          <w:spacing w:val="-6"/>
          <w:sz w:val="18"/>
        </w:rPr>
        <w:t> </w:t>
      </w:r>
      <w:r>
        <w:rPr>
          <w:sz w:val="18"/>
        </w:rPr>
        <w:t>had</w:t>
      </w:r>
      <w:r>
        <w:rPr>
          <w:spacing w:val="-5"/>
          <w:sz w:val="18"/>
        </w:rPr>
        <w:t> </w:t>
      </w:r>
      <w:r>
        <w:rPr>
          <w:sz w:val="18"/>
        </w:rPr>
        <w:t>been</w:t>
      </w:r>
      <w:r>
        <w:rPr>
          <w:spacing w:val="-6"/>
          <w:sz w:val="18"/>
        </w:rPr>
        <w:t> </w:t>
      </w:r>
      <w:r>
        <w:rPr>
          <w:sz w:val="18"/>
        </w:rPr>
        <w:t>reflected</w:t>
      </w:r>
      <w:r>
        <w:rPr>
          <w:spacing w:val="-5"/>
          <w:sz w:val="18"/>
        </w:rPr>
        <w:t> </w:t>
      </w:r>
      <w:r>
        <w:rPr>
          <w:sz w:val="18"/>
        </w:rPr>
        <w:t>in</w:t>
      </w:r>
      <w:r>
        <w:rPr>
          <w:spacing w:val="-6"/>
          <w:sz w:val="18"/>
        </w:rPr>
        <w:t> </w:t>
      </w:r>
      <w:r>
        <w:rPr>
          <w:sz w:val="18"/>
        </w:rPr>
        <w:t>higher</w:t>
      </w:r>
      <w:r>
        <w:rPr>
          <w:spacing w:val="-5"/>
          <w:sz w:val="18"/>
        </w:rPr>
        <w:t> </w:t>
      </w:r>
      <w:r>
        <w:rPr>
          <w:sz w:val="18"/>
        </w:rPr>
        <w:t>inflation</w:t>
      </w:r>
      <w:r>
        <w:rPr>
          <w:spacing w:val="-6"/>
          <w:sz w:val="18"/>
        </w:rPr>
        <w:t> </w:t>
      </w:r>
      <w:r>
        <w:rPr>
          <w:sz w:val="18"/>
        </w:rPr>
        <w:t>in</w:t>
      </w:r>
      <w:r>
        <w:rPr>
          <w:spacing w:val="-5"/>
          <w:sz w:val="18"/>
        </w:rPr>
        <w:t> </w:t>
      </w:r>
      <w:r>
        <w:rPr>
          <w:sz w:val="18"/>
        </w:rPr>
        <w:t>continental Europe. But despite higher petrol prices in the UK too— contributing around 0.5 percentage points to annual inflation in the year to October—inflation as measured by the harmonised consumer price index in the UK was now below the European average. This was not too surprising given the past strengthening of</w:t>
      </w:r>
      <w:r>
        <w:rPr>
          <w:spacing w:val="-2"/>
          <w:sz w:val="18"/>
        </w:rPr>
        <w:t> </w:t>
      </w:r>
      <w:r>
        <w:rPr>
          <w:sz w:val="18"/>
        </w:rPr>
        <w:t>sterling.</w:t>
      </w:r>
    </w:p>
    <w:p>
      <w:pPr>
        <w:pStyle w:val="BodyText"/>
        <w:spacing w:before="7"/>
        <w:rPr>
          <w:sz w:val="16"/>
        </w:rPr>
      </w:pPr>
    </w:p>
    <w:p>
      <w:pPr>
        <w:pStyle w:val="ListParagraph"/>
        <w:numPr>
          <w:ilvl w:val="0"/>
          <w:numId w:val="45"/>
        </w:numPr>
        <w:tabs>
          <w:tab w:pos="665" w:val="left" w:leader="none"/>
          <w:tab w:pos="666" w:val="left" w:leader="none"/>
        </w:tabs>
        <w:spacing w:line="232" w:lineRule="auto" w:before="1" w:after="0"/>
        <w:ind w:left="185" w:right="189" w:firstLine="0"/>
        <w:jc w:val="left"/>
        <w:rPr>
          <w:sz w:val="18"/>
        </w:rPr>
      </w:pPr>
      <w:r>
        <w:rPr>
          <w:sz w:val="18"/>
        </w:rPr>
        <w:t>Retail price inflation on the targeted RPIX measure had risen to 2.2% in October. This was in line with expectations at the time of the Committee’s November meeting.  The latest CBI Distributive Trades survey balance for retail prices had turned negative in November, and was well below its historical average, which might point to further weakness in retail prices. However, the historical average reflected periods of much higher inflation, so it was difficult to interpret the recent data. Anecdotal evidence suggested wider discounting than in the past, even of some luxury brands. It was difficult to tell if the lower-than-expected outturns for some of the components of the retail prices index provided evidence of a larger-than-expected squeeze on retail margins than had been assumed in the fan chart published in the November </w:t>
      </w:r>
      <w:r>
        <w:rPr>
          <w:i/>
          <w:sz w:val="18"/>
        </w:rPr>
        <w:t>Inflation Report</w:t>
      </w:r>
      <w:r>
        <w:rPr>
          <w:sz w:val="18"/>
        </w:rPr>
        <w:t>. It might simply reflect a different timing for the reduction in margins than had been assumed.  Alternatively, it could be due to other cost factors that had yet to be observed in the data or simply month-to-month volatility with no implications for the short-term profile of</w:t>
      </w:r>
      <w:r>
        <w:rPr>
          <w:spacing w:val="-6"/>
          <w:sz w:val="18"/>
        </w:rPr>
        <w:t> </w:t>
      </w:r>
      <w:r>
        <w:rPr>
          <w:sz w:val="18"/>
        </w:rPr>
        <w:t>inflation.</w:t>
      </w:r>
    </w:p>
    <w:p>
      <w:pPr>
        <w:pStyle w:val="BodyText"/>
        <w:spacing w:before="1"/>
        <w:rPr>
          <w:sz w:val="16"/>
        </w:rPr>
      </w:pPr>
    </w:p>
    <w:p>
      <w:pPr>
        <w:pStyle w:val="ListParagraph"/>
        <w:numPr>
          <w:ilvl w:val="0"/>
          <w:numId w:val="45"/>
        </w:numPr>
        <w:tabs>
          <w:tab w:pos="665" w:val="left" w:leader="none"/>
          <w:tab w:pos="666" w:val="left" w:leader="none"/>
        </w:tabs>
        <w:spacing w:line="232" w:lineRule="auto" w:before="1" w:after="0"/>
        <w:ind w:left="185" w:right="177" w:firstLine="0"/>
        <w:jc w:val="left"/>
        <w:rPr>
          <w:sz w:val="18"/>
        </w:rPr>
      </w:pPr>
      <w:r>
        <w:rPr>
          <w:sz w:val="18"/>
        </w:rPr>
        <w:t>The weakness of goods prices was clearly reflected in the retail sales deflator, which was based on the same data. The CBI/Deloitte &amp; Touche survey balance for prices of consumer services had also fallen recently, but this survey had only been running for a few quarters. However, the C</w:t>
      </w:r>
      <w:r>
        <w:rPr>
          <w:sz w:val="14"/>
        </w:rPr>
        <w:t>IPS </w:t>
      </w:r>
      <w:r>
        <w:rPr>
          <w:sz w:val="18"/>
        </w:rPr>
        <w:t>services prices index had risen on the</w:t>
      </w:r>
      <w:r>
        <w:rPr>
          <w:spacing w:val="-5"/>
          <w:sz w:val="18"/>
        </w:rPr>
        <w:t> </w:t>
      </w:r>
      <w:r>
        <w:rPr>
          <w:sz w:val="18"/>
        </w:rPr>
        <w:t>month.</w:t>
      </w:r>
    </w:p>
    <w:p>
      <w:pPr>
        <w:pStyle w:val="BodyText"/>
        <w:spacing w:before="11"/>
        <w:rPr>
          <w:sz w:val="16"/>
        </w:rPr>
      </w:pPr>
    </w:p>
    <w:p>
      <w:pPr>
        <w:pStyle w:val="ListParagraph"/>
        <w:numPr>
          <w:ilvl w:val="0"/>
          <w:numId w:val="45"/>
        </w:numPr>
        <w:tabs>
          <w:tab w:pos="665" w:val="left" w:leader="none"/>
          <w:tab w:pos="666" w:val="left" w:leader="none"/>
        </w:tabs>
        <w:spacing w:line="232" w:lineRule="auto" w:before="0" w:after="0"/>
        <w:ind w:left="185" w:right="200" w:firstLine="0"/>
        <w:jc w:val="left"/>
        <w:rPr>
          <w:sz w:val="18"/>
        </w:rPr>
      </w:pPr>
      <w:r>
        <w:rPr>
          <w:sz w:val="18"/>
        </w:rPr>
        <w:t>The continuing pressure on retail margins did not seem to reflect weak demand, but other factors such as increased competition. If so, increased competition and reduction in retail margins might spread along the supply chain. Even given the recent rise in input prices, it might be difficult for manufacturers to pass on higher costs, at least in the short term. It was possible that aggregate supply had become more elastic for reasons other than a structural increase in competition in the UK, such as increased investment elsewhere by international companies and a corresponding increase in world supply.  More efficient and cheaper access to information about domestic and overseas production and prices, and associated scope for cost savings on inputs, might also have an effect on UK prices. For example, the more widespread use of the Internet might affect UK productivity growth and pricing behaviour. There was little evidence that this was, as yet, having a big effect, though its use could grow rapidly. In the first instance one might see greater effects on inter-firm trade than at the retail level. One much quoted example of Internet activity was in books, but recent movements in prices looked small when compared with the impact of the ending of the Net Book Agreement some time ago. It was therefore important not automatically to assume that the effects of the Internet would be bigger than previous</w:t>
      </w:r>
      <w:r>
        <w:rPr>
          <w:spacing w:val="-4"/>
          <w:sz w:val="18"/>
        </w:rPr>
        <w:t> </w:t>
      </w:r>
      <w:r>
        <w:rPr>
          <w:sz w:val="18"/>
        </w:rPr>
        <w:t>shocks.</w:t>
      </w:r>
    </w:p>
    <w:p>
      <w:pPr>
        <w:pStyle w:val="BodyText"/>
        <w:spacing w:before="10"/>
        <w:rPr>
          <w:sz w:val="15"/>
        </w:rPr>
      </w:pPr>
    </w:p>
    <w:p>
      <w:pPr>
        <w:pStyle w:val="ListParagraph"/>
        <w:numPr>
          <w:ilvl w:val="0"/>
          <w:numId w:val="45"/>
        </w:numPr>
        <w:tabs>
          <w:tab w:pos="665" w:val="left" w:leader="none"/>
          <w:tab w:pos="666" w:val="left" w:leader="none"/>
        </w:tabs>
        <w:spacing w:line="232" w:lineRule="auto" w:before="0" w:after="0"/>
        <w:ind w:left="185" w:right="210" w:firstLine="0"/>
        <w:jc w:val="left"/>
        <w:rPr>
          <w:sz w:val="18"/>
        </w:rPr>
      </w:pPr>
      <w:r>
        <w:rPr>
          <w:sz w:val="18"/>
        </w:rPr>
        <w:t>Most of the evidence of weaker prices related to goods prices; indeed the gap between service and goods price inflation was as large as at any time since 1992. That gap was much larger than</w:t>
      </w:r>
      <w:r>
        <w:rPr>
          <w:spacing w:val="-6"/>
          <w:sz w:val="18"/>
        </w:rPr>
        <w:t> </w:t>
      </w:r>
      <w:r>
        <w:rPr>
          <w:sz w:val="18"/>
        </w:rPr>
        <w:t>could</w:t>
      </w:r>
      <w:r>
        <w:rPr>
          <w:spacing w:val="-6"/>
          <w:sz w:val="18"/>
        </w:rPr>
        <w:t> </w:t>
      </w:r>
      <w:r>
        <w:rPr>
          <w:sz w:val="18"/>
        </w:rPr>
        <w:t>be</w:t>
      </w:r>
      <w:r>
        <w:rPr>
          <w:spacing w:val="-6"/>
          <w:sz w:val="18"/>
        </w:rPr>
        <w:t> </w:t>
      </w:r>
      <w:r>
        <w:rPr>
          <w:sz w:val="18"/>
        </w:rPr>
        <w:t>explained</w:t>
      </w:r>
      <w:r>
        <w:rPr>
          <w:spacing w:val="-5"/>
          <w:sz w:val="18"/>
        </w:rPr>
        <w:t> </w:t>
      </w:r>
      <w:r>
        <w:rPr>
          <w:sz w:val="18"/>
        </w:rPr>
        <w:t>by</w:t>
      </w:r>
      <w:r>
        <w:rPr>
          <w:spacing w:val="-6"/>
          <w:sz w:val="18"/>
        </w:rPr>
        <w:t> </w:t>
      </w:r>
      <w:r>
        <w:rPr>
          <w:sz w:val="18"/>
        </w:rPr>
        <w:t>differences</w:t>
      </w:r>
      <w:r>
        <w:rPr>
          <w:spacing w:val="-6"/>
          <w:sz w:val="18"/>
        </w:rPr>
        <w:t> </w:t>
      </w:r>
      <w:r>
        <w:rPr>
          <w:sz w:val="18"/>
        </w:rPr>
        <w:t>in</w:t>
      </w:r>
      <w:r>
        <w:rPr>
          <w:spacing w:val="-6"/>
          <w:sz w:val="18"/>
        </w:rPr>
        <w:t> </w:t>
      </w:r>
      <w:r>
        <w:rPr>
          <w:sz w:val="18"/>
        </w:rPr>
        <w:t>trend</w:t>
      </w:r>
      <w:r>
        <w:rPr>
          <w:spacing w:val="-5"/>
          <w:sz w:val="18"/>
        </w:rPr>
        <w:t> </w:t>
      </w:r>
      <w:r>
        <w:rPr>
          <w:sz w:val="18"/>
        </w:rPr>
        <w:t>productivity</w:t>
      </w:r>
      <w:r>
        <w:rPr>
          <w:spacing w:val="-6"/>
          <w:sz w:val="18"/>
        </w:rPr>
        <w:t> </w:t>
      </w:r>
      <w:r>
        <w:rPr>
          <w:sz w:val="18"/>
        </w:rPr>
        <w:t>growth between the</w:t>
      </w:r>
      <w:r>
        <w:rPr>
          <w:spacing w:val="-3"/>
          <w:sz w:val="18"/>
        </w:rPr>
        <w:t> </w:t>
      </w:r>
      <w:r>
        <w:rPr>
          <w:sz w:val="18"/>
        </w:rPr>
        <w:t>sectors.</w:t>
      </w:r>
    </w:p>
    <w:p>
      <w:pPr>
        <w:spacing w:after="0" w:line="232" w:lineRule="auto"/>
        <w:jc w:val="left"/>
        <w:rPr>
          <w:sz w:val="18"/>
        </w:rPr>
        <w:sectPr>
          <w:type w:val="continuous"/>
          <w:pgSz w:w="11900" w:h="16840"/>
          <w:pgMar w:top="1220" w:bottom="280" w:left="620" w:right="640"/>
          <w:cols w:num="2" w:equalWidth="0">
            <w:col w:w="5123" w:space="257"/>
            <w:col w:w="526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7"/>
        <w:rPr>
          <w:sz w:val="19"/>
        </w:rPr>
      </w:pPr>
    </w:p>
    <w:p>
      <w:pPr>
        <w:pStyle w:val="ListParagraph"/>
        <w:numPr>
          <w:ilvl w:val="0"/>
          <w:numId w:val="45"/>
        </w:numPr>
        <w:tabs>
          <w:tab w:pos="674" w:val="left" w:leader="none"/>
          <w:tab w:pos="675" w:val="left" w:leader="none"/>
        </w:tabs>
        <w:spacing w:line="232" w:lineRule="auto" w:before="1" w:after="0"/>
        <w:ind w:left="194" w:right="58" w:firstLine="0"/>
        <w:jc w:val="left"/>
        <w:rPr>
          <w:sz w:val="18"/>
        </w:rPr>
      </w:pPr>
      <w:r>
        <w:rPr>
          <w:sz w:val="18"/>
        </w:rPr>
        <w:t>Within the RPI there were large rises in a few components of the services index—notably insurance and foreign holidays. Some members thought it was useful to gauge the underlying behaviour of RPIX by looking at sub-indices which excluded volatile items, such as fuel prices, or possibly other ‘exogenous’ items such as seasonal foods and taxes. Other members thought that similar arguments could be applied to changes in prices resulting from exchange rate movements; and that other than in the</w:t>
      </w:r>
      <w:r>
        <w:rPr>
          <w:spacing w:val="-23"/>
          <w:sz w:val="18"/>
        </w:rPr>
        <w:t> </w:t>
      </w:r>
      <w:r>
        <w:rPr>
          <w:sz w:val="18"/>
        </w:rPr>
        <w:t>very</w:t>
      </w:r>
    </w:p>
    <w:p>
      <w:pPr>
        <w:pStyle w:val="BodyText"/>
        <w:spacing w:line="232" w:lineRule="auto"/>
        <w:ind w:left="194" w:right="410"/>
      </w:pPr>
      <w:r>
        <w:rPr/>
        <w:t>near-term, when nominal rigidities existed, it was not useful to exclude items from the index.</w:t>
      </w:r>
    </w:p>
    <w:p>
      <w:pPr>
        <w:pStyle w:val="BodyText"/>
        <w:spacing w:before="8"/>
        <w:rPr>
          <w:sz w:val="16"/>
        </w:rPr>
      </w:pPr>
    </w:p>
    <w:p>
      <w:pPr>
        <w:pStyle w:val="ListParagraph"/>
        <w:numPr>
          <w:ilvl w:val="0"/>
          <w:numId w:val="45"/>
        </w:numPr>
        <w:tabs>
          <w:tab w:pos="674" w:val="left" w:leader="none"/>
          <w:tab w:pos="675" w:val="left" w:leader="none"/>
        </w:tabs>
        <w:spacing w:line="232" w:lineRule="auto" w:before="0" w:after="0"/>
        <w:ind w:left="194" w:right="563" w:firstLine="0"/>
        <w:jc w:val="left"/>
        <w:rPr>
          <w:sz w:val="18"/>
        </w:rPr>
      </w:pPr>
      <w:r>
        <w:rPr>
          <w:sz w:val="18"/>
        </w:rPr>
        <w:t>There had been some recent announcements on water, electricity and gas pricing. Taken together the effect on</w:t>
      </w:r>
      <w:r>
        <w:rPr>
          <w:spacing w:val="3"/>
          <w:sz w:val="18"/>
        </w:rPr>
        <w:t> </w:t>
      </w:r>
      <w:r>
        <w:rPr>
          <w:sz w:val="18"/>
        </w:rPr>
        <w:t>the</w:t>
      </w:r>
    </w:p>
    <w:p>
      <w:pPr>
        <w:pStyle w:val="BodyText"/>
        <w:spacing w:line="232" w:lineRule="auto"/>
        <w:ind w:left="194" w:right="20"/>
      </w:pPr>
      <w:r>
        <w:rPr/>
        <w:t>short-term profile for retail prices was broadly in line with what had been assumed in the November </w:t>
      </w:r>
      <w:r>
        <w:rPr>
          <w:i/>
        </w:rPr>
        <w:t>Inflation Report </w:t>
      </w:r>
      <w:r>
        <w:rPr/>
        <w:t>projections.</w:t>
      </w:r>
    </w:p>
    <w:p>
      <w:pPr>
        <w:pStyle w:val="BodyText"/>
        <w:spacing w:before="4"/>
        <w:rPr>
          <w:sz w:val="20"/>
        </w:rPr>
      </w:pPr>
    </w:p>
    <w:p>
      <w:pPr>
        <w:pStyle w:val="Heading7"/>
      </w:pPr>
      <w:r>
        <w:rPr>
          <w:color w:val="009391"/>
        </w:rPr>
        <w:t>The world economy</w:t>
      </w:r>
    </w:p>
    <w:p>
      <w:pPr>
        <w:pStyle w:val="ListParagraph"/>
        <w:numPr>
          <w:ilvl w:val="0"/>
          <w:numId w:val="45"/>
        </w:numPr>
        <w:tabs>
          <w:tab w:pos="674" w:val="left" w:leader="none"/>
          <w:tab w:pos="675" w:val="left" w:leader="none"/>
        </w:tabs>
        <w:spacing w:line="232" w:lineRule="auto" w:before="110" w:after="0"/>
        <w:ind w:left="194" w:right="59" w:firstLine="0"/>
        <w:jc w:val="left"/>
        <w:rPr>
          <w:sz w:val="18"/>
        </w:rPr>
      </w:pPr>
      <w:r>
        <w:rPr>
          <w:sz w:val="18"/>
        </w:rPr>
        <w:t>The likely pace of growth in the United States remained subject to various uncertainties. The latest stock market rise added weight to the factors underpinning strong consumption growth, but had also added to the risks of a sharper slowdown if equity prices were to fall. Inflation had risen somewhat over recent months, although not on the core measure. In any event, the US situation appeared to be rather different from the conjuncture of events in the UK,</w:t>
      </w:r>
      <w:r>
        <w:rPr>
          <w:spacing w:val="-6"/>
          <w:sz w:val="18"/>
        </w:rPr>
        <w:t> </w:t>
      </w:r>
      <w:r>
        <w:rPr>
          <w:sz w:val="18"/>
        </w:rPr>
        <w:t>because</w:t>
      </w:r>
      <w:r>
        <w:rPr>
          <w:spacing w:val="-6"/>
          <w:sz w:val="18"/>
        </w:rPr>
        <w:t> </w:t>
      </w:r>
      <w:r>
        <w:rPr>
          <w:sz w:val="18"/>
        </w:rPr>
        <w:t>of</w:t>
      </w:r>
      <w:r>
        <w:rPr>
          <w:spacing w:val="-5"/>
          <w:sz w:val="18"/>
        </w:rPr>
        <w:t> </w:t>
      </w:r>
      <w:r>
        <w:rPr>
          <w:sz w:val="18"/>
        </w:rPr>
        <w:t>the</w:t>
      </w:r>
      <w:r>
        <w:rPr>
          <w:spacing w:val="-6"/>
          <w:sz w:val="18"/>
        </w:rPr>
        <w:t> </w:t>
      </w:r>
      <w:r>
        <w:rPr>
          <w:sz w:val="18"/>
        </w:rPr>
        <w:t>much</w:t>
      </w:r>
      <w:r>
        <w:rPr>
          <w:spacing w:val="-5"/>
          <w:sz w:val="18"/>
        </w:rPr>
        <w:t> </w:t>
      </w:r>
      <w:r>
        <w:rPr>
          <w:sz w:val="18"/>
        </w:rPr>
        <w:t>stronger</w:t>
      </w:r>
      <w:r>
        <w:rPr>
          <w:spacing w:val="-6"/>
          <w:sz w:val="18"/>
        </w:rPr>
        <w:t> </w:t>
      </w:r>
      <w:r>
        <w:rPr>
          <w:sz w:val="18"/>
        </w:rPr>
        <w:t>recent</w:t>
      </w:r>
      <w:r>
        <w:rPr>
          <w:spacing w:val="-5"/>
          <w:sz w:val="18"/>
        </w:rPr>
        <w:t> </w:t>
      </w:r>
      <w:r>
        <w:rPr>
          <w:sz w:val="18"/>
        </w:rPr>
        <w:t>productivity</w:t>
      </w:r>
      <w:r>
        <w:rPr>
          <w:spacing w:val="-6"/>
          <w:sz w:val="18"/>
        </w:rPr>
        <w:t> </w:t>
      </w:r>
      <w:r>
        <w:rPr>
          <w:sz w:val="18"/>
        </w:rPr>
        <w:t>growth</w:t>
      </w:r>
      <w:r>
        <w:rPr>
          <w:spacing w:val="-5"/>
          <w:sz w:val="18"/>
        </w:rPr>
        <w:t> </w:t>
      </w:r>
      <w:r>
        <w:rPr>
          <w:sz w:val="18"/>
        </w:rPr>
        <w:t>there.</w:t>
      </w:r>
    </w:p>
    <w:p>
      <w:pPr>
        <w:pStyle w:val="BodyText"/>
        <w:spacing w:before="9"/>
        <w:rPr>
          <w:sz w:val="16"/>
        </w:rPr>
      </w:pPr>
    </w:p>
    <w:p>
      <w:pPr>
        <w:pStyle w:val="ListParagraph"/>
        <w:numPr>
          <w:ilvl w:val="0"/>
          <w:numId w:val="45"/>
        </w:numPr>
        <w:tabs>
          <w:tab w:pos="674" w:val="left" w:leader="none"/>
          <w:tab w:pos="675" w:val="left" w:leader="none"/>
        </w:tabs>
        <w:spacing w:line="232" w:lineRule="auto" w:before="1" w:after="0"/>
        <w:ind w:left="194" w:right="38" w:firstLine="0"/>
        <w:jc w:val="left"/>
        <w:rPr>
          <w:sz w:val="18"/>
        </w:rPr>
      </w:pPr>
      <w:r>
        <w:rPr>
          <w:sz w:val="18"/>
        </w:rPr>
        <w:t>The Japanese GDP data had been heavily revised on release of the Q3 estimate. GDP was recorded to have fallen by 1% in the third quarter, but this followed an upward revision to the second quarter. Overall the new data and revisions back to 1997 left the level of GDP broadly in line with what had been expected at the time of the November </w:t>
      </w:r>
      <w:r>
        <w:rPr>
          <w:i/>
          <w:sz w:val="18"/>
        </w:rPr>
        <w:t>Inflation Report</w:t>
      </w:r>
      <w:r>
        <w:rPr>
          <w:sz w:val="18"/>
        </w:rPr>
        <w:t>. The markets had seemingly taken the view that as much weight should be placed on the upward revisions to the earlier data, as on the weaker Q3 growth number (which was subject to future revision). But if one placed more weight on the momentum implied by the recent numbers, then that would imply a less sanguine view of prospects for the Japanese economy.</w:t>
      </w:r>
    </w:p>
    <w:p>
      <w:pPr>
        <w:pStyle w:val="BodyText"/>
        <w:spacing w:before="6"/>
        <w:rPr>
          <w:sz w:val="16"/>
        </w:rPr>
      </w:pPr>
    </w:p>
    <w:p>
      <w:pPr>
        <w:pStyle w:val="ListParagraph"/>
        <w:numPr>
          <w:ilvl w:val="0"/>
          <w:numId w:val="45"/>
        </w:numPr>
        <w:tabs>
          <w:tab w:pos="674" w:val="left" w:leader="none"/>
          <w:tab w:pos="675" w:val="left" w:leader="none"/>
        </w:tabs>
        <w:spacing w:line="232" w:lineRule="auto" w:before="0" w:after="0"/>
        <w:ind w:left="194" w:right="348" w:firstLine="0"/>
        <w:jc w:val="left"/>
        <w:rPr>
          <w:sz w:val="18"/>
        </w:rPr>
      </w:pPr>
      <w:r>
        <w:rPr>
          <w:sz w:val="18"/>
        </w:rPr>
        <w:t>The news on activity in the rest of the industrial world, including the euro area, was either in line with or slightly more positive than expected over the past month. There seemed little news in emerging markets over the past month that would materially affect the prospects for UK</w:t>
      </w:r>
      <w:r>
        <w:rPr>
          <w:spacing w:val="-13"/>
          <w:sz w:val="18"/>
        </w:rPr>
        <w:t> </w:t>
      </w:r>
      <w:r>
        <w:rPr>
          <w:sz w:val="18"/>
        </w:rPr>
        <w:t>inflation.</w:t>
      </w:r>
    </w:p>
    <w:p>
      <w:pPr>
        <w:pStyle w:val="BodyText"/>
        <w:spacing w:before="1"/>
        <w:rPr>
          <w:sz w:val="17"/>
        </w:rPr>
      </w:pPr>
    </w:p>
    <w:p>
      <w:pPr>
        <w:pStyle w:val="ListParagraph"/>
        <w:numPr>
          <w:ilvl w:val="0"/>
          <w:numId w:val="45"/>
        </w:numPr>
        <w:tabs>
          <w:tab w:pos="674" w:val="left" w:leader="none"/>
          <w:tab w:pos="675" w:val="left" w:leader="none"/>
        </w:tabs>
        <w:spacing w:line="232" w:lineRule="auto" w:before="0" w:after="0"/>
        <w:ind w:left="194" w:right="78" w:firstLine="0"/>
        <w:jc w:val="left"/>
        <w:rPr>
          <w:sz w:val="18"/>
        </w:rPr>
      </w:pPr>
      <w:r>
        <w:rPr>
          <w:sz w:val="18"/>
        </w:rPr>
        <w:t>Turning to the pattern of exchange rates, the recent German data had contributed to a slight rise in the euro over the days leading</w:t>
      </w:r>
      <w:r>
        <w:rPr>
          <w:spacing w:val="-5"/>
          <w:sz w:val="18"/>
        </w:rPr>
        <w:t> </w:t>
      </w:r>
      <w:r>
        <w:rPr>
          <w:sz w:val="18"/>
        </w:rPr>
        <w:t>up</w:t>
      </w:r>
      <w:r>
        <w:rPr>
          <w:spacing w:val="-5"/>
          <w:sz w:val="18"/>
        </w:rPr>
        <w:t> </w:t>
      </w:r>
      <w:r>
        <w:rPr>
          <w:sz w:val="18"/>
        </w:rPr>
        <w:t>to</w:t>
      </w:r>
      <w:r>
        <w:rPr>
          <w:spacing w:val="-5"/>
          <w:sz w:val="18"/>
        </w:rPr>
        <w:t> </w:t>
      </w:r>
      <w:r>
        <w:rPr>
          <w:sz w:val="18"/>
        </w:rPr>
        <w:t>the</w:t>
      </w:r>
      <w:r>
        <w:rPr>
          <w:spacing w:val="-5"/>
          <w:sz w:val="18"/>
        </w:rPr>
        <w:t> </w:t>
      </w:r>
      <w:r>
        <w:rPr>
          <w:sz w:val="18"/>
        </w:rPr>
        <w:t>Committee’s</w:t>
      </w:r>
      <w:r>
        <w:rPr>
          <w:spacing w:val="-5"/>
          <w:sz w:val="18"/>
        </w:rPr>
        <w:t> </w:t>
      </w:r>
      <w:r>
        <w:rPr>
          <w:sz w:val="18"/>
        </w:rPr>
        <w:t>meeting,</w:t>
      </w:r>
      <w:r>
        <w:rPr>
          <w:spacing w:val="-5"/>
          <w:sz w:val="18"/>
        </w:rPr>
        <w:t> </w:t>
      </w:r>
      <w:r>
        <w:rPr>
          <w:sz w:val="18"/>
        </w:rPr>
        <w:t>though</w:t>
      </w:r>
      <w:r>
        <w:rPr>
          <w:spacing w:val="-5"/>
          <w:sz w:val="18"/>
        </w:rPr>
        <w:t> </w:t>
      </w:r>
      <w:r>
        <w:rPr>
          <w:sz w:val="18"/>
        </w:rPr>
        <w:t>over</w:t>
      </w:r>
      <w:r>
        <w:rPr>
          <w:spacing w:val="-5"/>
          <w:sz w:val="18"/>
        </w:rPr>
        <w:t> </w:t>
      </w:r>
      <w:r>
        <w:rPr>
          <w:sz w:val="18"/>
        </w:rPr>
        <w:t>the</w:t>
      </w:r>
      <w:r>
        <w:rPr>
          <w:spacing w:val="-5"/>
          <w:sz w:val="18"/>
        </w:rPr>
        <w:t> </w:t>
      </w:r>
      <w:r>
        <w:rPr>
          <w:sz w:val="18"/>
        </w:rPr>
        <w:t>past</w:t>
      </w:r>
      <w:r>
        <w:rPr>
          <w:spacing w:val="-5"/>
          <w:sz w:val="18"/>
        </w:rPr>
        <w:t> </w:t>
      </w:r>
      <w:r>
        <w:rPr>
          <w:sz w:val="18"/>
        </w:rPr>
        <w:t>month as a whole the euro had weakened further against the dollar. Sterling’s effective exchange rate had not changed much since the time of the November meeting, but was around 1% above the fifteen-day average used as a starting point for the projections. That strength was primarily against the euro, rather than against other currencies, reflecting more buoyant views of prospects for activity in the US and UK. Relative movements in yield curves over the period could account for some of sterling’s appreciation against the euro. Markets had now had a chance to adjust to the interest rate increases in the United States, the euro area and the United Kingdom over the past few months. There had been no immediate major effects on financial markets. Compared with some people’s prior expectations, market activity still seemed to be quite well sustained as the end of the year</w:t>
      </w:r>
      <w:r>
        <w:rPr>
          <w:spacing w:val="-20"/>
          <w:sz w:val="18"/>
        </w:rPr>
        <w:t> </w:t>
      </w:r>
      <w:r>
        <w:rPr>
          <w:sz w:val="18"/>
        </w:rPr>
        <w:t>approached.</w:t>
      </w:r>
    </w:p>
    <w:p>
      <w:pPr>
        <w:pStyle w:val="BodyText"/>
        <w:spacing w:before="6"/>
        <w:rPr>
          <w:sz w:val="19"/>
        </w:rPr>
      </w:pPr>
    </w:p>
    <w:p>
      <w:pPr>
        <w:pStyle w:val="Heading7"/>
      </w:pPr>
      <w:r>
        <w:rPr>
          <w:color w:val="009391"/>
        </w:rPr>
        <w:t>The labour market</w:t>
      </w:r>
    </w:p>
    <w:p>
      <w:pPr>
        <w:pStyle w:val="ListParagraph"/>
        <w:numPr>
          <w:ilvl w:val="0"/>
          <w:numId w:val="45"/>
        </w:numPr>
        <w:tabs>
          <w:tab w:pos="674" w:val="left" w:leader="none"/>
          <w:tab w:pos="675" w:val="left" w:leader="none"/>
        </w:tabs>
        <w:spacing w:line="232" w:lineRule="auto" w:before="109" w:after="0"/>
        <w:ind w:left="194" w:right="209" w:firstLine="0"/>
        <w:jc w:val="left"/>
        <w:rPr>
          <w:sz w:val="18"/>
        </w:rPr>
      </w:pPr>
      <w:r>
        <w:rPr>
          <w:sz w:val="18"/>
        </w:rPr>
        <w:t>The latest labour market data had by and large been as expected. There was, however, some concern among some of the Bank’s regional Agents’ contacts about prospects for the coming pay round. The Agents were also finding more widespread evidence of skill shortages, which had been building since the spring. But neither this nor any of the other survey evidence</w:t>
      </w:r>
      <w:r>
        <w:rPr>
          <w:spacing w:val="3"/>
          <w:sz w:val="18"/>
        </w:rPr>
        <w:t> </w:t>
      </w:r>
      <w:r>
        <w:rPr>
          <w:sz w:val="18"/>
        </w:rPr>
        <w:t>on</w:t>
      </w:r>
    </w:p>
    <w:p>
      <w:pPr>
        <w:pStyle w:val="BodyText"/>
        <w:spacing w:before="7"/>
        <w:rPr>
          <w:sz w:val="19"/>
        </w:rPr>
      </w:pPr>
      <w:r>
        <w:rPr/>
        <w:br w:type="column"/>
      </w:r>
      <w:r>
        <w:rPr>
          <w:sz w:val="19"/>
        </w:rPr>
      </w:r>
    </w:p>
    <w:p>
      <w:pPr>
        <w:pStyle w:val="BodyText"/>
        <w:spacing w:line="232" w:lineRule="auto" w:before="1"/>
        <w:ind w:left="194"/>
      </w:pPr>
      <w:r>
        <w:rPr/>
        <w:t>skill shortages had yet fed through to the observed earnings data. It was possible that the sentiment being picked up by the Agents was rather more about a general desire for more highly trained and educated workers rather than a cyclical point about tightness in the labour market.</w:t>
      </w:r>
    </w:p>
    <w:p>
      <w:pPr>
        <w:pStyle w:val="BodyText"/>
        <w:rPr>
          <w:sz w:val="17"/>
        </w:rPr>
      </w:pPr>
    </w:p>
    <w:p>
      <w:pPr>
        <w:pStyle w:val="ListParagraph"/>
        <w:numPr>
          <w:ilvl w:val="0"/>
          <w:numId w:val="45"/>
        </w:numPr>
        <w:tabs>
          <w:tab w:pos="674" w:val="left" w:leader="none"/>
          <w:tab w:pos="675" w:val="left" w:leader="none"/>
        </w:tabs>
        <w:spacing w:line="232" w:lineRule="auto" w:before="0" w:after="0"/>
        <w:ind w:left="194" w:right="180" w:firstLine="0"/>
        <w:jc w:val="left"/>
        <w:rPr>
          <w:sz w:val="18"/>
        </w:rPr>
      </w:pPr>
      <w:r>
        <w:rPr>
          <w:sz w:val="18"/>
        </w:rPr>
        <w:t>Some</w:t>
      </w:r>
      <w:r>
        <w:rPr>
          <w:spacing w:val="-6"/>
          <w:sz w:val="18"/>
        </w:rPr>
        <w:t> </w:t>
      </w:r>
      <w:r>
        <w:rPr>
          <w:sz w:val="18"/>
        </w:rPr>
        <w:t>data</w:t>
      </w:r>
      <w:r>
        <w:rPr>
          <w:spacing w:val="-6"/>
          <w:sz w:val="18"/>
        </w:rPr>
        <w:t> </w:t>
      </w:r>
      <w:r>
        <w:rPr>
          <w:sz w:val="18"/>
        </w:rPr>
        <w:t>presented</w:t>
      </w:r>
      <w:r>
        <w:rPr>
          <w:spacing w:val="-5"/>
          <w:sz w:val="18"/>
        </w:rPr>
        <w:t> </w:t>
      </w:r>
      <w:r>
        <w:rPr>
          <w:sz w:val="18"/>
        </w:rPr>
        <w:t>by</w:t>
      </w:r>
      <w:r>
        <w:rPr>
          <w:spacing w:val="-6"/>
          <w:sz w:val="18"/>
        </w:rPr>
        <w:t> </w:t>
      </w:r>
      <w:r>
        <w:rPr>
          <w:sz w:val="18"/>
        </w:rPr>
        <w:t>Bank</w:t>
      </w:r>
      <w:r>
        <w:rPr>
          <w:spacing w:val="-5"/>
          <w:sz w:val="18"/>
        </w:rPr>
        <w:t> </w:t>
      </w:r>
      <w:r>
        <w:rPr>
          <w:sz w:val="18"/>
        </w:rPr>
        <w:t>staff</w:t>
      </w:r>
      <w:r>
        <w:rPr>
          <w:spacing w:val="-6"/>
          <w:sz w:val="18"/>
        </w:rPr>
        <w:t> </w:t>
      </w:r>
      <w:r>
        <w:rPr>
          <w:sz w:val="18"/>
        </w:rPr>
        <w:t>on</w:t>
      </w:r>
      <w:r>
        <w:rPr>
          <w:spacing w:val="-6"/>
          <w:sz w:val="18"/>
        </w:rPr>
        <w:t> </w:t>
      </w:r>
      <w:r>
        <w:rPr>
          <w:sz w:val="18"/>
        </w:rPr>
        <w:t>employment</w:t>
      </w:r>
      <w:r>
        <w:rPr>
          <w:spacing w:val="-5"/>
          <w:sz w:val="18"/>
        </w:rPr>
        <w:t> </w:t>
      </w:r>
      <w:r>
        <w:rPr>
          <w:sz w:val="18"/>
        </w:rPr>
        <w:t>transition probabilities—flows out of various categories of inactivity—had highlighted a large number of people flowing from the category of ‘not wanting a job’ into employment within a short period of time. At first sight this was rather surprising, but might be explained by people seeing new job opportunities become available which they had not previously expected. More research was needed in this area, but so far it suggested that the pool of people who could move into employment was greater than might be thought based on more traditional and more narrowly focused measures of potential labour supply. It might help to explain why labour tightness had not fed through to earnings as fully as might have been</w:t>
      </w:r>
      <w:r>
        <w:rPr>
          <w:spacing w:val="-23"/>
          <w:sz w:val="18"/>
        </w:rPr>
        <w:t> </w:t>
      </w:r>
      <w:r>
        <w:rPr>
          <w:sz w:val="18"/>
        </w:rPr>
        <w:t>expected.</w:t>
      </w:r>
    </w:p>
    <w:p>
      <w:pPr>
        <w:pStyle w:val="BodyText"/>
        <w:spacing w:before="7"/>
        <w:rPr>
          <w:sz w:val="16"/>
        </w:rPr>
      </w:pPr>
    </w:p>
    <w:p>
      <w:pPr>
        <w:pStyle w:val="ListParagraph"/>
        <w:numPr>
          <w:ilvl w:val="0"/>
          <w:numId w:val="45"/>
        </w:numPr>
        <w:tabs>
          <w:tab w:pos="674" w:val="left" w:leader="none"/>
          <w:tab w:pos="675" w:val="left" w:leader="none"/>
        </w:tabs>
        <w:spacing w:line="232" w:lineRule="auto" w:before="0" w:after="0"/>
        <w:ind w:left="194" w:right="165" w:firstLine="0"/>
        <w:jc w:val="left"/>
        <w:rPr>
          <w:sz w:val="18"/>
        </w:rPr>
      </w:pPr>
      <w:r>
        <w:rPr>
          <w:sz w:val="18"/>
        </w:rPr>
        <w:t>No new official whole economy productivity or unit labour cost data were yet available for Q3, but manufacturing productivity had shown signs of picking up and had consequently begun to reduce the rate of increase of unit labour costs in that sector. The latest GDP data suggested that productivity growth for the whole economy might have risen to around 2% at an annualised rate in the third quarter, which would be close to its long run average. This was important, as the central projection in the November </w:t>
      </w:r>
      <w:r>
        <w:rPr>
          <w:i/>
          <w:sz w:val="18"/>
        </w:rPr>
        <w:t>Report </w:t>
      </w:r>
      <w:r>
        <w:rPr>
          <w:sz w:val="18"/>
        </w:rPr>
        <w:t>had assumed a recovery in whole economy productivity growth over the forecast period. The fall in profit margins could not go on forever, and required a continuing intensification of competitive pressures. Unless there was an even stronger recovery in productivity</w:t>
      </w:r>
      <w:r>
        <w:rPr>
          <w:spacing w:val="-7"/>
          <w:sz w:val="18"/>
        </w:rPr>
        <w:t> </w:t>
      </w:r>
      <w:r>
        <w:rPr>
          <w:sz w:val="18"/>
        </w:rPr>
        <w:t>growth</w:t>
      </w:r>
      <w:r>
        <w:rPr>
          <w:spacing w:val="-6"/>
          <w:sz w:val="18"/>
        </w:rPr>
        <w:t> </w:t>
      </w:r>
      <w:r>
        <w:rPr>
          <w:sz w:val="18"/>
        </w:rPr>
        <w:t>than</w:t>
      </w:r>
      <w:r>
        <w:rPr>
          <w:spacing w:val="-6"/>
          <w:sz w:val="18"/>
        </w:rPr>
        <w:t> </w:t>
      </w:r>
      <w:r>
        <w:rPr>
          <w:sz w:val="18"/>
        </w:rPr>
        <w:t>had</w:t>
      </w:r>
      <w:r>
        <w:rPr>
          <w:spacing w:val="-6"/>
          <w:sz w:val="18"/>
        </w:rPr>
        <w:t> </w:t>
      </w:r>
      <w:r>
        <w:rPr>
          <w:sz w:val="18"/>
        </w:rPr>
        <w:t>been</w:t>
      </w:r>
      <w:r>
        <w:rPr>
          <w:spacing w:val="-6"/>
          <w:sz w:val="18"/>
        </w:rPr>
        <w:t> </w:t>
      </w:r>
      <w:r>
        <w:rPr>
          <w:sz w:val="18"/>
        </w:rPr>
        <w:t>assumed,</w:t>
      </w:r>
      <w:r>
        <w:rPr>
          <w:spacing w:val="-6"/>
          <w:sz w:val="18"/>
        </w:rPr>
        <w:t> </w:t>
      </w:r>
      <w:r>
        <w:rPr>
          <w:sz w:val="18"/>
        </w:rPr>
        <w:t>earnings</w:t>
      </w:r>
      <w:r>
        <w:rPr>
          <w:spacing w:val="-7"/>
          <w:sz w:val="18"/>
        </w:rPr>
        <w:t> </w:t>
      </w:r>
      <w:r>
        <w:rPr>
          <w:sz w:val="18"/>
        </w:rPr>
        <w:t>growth</w:t>
      </w:r>
      <w:r>
        <w:rPr>
          <w:spacing w:val="-6"/>
          <w:sz w:val="18"/>
        </w:rPr>
        <w:t> </w:t>
      </w:r>
      <w:r>
        <w:rPr>
          <w:sz w:val="18"/>
        </w:rPr>
        <w:t>would need to turn out as low as assumed for the central projection of inflation to hold. Even then, unless productivity growth improved further, inflation would tend to rise at some point in the future, as the short-run downward price effects—of lower margins and a strengthening exchange rate—wore off and the effect of the underlying strength of demand began to</w:t>
      </w:r>
      <w:r>
        <w:rPr>
          <w:spacing w:val="-13"/>
          <w:sz w:val="18"/>
        </w:rPr>
        <w:t> </w:t>
      </w:r>
      <w:r>
        <w:rPr>
          <w:sz w:val="18"/>
        </w:rPr>
        <w:t>dominate.</w:t>
      </w:r>
    </w:p>
    <w:p>
      <w:pPr>
        <w:pStyle w:val="BodyText"/>
        <w:spacing w:before="1"/>
        <w:rPr>
          <w:sz w:val="16"/>
        </w:rPr>
      </w:pPr>
    </w:p>
    <w:p>
      <w:pPr>
        <w:pStyle w:val="ListParagraph"/>
        <w:numPr>
          <w:ilvl w:val="0"/>
          <w:numId w:val="45"/>
        </w:numPr>
        <w:tabs>
          <w:tab w:pos="674" w:val="left" w:leader="none"/>
          <w:tab w:pos="675" w:val="left" w:leader="none"/>
        </w:tabs>
        <w:spacing w:line="232" w:lineRule="auto" w:before="0" w:after="0"/>
        <w:ind w:left="194" w:right="166" w:firstLine="0"/>
        <w:jc w:val="left"/>
        <w:rPr>
          <w:sz w:val="18"/>
        </w:rPr>
      </w:pPr>
      <w:r>
        <w:rPr>
          <w:sz w:val="18"/>
        </w:rPr>
        <w:t>Members of the Committee reflected on the November central projection for real earnings growth. The earnings profile in the central projection was somewhat lower than the average of outside forecasts made for 2000, and given the evidence of skill shortages it was possible that the risks to this projection were more clearly on the upside. But some members retained doubts about the interpretation</w:t>
      </w:r>
      <w:r>
        <w:rPr>
          <w:spacing w:val="-5"/>
          <w:sz w:val="18"/>
        </w:rPr>
        <w:t> </w:t>
      </w:r>
      <w:r>
        <w:rPr>
          <w:sz w:val="18"/>
        </w:rPr>
        <w:t>of</w:t>
      </w:r>
      <w:r>
        <w:rPr>
          <w:spacing w:val="-4"/>
          <w:sz w:val="18"/>
        </w:rPr>
        <w:t> </w:t>
      </w:r>
      <w:r>
        <w:rPr>
          <w:sz w:val="18"/>
        </w:rPr>
        <w:t>the</w:t>
      </w:r>
      <w:r>
        <w:rPr>
          <w:spacing w:val="-5"/>
          <w:sz w:val="18"/>
        </w:rPr>
        <w:t> </w:t>
      </w:r>
      <w:r>
        <w:rPr>
          <w:sz w:val="18"/>
        </w:rPr>
        <w:t>data,</w:t>
      </w:r>
      <w:r>
        <w:rPr>
          <w:spacing w:val="-4"/>
          <w:sz w:val="18"/>
        </w:rPr>
        <w:t> </w:t>
      </w:r>
      <w:r>
        <w:rPr>
          <w:sz w:val="18"/>
        </w:rPr>
        <w:t>and</w:t>
      </w:r>
      <w:r>
        <w:rPr>
          <w:spacing w:val="-5"/>
          <w:sz w:val="18"/>
        </w:rPr>
        <w:t> </w:t>
      </w:r>
      <w:r>
        <w:rPr>
          <w:sz w:val="18"/>
        </w:rPr>
        <w:t>as</w:t>
      </w:r>
      <w:r>
        <w:rPr>
          <w:spacing w:val="-4"/>
          <w:sz w:val="18"/>
        </w:rPr>
        <w:t> </w:t>
      </w:r>
      <w:r>
        <w:rPr>
          <w:sz w:val="18"/>
        </w:rPr>
        <w:t>yet</w:t>
      </w:r>
      <w:r>
        <w:rPr>
          <w:spacing w:val="-5"/>
          <w:sz w:val="18"/>
        </w:rPr>
        <w:t> </w:t>
      </w:r>
      <w:r>
        <w:rPr>
          <w:sz w:val="18"/>
        </w:rPr>
        <w:t>there</w:t>
      </w:r>
      <w:r>
        <w:rPr>
          <w:spacing w:val="-4"/>
          <w:sz w:val="18"/>
        </w:rPr>
        <w:t> </w:t>
      </w:r>
      <w:r>
        <w:rPr>
          <w:sz w:val="18"/>
        </w:rPr>
        <w:t>was</w:t>
      </w:r>
      <w:r>
        <w:rPr>
          <w:spacing w:val="-4"/>
          <w:sz w:val="18"/>
        </w:rPr>
        <w:t> </w:t>
      </w:r>
      <w:r>
        <w:rPr>
          <w:sz w:val="18"/>
        </w:rPr>
        <w:t>no</w:t>
      </w:r>
      <w:r>
        <w:rPr>
          <w:spacing w:val="-5"/>
          <w:sz w:val="18"/>
        </w:rPr>
        <w:t> </w:t>
      </w:r>
      <w:r>
        <w:rPr>
          <w:sz w:val="18"/>
        </w:rPr>
        <w:t>firm</w:t>
      </w:r>
      <w:r>
        <w:rPr>
          <w:spacing w:val="-4"/>
          <w:sz w:val="18"/>
        </w:rPr>
        <w:t> </w:t>
      </w:r>
      <w:r>
        <w:rPr>
          <w:sz w:val="18"/>
        </w:rPr>
        <w:t>evidence</w:t>
      </w:r>
      <w:r>
        <w:rPr>
          <w:spacing w:val="-5"/>
          <w:sz w:val="18"/>
        </w:rPr>
        <w:t> </w:t>
      </w:r>
      <w:r>
        <w:rPr>
          <w:sz w:val="18"/>
        </w:rPr>
        <w:t>that the outturn for earnings growth was diverging markedly from the central projection made in November. This question would need to be re-examined in the context of the February forecast</w:t>
      </w:r>
      <w:r>
        <w:rPr>
          <w:spacing w:val="-28"/>
          <w:sz w:val="18"/>
        </w:rPr>
        <w:t> </w:t>
      </w:r>
      <w:r>
        <w:rPr>
          <w:sz w:val="18"/>
        </w:rPr>
        <w:t>round.</w:t>
      </w:r>
    </w:p>
    <w:p>
      <w:pPr>
        <w:pStyle w:val="BodyText"/>
        <w:rPr>
          <w:sz w:val="20"/>
        </w:rPr>
      </w:pPr>
    </w:p>
    <w:p>
      <w:pPr>
        <w:pStyle w:val="Heading7"/>
      </w:pPr>
      <w:r>
        <w:rPr>
          <w:color w:val="009391"/>
        </w:rPr>
        <w:t>Tactical considerations</w:t>
      </w:r>
    </w:p>
    <w:p>
      <w:pPr>
        <w:pStyle w:val="ListParagraph"/>
        <w:numPr>
          <w:ilvl w:val="0"/>
          <w:numId w:val="45"/>
        </w:numPr>
        <w:tabs>
          <w:tab w:pos="674" w:val="left" w:leader="none"/>
          <w:tab w:pos="675" w:val="left" w:leader="none"/>
        </w:tabs>
        <w:spacing w:line="232" w:lineRule="auto" w:before="110" w:after="0"/>
        <w:ind w:left="194" w:right="156" w:firstLine="0"/>
        <w:jc w:val="left"/>
        <w:rPr>
          <w:sz w:val="18"/>
        </w:rPr>
      </w:pPr>
      <w:r>
        <w:rPr>
          <w:sz w:val="18"/>
        </w:rPr>
        <w:t>There were several tactical considerations discussed this month. First, the Committee concluded that there was no reason to change the view outlined in the minutes of the September meeting that the Y2K period should not constrain UK monetary policy setting. However, there was a related consideration concerning the data. The uncertainties about the size of millennium-related effects might make it more than usually difficult to interpret the data relating to the period covering the year-end; particular examples were for consumer spending, investment, money and earnings. In each case there would be difficulty in reaching a clear interpretation of the data immediately after the turn of the year. But it was always difficult to interpret the data for, say, retail sales around Christmas and the New Year.  It was not clear that this fog would be that much thicker than usual, and it would not preclude making a change in interest rates in either December or</w:t>
      </w:r>
      <w:r>
        <w:rPr>
          <w:spacing w:val="-18"/>
          <w:sz w:val="18"/>
        </w:rPr>
        <w:t> </w:t>
      </w:r>
      <w:r>
        <w:rPr>
          <w:sz w:val="18"/>
        </w:rPr>
        <w:t>January.</w:t>
      </w:r>
    </w:p>
    <w:p>
      <w:pPr>
        <w:pStyle w:val="BodyText"/>
        <w:spacing w:before="7"/>
        <w:rPr>
          <w:sz w:val="19"/>
        </w:rPr>
      </w:pPr>
    </w:p>
    <w:p>
      <w:pPr>
        <w:pStyle w:val="Heading7"/>
      </w:pPr>
      <w:r>
        <w:rPr>
          <w:color w:val="009391"/>
        </w:rPr>
        <w:t>The immediate policy decision</w:t>
      </w:r>
    </w:p>
    <w:p>
      <w:pPr>
        <w:pStyle w:val="ListParagraph"/>
        <w:numPr>
          <w:ilvl w:val="0"/>
          <w:numId w:val="45"/>
        </w:numPr>
        <w:tabs>
          <w:tab w:pos="674" w:val="left" w:leader="none"/>
          <w:tab w:pos="675" w:val="left" w:leader="none"/>
        </w:tabs>
        <w:spacing w:line="232" w:lineRule="auto" w:before="110" w:after="0"/>
        <w:ind w:left="194" w:right="195" w:firstLine="0"/>
        <w:jc w:val="left"/>
        <w:rPr>
          <w:sz w:val="18"/>
        </w:rPr>
      </w:pPr>
      <w:r>
        <w:rPr>
          <w:sz w:val="18"/>
        </w:rPr>
        <w:t>Some members thought that the balance of arguments was in favour</w:t>
      </w:r>
      <w:r>
        <w:rPr>
          <w:spacing w:val="-4"/>
          <w:sz w:val="18"/>
        </w:rPr>
        <w:t> </w:t>
      </w:r>
      <w:r>
        <w:rPr>
          <w:sz w:val="18"/>
        </w:rPr>
        <w:t>of</w:t>
      </w:r>
      <w:r>
        <w:rPr>
          <w:spacing w:val="-3"/>
          <w:sz w:val="18"/>
        </w:rPr>
        <w:t> </w:t>
      </w:r>
      <w:r>
        <w:rPr>
          <w:sz w:val="18"/>
        </w:rPr>
        <w:t>a</w:t>
      </w:r>
      <w:r>
        <w:rPr>
          <w:spacing w:val="-3"/>
          <w:sz w:val="18"/>
        </w:rPr>
        <w:t> </w:t>
      </w:r>
      <w:r>
        <w:rPr>
          <w:sz w:val="18"/>
        </w:rPr>
        <w:t>rise</w:t>
      </w:r>
      <w:r>
        <w:rPr>
          <w:spacing w:val="-4"/>
          <w:sz w:val="18"/>
        </w:rPr>
        <w:t> </w:t>
      </w:r>
      <w:r>
        <w:rPr>
          <w:sz w:val="18"/>
        </w:rPr>
        <w:t>in</w:t>
      </w:r>
      <w:r>
        <w:rPr>
          <w:spacing w:val="-3"/>
          <w:sz w:val="18"/>
        </w:rPr>
        <w:t> </w:t>
      </w:r>
      <w:r>
        <w:rPr>
          <w:sz w:val="18"/>
        </w:rPr>
        <w:t>interest</w:t>
      </w:r>
      <w:r>
        <w:rPr>
          <w:spacing w:val="-3"/>
          <w:sz w:val="18"/>
        </w:rPr>
        <w:t> </w:t>
      </w:r>
      <w:r>
        <w:rPr>
          <w:sz w:val="18"/>
        </w:rPr>
        <w:t>rates</w:t>
      </w:r>
      <w:r>
        <w:rPr>
          <w:spacing w:val="-4"/>
          <w:sz w:val="18"/>
        </w:rPr>
        <w:t> </w:t>
      </w:r>
      <w:r>
        <w:rPr>
          <w:sz w:val="18"/>
        </w:rPr>
        <w:t>of</w:t>
      </w:r>
      <w:r>
        <w:rPr>
          <w:spacing w:val="-3"/>
          <w:sz w:val="18"/>
        </w:rPr>
        <w:t> </w:t>
      </w:r>
      <w:r>
        <w:rPr>
          <w:sz w:val="18"/>
        </w:rPr>
        <w:t>25</w:t>
      </w:r>
      <w:r>
        <w:rPr>
          <w:spacing w:val="-2"/>
          <w:sz w:val="18"/>
        </w:rPr>
        <w:t> </w:t>
      </w:r>
      <w:r>
        <w:rPr>
          <w:sz w:val="18"/>
        </w:rPr>
        <w:t>basis</w:t>
      </w:r>
      <w:r>
        <w:rPr>
          <w:spacing w:val="-4"/>
          <w:sz w:val="18"/>
        </w:rPr>
        <w:t> </w:t>
      </w:r>
      <w:r>
        <w:rPr>
          <w:sz w:val="18"/>
        </w:rPr>
        <w:t>points</w:t>
      </w:r>
      <w:r>
        <w:rPr>
          <w:spacing w:val="-3"/>
          <w:sz w:val="18"/>
        </w:rPr>
        <w:t> </w:t>
      </w:r>
      <w:r>
        <w:rPr>
          <w:sz w:val="18"/>
        </w:rPr>
        <w:t>this</w:t>
      </w:r>
      <w:r>
        <w:rPr>
          <w:spacing w:val="-3"/>
          <w:sz w:val="18"/>
        </w:rPr>
        <w:t> </w:t>
      </w:r>
      <w:r>
        <w:rPr>
          <w:sz w:val="18"/>
        </w:rPr>
        <w:t>month,</w:t>
      </w:r>
      <w:r>
        <w:rPr>
          <w:spacing w:val="-4"/>
          <w:sz w:val="18"/>
        </w:rPr>
        <w:t> </w:t>
      </w:r>
      <w:r>
        <w:rPr>
          <w:sz w:val="18"/>
        </w:rPr>
        <w:t>but</w:t>
      </w:r>
    </w:p>
    <w:p>
      <w:pPr>
        <w:spacing w:after="0" w:line="232" w:lineRule="auto"/>
        <w:jc w:val="left"/>
        <w:rPr>
          <w:sz w:val="18"/>
        </w:rPr>
        <w:sectPr>
          <w:type w:val="continuous"/>
          <w:pgSz w:w="11900" w:h="16840"/>
          <w:pgMar w:top="1220" w:bottom="280" w:left="620" w:right="640"/>
          <w:cols w:num="2" w:equalWidth="0">
            <w:col w:w="5138" w:space="247"/>
            <w:col w:w="5255"/>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4"/>
        <w:rPr>
          <w:sz w:val="21"/>
        </w:rPr>
      </w:pPr>
    </w:p>
    <w:p>
      <w:pPr>
        <w:pStyle w:val="BodyText"/>
        <w:spacing w:line="232" w:lineRule="auto" w:before="1"/>
        <w:ind w:left="160" w:right="174"/>
      </w:pPr>
      <w:r>
        <w:rPr/>
        <w:t>attached different weights to the various supporting factors. First, for those members who had contemplated voting for a 50 basis point increase in interest rates in November (rather than 25), there did not need to be much news on the month to justify a further</w:t>
      </w:r>
    </w:p>
    <w:p>
      <w:pPr>
        <w:pStyle w:val="BodyText"/>
        <w:spacing w:line="232" w:lineRule="auto"/>
        <w:ind w:left="160" w:right="39"/>
      </w:pPr>
      <w:r>
        <w:rPr/>
        <w:t>25 basis point rise in rates now. Second, and related to this, the latest data did on balance suggest the central projection for inflation would be a little higher than thought a month ago. The latest evidence on activity was at least as strong as expected a month ago, and suggested that the pace of output growth might not slow as envisaged in the central case. In particular, world demand now seemed to be strengthening, and some of the influences on UK consumption growth—wealth, real incomes and borrowing— seemed to have remained strong or to have strengthened over the past month. On prices, there had been signs of a compression of retail margins, and sterling had strengthened which would put further downward pressure on the price level. But the oil price had risen further. Third, the position of the UK economy looked very different from when the last reduction in interest rates had been made in June. It was unclear whether the 50 basis point rise in rates since the summer would be sufficient to slow the economy to a more</w:t>
      </w:r>
      <w:r>
        <w:rPr>
          <w:spacing w:val="-5"/>
        </w:rPr>
        <w:t> </w:t>
      </w:r>
      <w:r>
        <w:rPr/>
        <w:t>sustainable</w:t>
      </w:r>
      <w:r>
        <w:rPr>
          <w:spacing w:val="-5"/>
        </w:rPr>
        <w:t> </w:t>
      </w:r>
      <w:r>
        <w:rPr/>
        <w:t>pace,</w:t>
      </w:r>
      <w:r>
        <w:rPr>
          <w:spacing w:val="-5"/>
        </w:rPr>
        <w:t> </w:t>
      </w:r>
      <w:r>
        <w:rPr/>
        <w:t>and</w:t>
      </w:r>
      <w:r>
        <w:rPr>
          <w:spacing w:val="-5"/>
        </w:rPr>
        <w:t> </w:t>
      </w:r>
      <w:r>
        <w:rPr/>
        <w:t>a</w:t>
      </w:r>
      <w:r>
        <w:rPr>
          <w:spacing w:val="-5"/>
        </w:rPr>
        <w:t> </w:t>
      </w:r>
      <w:r>
        <w:rPr/>
        <w:t>rise</w:t>
      </w:r>
      <w:r>
        <w:rPr>
          <w:spacing w:val="-4"/>
        </w:rPr>
        <w:t> </w:t>
      </w:r>
      <w:r>
        <w:rPr/>
        <w:t>in</w:t>
      </w:r>
      <w:r>
        <w:rPr>
          <w:spacing w:val="-5"/>
        </w:rPr>
        <w:t> </w:t>
      </w:r>
      <w:r>
        <w:rPr/>
        <w:t>rates</w:t>
      </w:r>
      <w:r>
        <w:rPr>
          <w:spacing w:val="-5"/>
        </w:rPr>
        <w:t> </w:t>
      </w:r>
      <w:r>
        <w:rPr/>
        <w:t>now</w:t>
      </w:r>
      <w:r>
        <w:rPr>
          <w:spacing w:val="-5"/>
        </w:rPr>
        <w:t> </w:t>
      </w:r>
      <w:r>
        <w:rPr/>
        <w:t>might</w:t>
      </w:r>
      <w:r>
        <w:rPr>
          <w:spacing w:val="-5"/>
        </w:rPr>
        <w:t> </w:t>
      </w:r>
      <w:r>
        <w:rPr/>
        <w:t>helpfully</w:t>
      </w:r>
      <w:r>
        <w:rPr>
          <w:spacing w:val="-4"/>
        </w:rPr>
        <w:t> </w:t>
      </w:r>
      <w:r>
        <w:rPr/>
        <w:t>affect expectations.  Fourth, the projection for inflation made in November had an upward slope at the two-year horizon. The passage of each month meant that other things being equal the projection for inflation would be higher two years ahead.  So even if there were no news on the month there could be a case for a rise in interest rates. Fifth, in the view of some members, the risks of making a big monetary policy mistake were greater on the upside, and stemmed from the potential for the tightening labour market to begin to feed through rapidly to wages and prices, which suggested raising rates sooner rather than later. Overall, the case for raising rates this month, rather than delaying, was not a matter of urgency, but on balance the evidence pointed to the need for a further rise in the repo rate of 25 basis</w:t>
      </w:r>
      <w:r>
        <w:rPr>
          <w:spacing w:val="-8"/>
        </w:rPr>
        <w:t> </w:t>
      </w:r>
      <w:r>
        <w:rPr/>
        <w:t>points.</w:t>
      </w:r>
    </w:p>
    <w:p>
      <w:pPr>
        <w:pStyle w:val="ListParagraph"/>
        <w:numPr>
          <w:ilvl w:val="0"/>
          <w:numId w:val="46"/>
        </w:numPr>
        <w:tabs>
          <w:tab w:pos="639" w:val="left" w:leader="none"/>
          <w:tab w:pos="640" w:val="left" w:leader="none"/>
        </w:tabs>
        <w:spacing w:line="232" w:lineRule="auto" w:before="173" w:after="0"/>
        <w:ind w:left="160" w:right="38" w:firstLine="0"/>
        <w:jc w:val="left"/>
        <w:rPr>
          <w:sz w:val="18"/>
        </w:rPr>
      </w:pPr>
      <w:r>
        <w:rPr>
          <w:sz w:val="18"/>
        </w:rPr>
        <w:t>A second view was that there was no need for a change in interest rates this month. On this view, the news on demand and output was broadly as expected at the time of the </w:t>
      </w:r>
      <w:r>
        <w:rPr>
          <w:i/>
          <w:sz w:val="18"/>
        </w:rPr>
        <w:t>Inflation Report</w:t>
      </w:r>
      <w:r>
        <w:rPr>
          <w:sz w:val="18"/>
        </w:rPr>
        <w:t>, albeit with the risks perhaps now slightly more on the upside. The news on labour market quantities was also slightly tighter than expected. However, the likely short-term profile for inflation was if anything a little lower than thought a month ago. Indeed, the downward effects on prices from reductions in utilities prices, removal of fuel and tobacco escalators and increasing competition could well be larger than had been built into the published central projection in November. Overall, neither the news on demand nor that on prices this month was conclusive. The data continued to highlight the same short-run trade-off puzzle between output and prices discussed last month in the </w:t>
      </w:r>
      <w:r>
        <w:rPr>
          <w:i/>
          <w:sz w:val="18"/>
        </w:rPr>
        <w:t>Report </w:t>
      </w:r>
      <w:r>
        <w:rPr>
          <w:sz w:val="18"/>
        </w:rPr>
        <w:t>and the minutes of the Committee’s previous meeting. Looking forward, the prospects were</w:t>
      </w:r>
      <w:r>
        <w:rPr>
          <w:spacing w:val="-4"/>
          <w:sz w:val="18"/>
        </w:rPr>
        <w:t> </w:t>
      </w:r>
      <w:r>
        <w:rPr>
          <w:sz w:val="18"/>
        </w:rPr>
        <w:t>still</w:t>
      </w:r>
      <w:r>
        <w:rPr>
          <w:spacing w:val="-4"/>
          <w:sz w:val="18"/>
        </w:rPr>
        <w:t> </w:t>
      </w:r>
      <w:r>
        <w:rPr>
          <w:sz w:val="18"/>
        </w:rPr>
        <w:t>for</w:t>
      </w:r>
      <w:r>
        <w:rPr>
          <w:spacing w:val="-3"/>
          <w:sz w:val="18"/>
        </w:rPr>
        <w:t> </w:t>
      </w:r>
      <w:r>
        <w:rPr>
          <w:sz w:val="18"/>
        </w:rPr>
        <w:t>rising</w:t>
      </w:r>
      <w:r>
        <w:rPr>
          <w:spacing w:val="-4"/>
          <w:sz w:val="18"/>
        </w:rPr>
        <w:t> </w:t>
      </w:r>
      <w:r>
        <w:rPr>
          <w:sz w:val="18"/>
        </w:rPr>
        <w:t>inflation</w:t>
      </w:r>
      <w:r>
        <w:rPr>
          <w:spacing w:val="-4"/>
          <w:sz w:val="18"/>
        </w:rPr>
        <w:t> </w:t>
      </w:r>
      <w:r>
        <w:rPr>
          <w:sz w:val="18"/>
        </w:rPr>
        <w:t>at</w:t>
      </w:r>
      <w:r>
        <w:rPr>
          <w:spacing w:val="-3"/>
          <w:sz w:val="18"/>
        </w:rPr>
        <w:t> </w:t>
      </w:r>
      <w:r>
        <w:rPr>
          <w:sz w:val="18"/>
        </w:rPr>
        <w:t>the</w:t>
      </w:r>
      <w:r>
        <w:rPr>
          <w:spacing w:val="-4"/>
          <w:sz w:val="18"/>
        </w:rPr>
        <w:t> </w:t>
      </w:r>
      <w:r>
        <w:rPr>
          <w:sz w:val="18"/>
        </w:rPr>
        <w:t>two-year</w:t>
      </w:r>
      <w:r>
        <w:rPr>
          <w:spacing w:val="-3"/>
          <w:sz w:val="18"/>
        </w:rPr>
        <w:t> </w:t>
      </w:r>
      <w:r>
        <w:rPr>
          <w:sz w:val="18"/>
        </w:rPr>
        <w:t>horizon,</w:t>
      </w:r>
      <w:r>
        <w:rPr>
          <w:spacing w:val="-4"/>
          <w:sz w:val="18"/>
        </w:rPr>
        <w:t> </w:t>
      </w:r>
      <w:r>
        <w:rPr>
          <w:sz w:val="18"/>
        </w:rPr>
        <w:t>so</w:t>
      </w:r>
      <w:r>
        <w:rPr>
          <w:spacing w:val="-4"/>
          <w:sz w:val="18"/>
        </w:rPr>
        <w:t> </w:t>
      </w:r>
      <w:r>
        <w:rPr>
          <w:sz w:val="18"/>
        </w:rPr>
        <w:t>a</w:t>
      </w:r>
      <w:r>
        <w:rPr>
          <w:spacing w:val="-3"/>
          <w:sz w:val="18"/>
        </w:rPr>
        <w:t> </w:t>
      </w:r>
      <w:r>
        <w:rPr>
          <w:sz w:val="18"/>
        </w:rPr>
        <w:t>further</w:t>
      </w:r>
    </w:p>
    <w:p>
      <w:pPr>
        <w:pStyle w:val="BodyText"/>
        <w:spacing w:before="4"/>
        <w:rPr>
          <w:sz w:val="21"/>
        </w:rPr>
      </w:pPr>
      <w:r>
        <w:rPr/>
        <w:br w:type="column"/>
      </w:r>
      <w:r>
        <w:rPr>
          <w:sz w:val="21"/>
        </w:rPr>
      </w:r>
    </w:p>
    <w:p>
      <w:pPr>
        <w:pStyle w:val="BodyText"/>
        <w:spacing w:line="232" w:lineRule="auto" w:before="1"/>
        <w:ind w:left="160" w:right="181"/>
      </w:pPr>
      <w:r>
        <w:rPr/>
        <w:t>tightening would probably be needed at some stage if the economy continued along the path outlined in the published November central projection. In particular, given the latest news on labour market quantities and skill shortages, it was possible that the central projection for earnings growth in 2000 made at the time of the November </w:t>
      </w:r>
      <w:r>
        <w:rPr>
          <w:i/>
        </w:rPr>
        <w:t>Inflation Report </w:t>
      </w:r>
      <w:r>
        <w:rPr/>
        <w:t>was now too low. But there would be more hard evidence on earnings fairly soon as many settlements were agreed early in the New Year, and the risk of waiting another month or two would be unlikely to give rise to a big policy mistake given the saucer-shaped projection for inflation. There was time to wait and see if signs of earnings and price pressures emerged.</w:t>
      </w:r>
    </w:p>
    <w:p>
      <w:pPr>
        <w:pStyle w:val="BodyText"/>
        <w:spacing w:line="193" w:lineRule="exact"/>
        <w:ind w:left="160"/>
      </w:pPr>
      <w:r>
        <w:rPr/>
        <w:t>There was therefore no need to change interest rates this month.</w:t>
      </w:r>
    </w:p>
    <w:p>
      <w:pPr>
        <w:pStyle w:val="BodyText"/>
        <w:spacing w:before="2"/>
        <w:rPr>
          <w:sz w:val="17"/>
        </w:rPr>
      </w:pPr>
    </w:p>
    <w:p>
      <w:pPr>
        <w:pStyle w:val="ListParagraph"/>
        <w:numPr>
          <w:ilvl w:val="0"/>
          <w:numId w:val="46"/>
        </w:numPr>
        <w:tabs>
          <w:tab w:pos="639" w:val="left" w:leader="none"/>
          <w:tab w:pos="640" w:val="left" w:leader="none"/>
        </w:tabs>
        <w:spacing w:line="232" w:lineRule="auto" w:before="0" w:after="0"/>
        <w:ind w:left="160" w:right="171" w:firstLine="0"/>
        <w:jc w:val="left"/>
        <w:rPr>
          <w:sz w:val="18"/>
        </w:rPr>
      </w:pPr>
      <w:r>
        <w:rPr>
          <w:sz w:val="18"/>
        </w:rPr>
        <w:t>A third view also led to a conclusion that no change in interest rates was needed this month. On this view, the latest indicators were consistent with a slowdown in the rate of growth of domestic demand and output through the fourth quarter of 1999 and beyond, and the short-term profile for inflation was at least as weak as in the central projection in the </w:t>
      </w:r>
      <w:r>
        <w:rPr>
          <w:i/>
          <w:sz w:val="18"/>
        </w:rPr>
        <w:t>Inflation Report</w:t>
      </w:r>
      <w:r>
        <w:rPr>
          <w:sz w:val="18"/>
        </w:rPr>
        <w:t>. The exchange rate</w:t>
      </w:r>
      <w:r>
        <w:rPr>
          <w:spacing w:val="-6"/>
          <w:sz w:val="18"/>
        </w:rPr>
        <w:t> </w:t>
      </w:r>
      <w:r>
        <w:rPr>
          <w:sz w:val="18"/>
        </w:rPr>
        <w:t>had</w:t>
      </w:r>
      <w:r>
        <w:rPr>
          <w:spacing w:val="-6"/>
          <w:sz w:val="18"/>
        </w:rPr>
        <w:t> </w:t>
      </w:r>
      <w:r>
        <w:rPr>
          <w:sz w:val="18"/>
        </w:rPr>
        <w:t>appreciated</w:t>
      </w:r>
      <w:r>
        <w:rPr>
          <w:spacing w:val="-5"/>
          <w:sz w:val="18"/>
        </w:rPr>
        <w:t> </w:t>
      </w:r>
      <w:r>
        <w:rPr>
          <w:sz w:val="18"/>
        </w:rPr>
        <w:t>compared</w:t>
      </w:r>
      <w:r>
        <w:rPr>
          <w:spacing w:val="-6"/>
          <w:sz w:val="18"/>
        </w:rPr>
        <w:t> </w:t>
      </w:r>
      <w:r>
        <w:rPr>
          <w:sz w:val="18"/>
        </w:rPr>
        <w:t>with</w:t>
      </w:r>
      <w:r>
        <w:rPr>
          <w:spacing w:val="-6"/>
          <w:sz w:val="18"/>
        </w:rPr>
        <w:t> </w:t>
      </w:r>
      <w:r>
        <w:rPr>
          <w:sz w:val="18"/>
        </w:rPr>
        <w:t>the</w:t>
      </w:r>
      <w:r>
        <w:rPr>
          <w:spacing w:val="-5"/>
          <w:sz w:val="18"/>
        </w:rPr>
        <w:t> </w:t>
      </w:r>
      <w:r>
        <w:rPr>
          <w:sz w:val="18"/>
        </w:rPr>
        <w:t>central</w:t>
      </w:r>
      <w:r>
        <w:rPr>
          <w:spacing w:val="-6"/>
          <w:sz w:val="18"/>
        </w:rPr>
        <w:t> </w:t>
      </w:r>
      <w:r>
        <w:rPr>
          <w:sz w:val="18"/>
        </w:rPr>
        <w:t>assumption,</w:t>
      </w:r>
      <w:r>
        <w:rPr>
          <w:spacing w:val="-6"/>
          <w:sz w:val="18"/>
        </w:rPr>
        <w:t> </w:t>
      </w:r>
      <w:r>
        <w:rPr>
          <w:sz w:val="18"/>
        </w:rPr>
        <w:t>and</w:t>
      </w:r>
      <w:r>
        <w:rPr>
          <w:spacing w:val="-5"/>
          <w:sz w:val="18"/>
        </w:rPr>
        <w:t> </w:t>
      </w:r>
      <w:r>
        <w:rPr>
          <w:sz w:val="18"/>
        </w:rPr>
        <w:t>was closest to the constant exchange rate profile described in the November </w:t>
      </w:r>
      <w:r>
        <w:rPr>
          <w:i/>
          <w:sz w:val="18"/>
        </w:rPr>
        <w:t>Inflation Report </w:t>
      </w:r>
      <w:r>
        <w:rPr>
          <w:sz w:val="18"/>
        </w:rPr>
        <w:t>(see pages 48 and 58). A higher exchange rate would put more downward pressure on prices than implied by the November central projection. On this view it was prudent to wait and gauge the impact of the two previous increases in interest rates since the summer, and to see whether there would be a further intensification of competitive pressures. A rise in interest rates now would risk pushing inflation further below the target.</w:t>
      </w:r>
    </w:p>
    <w:p>
      <w:pPr>
        <w:pStyle w:val="BodyText"/>
        <w:spacing w:before="4"/>
        <w:rPr>
          <w:sz w:val="16"/>
        </w:rPr>
      </w:pPr>
    </w:p>
    <w:p>
      <w:pPr>
        <w:pStyle w:val="ListParagraph"/>
        <w:numPr>
          <w:ilvl w:val="0"/>
          <w:numId w:val="46"/>
        </w:numPr>
        <w:tabs>
          <w:tab w:pos="639" w:val="left" w:leader="none"/>
          <w:tab w:pos="640" w:val="left" w:leader="none"/>
        </w:tabs>
        <w:spacing w:line="232" w:lineRule="auto" w:before="0" w:after="0"/>
        <w:ind w:left="160" w:right="310" w:firstLine="0"/>
        <w:jc w:val="left"/>
        <w:rPr>
          <w:sz w:val="18"/>
        </w:rPr>
      </w:pPr>
      <w:r>
        <w:rPr>
          <w:sz w:val="18"/>
        </w:rPr>
        <w:t>The Governor invited members to vote on the proposition that the Bank’s repo rate be maintained at 5.5%. Six members of the</w:t>
      </w:r>
      <w:r>
        <w:rPr>
          <w:spacing w:val="-7"/>
          <w:sz w:val="18"/>
        </w:rPr>
        <w:t> </w:t>
      </w:r>
      <w:r>
        <w:rPr>
          <w:sz w:val="18"/>
        </w:rPr>
        <w:t>Committee</w:t>
      </w:r>
      <w:r>
        <w:rPr>
          <w:spacing w:val="-7"/>
          <w:sz w:val="18"/>
        </w:rPr>
        <w:t> </w:t>
      </w:r>
      <w:r>
        <w:rPr>
          <w:sz w:val="18"/>
        </w:rPr>
        <w:t>(the</w:t>
      </w:r>
      <w:r>
        <w:rPr>
          <w:spacing w:val="-7"/>
          <w:sz w:val="18"/>
        </w:rPr>
        <w:t> </w:t>
      </w:r>
      <w:r>
        <w:rPr>
          <w:sz w:val="18"/>
        </w:rPr>
        <w:t>Governor,</w:t>
      </w:r>
      <w:r>
        <w:rPr>
          <w:spacing w:val="-7"/>
          <w:sz w:val="18"/>
        </w:rPr>
        <w:t> </w:t>
      </w:r>
      <w:r>
        <w:rPr>
          <w:sz w:val="18"/>
        </w:rPr>
        <w:t>David</w:t>
      </w:r>
      <w:r>
        <w:rPr>
          <w:spacing w:val="-6"/>
          <w:sz w:val="18"/>
        </w:rPr>
        <w:t> </w:t>
      </w:r>
      <w:r>
        <w:rPr>
          <w:sz w:val="18"/>
        </w:rPr>
        <w:t>Clementi,</w:t>
      </w:r>
      <w:r>
        <w:rPr>
          <w:spacing w:val="-7"/>
          <w:sz w:val="18"/>
        </w:rPr>
        <w:t> </w:t>
      </w:r>
      <w:r>
        <w:rPr>
          <w:sz w:val="18"/>
        </w:rPr>
        <w:t>Charles</w:t>
      </w:r>
      <w:r>
        <w:rPr>
          <w:spacing w:val="-6"/>
          <w:sz w:val="18"/>
        </w:rPr>
        <w:t> </w:t>
      </w:r>
      <w:r>
        <w:rPr>
          <w:sz w:val="18"/>
        </w:rPr>
        <w:t>Goodhart, DeAnne Julius, Ian Plenderleith and Sushil Wadhwani) voted for the proposition. Mervyn King, Willem Buiter and John Vickers voted against, preferring a rise in rates of 25 basis</w:t>
      </w:r>
      <w:r>
        <w:rPr>
          <w:spacing w:val="-26"/>
          <w:sz w:val="18"/>
        </w:rPr>
        <w:t> </w:t>
      </w:r>
      <w:r>
        <w:rPr>
          <w:sz w:val="18"/>
        </w:rPr>
        <w:t>points.</w:t>
      </w:r>
    </w:p>
    <w:p>
      <w:pPr>
        <w:pStyle w:val="ListParagraph"/>
        <w:numPr>
          <w:ilvl w:val="0"/>
          <w:numId w:val="46"/>
        </w:numPr>
        <w:tabs>
          <w:tab w:pos="639" w:val="left" w:leader="none"/>
          <w:tab w:pos="640" w:val="left" w:leader="none"/>
        </w:tabs>
        <w:spacing w:line="400" w:lineRule="exact" w:before="38" w:after="0"/>
        <w:ind w:left="160" w:right="555"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155" w:lineRule="exact"/>
        <w:ind w:left="160"/>
      </w:pPr>
      <w:r>
        <w:rPr/>
        <w:t>Mervyn King, Deputy Governor responsible for monetary policy</w:t>
      </w:r>
    </w:p>
    <w:p>
      <w:pPr>
        <w:pStyle w:val="BodyText"/>
        <w:spacing w:line="232" w:lineRule="auto" w:before="2"/>
        <w:ind w:left="160" w:right="141"/>
      </w:pPr>
      <w:r>
        <w:rPr/>
        <w:t>David Clementi, Deputy Governor responsible for financial stability Willem Buiter</w:t>
      </w:r>
    </w:p>
    <w:p>
      <w:pPr>
        <w:pStyle w:val="BodyText"/>
        <w:spacing w:line="232" w:lineRule="auto"/>
        <w:ind w:left="160" w:right="3785"/>
      </w:pPr>
      <w:r>
        <w:rPr/>
        <w:t>Charles Goodhart DeAnne Julius Ian Plenderleith John Vickers Sushil Wadhwani</w:t>
      </w:r>
    </w:p>
    <w:p>
      <w:pPr>
        <w:pStyle w:val="BodyText"/>
        <w:spacing w:before="10"/>
        <w:rPr>
          <w:sz w:val="16"/>
        </w:rPr>
      </w:pPr>
    </w:p>
    <w:p>
      <w:pPr>
        <w:pStyle w:val="ListParagraph"/>
        <w:numPr>
          <w:ilvl w:val="0"/>
          <w:numId w:val="46"/>
        </w:numPr>
        <w:tabs>
          <w:tab w:pos="639" w:val="left" w:leader="none"/>
          <w:tab w:pos="640" w:val="left" w:leader="none"/>
        </w:tabs>
        <w:spacing w:line="232" w:lineRule="auto" w:before="0" w:after="0"/>
        <w:ind w:left="160" w:right="1124" w:firstLine="0"/>
        <w:jc w:val="left"/>
        <w:rPr>
          <w:sz w:val="18"/>
        </w:rPr>
      </w:pPr>
      <w:r>
        <w:rPr>
          <w:sz w:val="18"/>
        </w:rPr>
        <w:t>Gus O’Donnell was also present as the Treasury representative.</w:t>
      </w:r>
    </w:p>
    <w:p>
      <w:pPr>
        <w:spacing w:after="0" w:line="232" w:lineRule="auto"/>
        <w:jc w:val="left"/>
        <w:rPr>
          <w:sz w:val="18"/>
        </w:rPr>
        <w:sectPr>
          <w:type w:val="continuous"/>
          <w:pgSz w:w="11900" w:h="16840"/>
          <w:pgMar w:top="1220" w:bottom="280" w:left="620" w:right="640"/>
          <w:cols w:num="2" w:equalWidth="0">
            <w:col w:w="5108" w:space="292"/>
            <w:col w:w="5240"/>
          </w:cols>
        </w:sectPr>
      </w:pPr>
    </w:p>
    <w:p>
      <w:pPr>
        <w:pStyle w:val="BodyText"/>
        <w:rPr>
          <w:sz w:val="20"/>
        </w:rPr>
      </w:pPr>
    </w:p>
    <w:p>
      <w:pPr>
        <w:pStyle w:val="BodyText"/>
        <w:rPr>
          <w:sz w:val="20"/>
        </w:rPr>
      </w:pPr>
    </w:p>
    <w:p>
      <w:pPr>
        <w:pStyle w:val="BodyText"/>
        <w:spacing w:before="1"/>
        <w:rPr>
          <w:sz w:val="16"/>
        </w:rPr>
      </w:pPr>
    </w:p>
    <w:p>
      <w:pPr>
        <w:pStyle w:val="Heading2"/>
        <w:ind w:left="199"/>
      </w:pPr>
      <w:r>
        <w:rPr>
          <w:color w:val="009391"/>
        </w:rPr>
        <w:t>Annex: Summary of data presented by Bank staff</w:t>
      </w:r>
    </w:p>
    <w:p>
      <w:pPr>
        <w:pStyle w:val="BodyText"/>
        <w:spacing w:before="1"/>
        <w:rPr>
          <w:b/>
          <w:sz w:val="27"/>
        </w:rPr>
      </w:pPr>
    </w:p>
    <w:p>
      <w:pPr>
        <w:spacing w:after="0"/>
        <w:rPr>
          <w:sz w:val="27"/>
        </w:rPr>
        <w:sectPr>
          <w:pgSz w:w="11900" w:h="16840"/>
          <w:pgMar w:header="566" w:footer="597" w:top="760" w:bottom="780" w:left="620" w:right="640"/>
        </w:sectPr>
      </w:pPr>
    </w:p>
    <w:p>
      <w:pPr>
        <w:pStyle w:val="ListParagraph"/>
        <w:numPr>
          <w:ilvl w:val="0"/>
          <w:numId w:val="47"/>
        </w:numPr>
        <w:tabs>
          <w:tab w:pos="674" w:val="left" w:leader="none"/>
          <w:tab w:pos="675" w:val="left" w:leader="none"/>
        </w:tabs>
        <w:spacing w:line="232" w:lineRule="auto" w:before="106" w:after="0"/>
        <w:ind w:left="194" w:right="63" w:firstLine="0"/>
        <w:jc w:val="left"/>
        <w:rPr>
          <w:sz w:val="18"/>
        </w:rPr>
      </w:pPr>
      <w:r>
        <w:rPr>
          <w:sz w:val="18"/>
        </w:rPr>
        <w:t>This Annex summarises the analysis presented by the Bank staff</w:t>
      </w:r>
      <w:r>
        <w:rPr>
          <w:spacing w:val="-5"/>
          <w:sz w:val="18"/>
        </w:rPr>
        <w:t> </w:t>
      </w:r>
      <w:r>
        <w:rPr>
          <w:sz w:val="18"/>
        </w:rPr>
        <w:t>to</w:t>
      </w:r>
      <w:r>
        <w:rPr>
          <w:spacing w:val="-5"/>
          <w:sz w:val="18"/>
        </w:rPr>
        <w:t> </w:t>
      </w:r>
      <w:r>
        <w:rPr>
          <w:sz w:val="18"/>
        </w:rPr>
        <w:t>the</w:t>
      </w:r>
      <w:r>
        <w:rPr>
          <w:spacing w:val="-5"/>
          <w:sz w:val="18"/>
        </w:rPr>
        <w:t> </w:t>
      </w:r>
      <w:r>
        <w:rPr>
          <w:sz w:val="18"/>
        </w:rPr>
        <w:t>Monetary</w:t>
      </w:r>
      <w:r>
        <w:rPr>
          <w:spacing w:val="-5"/>
          <w:sz w:val="18"/>
        </w:rPr>
        <w:t> </w:t>
      </w:r>
      <w:r>
        <w:rPr>
          <w:sz w:val="18"/>
        </w:rPr>
        <w:t>Policy</w:t>
      </w:r>
      <w:r>
        <w:rPr>
          <w:spacing w:val="-5"/>
          <w:sz w:val="18"/>
        </w:rPr>
        <w:t> </w:t>
      </w:r>
      <w:r>
        <w:rPr>
          <w:sz w:val="18"/>
        </w:rPr>
        <w:t>Committee</w:t>
      </w:r>
      <w:r>
        <w:rPr>
          <w:spacing w:val="-5"/>
          <w:sz w:val="18"/>
        </w:rPr>
        <w:t> </w:t>
      </w:r>
      <w:r>
        <w:rPr>
          <w:sz w:val="18"/>
        </w:rPr>
        <w:t>on</w:t>
      </w:r>
      <w:r>
        <w:rPr>
          <w:spacing w:val="-5"/>
          <w:sz w:val="18"/>
        </w:rPr>
        <w:t> </w:t>
      </w:r>
      <w:r>
        <w:rPr>
          <w:sz w:val="18"/>
        </w:rPr>
        <w:t>3</w:t>
      </w:r>
      <w:r>
        <w:rPr>
          <w:spacing w:val="-5"/>
          <w:sz w:val="18"/>
        </w:rPr>
        <w:t> </w:t>
      </w:r>
      <w:r>
        <w:rPr>
          <w:sz w:val="18"/>
        </w:rPr>
        <w:t>December,</w:t>
      </w:r>
      <w:r>
        <w:rPr>
          <w:spacing w:val="-5"/>
          <w:sz w:val="18"/>
        </w:rPr>
        <w:t> </w:t>
      </w:r>
      <w:r>
        <w:rPr>
          <w:sz w:val="18"/>
        </w:rPr>
        <w:t>in</w:t>
      </w:r>
      <w:r>
        <w:rPr>
          <w:spacing w:val="-5"/>
          <w:sz w:val="18"/>
        </w:rPr>
        <w:t> </w:t>
      </w:r>
      <w:r>
        <w:rPr>
          <w:sz w:val="18"/>
        </w:rPr>
        <w:t>advance of its meeting on 8–9 December 1999. At the start of the Committee meeting itself, members were made aware of information that had subsequently become available, and that information is included in this</w:t>
      </w:r>
      <w:r>
        <w:rPr>
          <w:spacing w:val="-8"/>
          <w:sz w:val="18"/>
        </w:rPr>
        <w:t> </w:t>
      </w:r>
      <w:r>
        <w:rPr>
          <w:sz w:val="18"/>
        </w:rPr>
        <w:t>Annex.</w:t>
      </w:r>
    </w:p>
    <w:p>
      <w:pPr>
        <w:pStyle w:val="BodyText"/>
        <w:spacing w:before="8"/>
        <w:rPr>
          <w:sz w:val="23"/>
        </w:rPr>
      </w:pPr>
    </w:p>
    <w:p>
      <w:pPr>
        <w:pStyle w:val="Heading7"/>
        <w:numPr>
          <w:ilvl w:val="0"/>
          <w:numId w:val="48"/>
        </w:numPr>
        <w:tabs>
          <w:tab w:pos="674" w:val="left" w:leader="none"/>
          <w:tab w:pos="675" w:val="left" w:leader="none"/>
        </w:tabs>
        <w:spacing w:line="240" w:lineRule="auto" w:before="0" w:after="0"/>
        <w:ind w:left="674" w:right="0" w:hanging="481"/>
        <w:jc w:val="left"/>
      </w:pPr>
      <w:r>
        <w:rPr>
          <w:color w:val="009391"/>
        </w:rPr>
        <w:t>The international</w:t>
      </w:r>
      <w:r>
        <w:rPr>
          <w:color w:val="009391"/>
          <w:spacing w:val="-5"/>
        </w:rPr>
        <w:t> </w:t>
      </w:r>
      <w:r>
        <w:rPr>
          <w:color w:val="009391"/>
        </w:rPr>
        <w:t>environment</w:t>
      </w:r>
    </w:p>
    <w:p>
      <w:pPr>
        <w:pStyle w:val="ListParagraph"/>
        <w:numPr>
          <w:ilvl w:val="0"/>
          <w:numId w:val="47"/>
        </w:numPr>
        <w:tabs>
          <w:tab w:pos="674" w:val="left" w:leader="none"/>
          <w:tab w:pos="675" w:val="left" w:leader="none"/>
        </w:tabs>
        <w:spacing w:line="232" w:lineRule="auto" w:before="110" w:after="0"/>
        <w:ind w:left="194" w:right="317" w:firstLine="0"/>
        <w:jc w:val="left"/>
        <w:rPr>
          <w:sz w:val="18"/>
        </w:rPr>
      </w:pPr>
      <w:r>
        <w:rPr>
          <w:sz w:val="18"/>
        </w:rPr>
        <w:t>Growth</w:t>
      </w:r>
      <w:r>
        <w:rPr>
          <w:spacing w:val="-5"/>
          <w:sz w:val="18"/>
        </w:rPr>
        <w:t> </w:t>
      </w:r>
      <w:r>
        <w:rPr>
          <w:sz w:val="18"/>
        </w:rPr>
        <w:t>in</w:t>
      </w:r>
      <w:r>
        <w:rPr>
          <w:spacing w:val="-4"/>
          <w:sz w:val="18"/>
        </w:rPr>
        <w:t> </w:t>
      </w:r>
      <w:r>
        <w:rPr>
          <w:sz w:val="18"/>
        </w:rPr>
        <w:t>the</w:t>
      </w:r>
      <w:r>
        <w:rPr>
          <w:spacing w:val="-4"/>
          <w:sz w:val="18"/>
        </w:rPr>
        <w:t> </w:t>
      </w:r>
      <w:r>
        <w:rPr>
          <w:sz w:val="18"/>
        </w:rPr>
        <w:t>United</w:t>
      </w:r>
      <w:r>
        <w:rPr>
          <w:spacing w:val="-4"/>
          <w:sz w:val="18"/>
        </w:rPr>
        <w:t> </w:t>
      </w:r>
      <w:r>
        <w:rPr>
          <w:sz w:val="18"/>
        </w:rPr>
        <w:t>States</w:t>
      </w:r>
      <w:r>
        <w:rPr>
          <w:spacing w:val="-5"/>
          <w:sz w:val="18"/>
        </w:rPr>
        <w:t> </w:t>
      </w:r>
      <w:r>
        <w:rPr>
          <w:sz w:val="18"/>
        </w:rPr>
        <w:t>in</w:t>
      </w:r>
      <w:r>
        <w:rPr>
          <w:spacing w:val="-4"/>
          <w:sz w:val="18"/>
        </w:rPr>
        <w:t> </w:t>
      </w:r>
      <w:r>
        <w:rPr>
          <w:sz w:val="18"/>
        </w:rPr>
        <w:t>Q3</w:t>
      </w:r>
      <w:r>
        <w:rPr>
          <w:spacing w:val="-4"/>
          <w:sz w:val="18"/>
        </w:rPr>
        <w:t> </w:t>
      </w:r>
      <w:r>
        <w:rPr>
          <w:sz w:val="18"/>
        </w:rPr>
        <w:t>had</w:t>
      </w:r>
      <w:r>
        <w:rPr>
          <w:spacing w:val="-4"/>
          <w:sz w:val="18"/>
        </w:rPr>
        <w:t> </w:t>
      </w:r>
      <w:r>
        <w:rPr>
          <w:sz w:val="18"/>
        </w:rPr>
        <w:t>been</w:t>
      </w:r>
      <w:r>
        <w:rPr>
          <w:spacing w:val="-5"/>
          <w:sz w:val="18"/>
        </w:rPr>
        <w:t> </w:t>
      </w:r>
      <w:r>
        <w:rPr>
          <w:sz w:val="18"/>
        </w:rPr>
        <w:t>stronger</w:t>
      </w:r>
      <w:r>
        <w:rPr>
          <w:spacing w:val="-4"/>
          <w:sz w:val="18"/>
        </w:rPr>
        <w:t> </w:t>
      </w:r>
      <w:r>
        <w:rPr>
          <w:sz w:val="18"/>
        </w:rPr>
        <w:t>than expected, but GDP had fallen in Japan, and there had been a mixed picture in the euro area, with activity stronger in France than in Germany. The latest data from the US and Japan had suggested that growth in gross trade volumes had remained at relatively</w:t>
      </w:r>
      <w:r>
        <w:rPr>
          <w:spacing w:val="-5"/>
          <w:sz w:val="18"/>
        </w:rPr>
        <w:t> </w:t>
      </w:r>
      <w:r>
        <w:rPr>
          <w:sz w:val="18"/>
        </w:rPr>
        <w:t>high</w:t>
      </w:r>
      <w:r>
        <w:rPr>
          <w:spacing w:val="-4"/>
          <w:sz w:val="18"/>
        </w:rPr>
        <w:t> </w:t>
      </w:r>
      <w:r>
        <w:rPr>
          <w:sz w:val="18"/>
        </w:rPr>
        <w:t>levels,</w:t>
      </w:r>
      <w:r>
        <w:rPr>
          <w:spacing w:val="-4"/>
          <w:sz w:val="18"/>
        </w:rPr>
        <w:t> </w:t>
      </w:r>
      <w:r>
        <w:rPr>
          <w:sz w:val="18"/>
        </w:rPr>
        <w:t>though</w:t>
      </w:r>
      <w:r>
        <w:rPr>
          <w:spacing w:val="-4"/>
          <w:sz w:val="18"/>
        </w:rPr>
        <w:t> </w:t>
      </w:r>
      <w:r>
        <w:rPr>
          <w:sz w:val="18"/>
        </w:rPr>
        <w:t>might</w:t>
      </w:r>
      <w:r>
        <w:rPr>
          <w:spacing w:val="-4"/>
          <w:sz w:val="18"/>
        </w:rPr>
        <w:t> </w:t>
      </w:r>
      <w:r>
        <w:rPr>
          <w:sz w:val="18"/>
        </w:rPr>
        <w:t>have</w:t>
      </w:r>
      <w:r>
        <w:rPr>
          <w:spacing w:val="-4"/>
          <w:sz w:val="18"/>
        </w:rPr>
        <w:t> </w:t>
      </w:r>
      <w:r>
        <w:rPr>
          <w:sz w:val="18"/>
        </w:rPr>
        <w:t>fallen</w:t>
      </w:r>
      <w:r>
        <w:rPr>
          <w:spacing w:val="-4"/>
          <w:sz w:val="18"/>
        </w:rPr>
        <w:t> </w:t>
      </w:r>
      <w:r>
        <w:rPr>
          <w:sz w:val="18"/>
        </w:rPr>
        <w:t>back</w:t>
      </w:r>
      <w:r>
        <w:rPr>
          <w:spacing w:val="-4"/>
          <w:sz w:val="18"/>
        </w:rPr>
        <w:t> </w:t>
      </w:r>
      <w:r>
        <w:rPr>
          <w:sz w:val="18"/>
        </w:rPr>
        <w:t>slightly</w:t>
      </w:r>
    </w:p>
    <w:p>
      <w:pPr>
        <w:pStyle w:val="BodyText"/>
        <w:spacing w:line="232" w:lineRule="auto"/>
        <w:ind w:left="194" w:right="352"/>
      </w:pPr>
      <w:r>
        <w:rPr/>
        <w:t>in recent months. Oil prices had risen again in November, reflecting stronger global demand prospects, high compliance rates with the agreement among O</w:t>
      </w:r>
      <w:r>
        <w:rPr>
          <w:sz w:val="14"/>
        </w:rPr>
        <w:t>PEC </w:t>
      </w:r>
      <w:r>
        <w:rPr/>
        <w:t>members to limit supply, and lower oil stocks in O</w:t>
      </w:r>
      <w:r>
        <w:rPr>
          <w:sz w:val="14"/>
        </w:rPr>
        <w:t>ECD </w:t>
      </w:r>
      <w:r>
        <w:rPr/>
        <w:t>countries. World food prices had fallen.</w:t>
      </w:r>
    </w:p>
    <w:p>
      <w:pPr>
        <w:pStyle w:val="BodyText"/>
        <w:spacing w:before="1"/>
        <w:rPr>
          <w:sz w:val="20"/>
        </w:rPr>
      </w:pPr>
    </w:p>
    <w:p>
      <w:pPr>
        <w:pStyle w:val="ListParagraph"/>
        <w:numPr>
          <w:ilvl w:val="0"/>
          <w:numId w:val="47"/>
        </w:numPr>
        <w:tabs>
          <w:tab w:pos="674" w:val="left" w:leader="none"/>
          <w:tab w:pos="675" w:val="left" w:leader="none"/>
        </w:tabs>
        <w:spacing w:line="232" w:lineRule="auto" w:before="0" w:after="0"/>
        <w:ind w:left="194" w:right="117" w:firstLine="0"/>
        <w:jc w:val="left"/>
        <w:rPr>
          <w:sz w:val="18"/>
        </w:rPr>
      </w:pPr>
      <w:r>
        <w:rPr>
          <w:sz w:val="18"/>
        </w:rPr>
        <w:t>US GDP growth in Q3 had been revised upwards to 1.4%, largely reflecting higher contributions from net trade and stockbuilding. Annual growth in industrial production had risen to 3.3% in October. Although the index of capacity utilisation in the National Association of Purchasing Managers’ survey had been stable over the last year, the survey had been pointing to lengthening delivery times and a rising backlog of orders, consistent with a rather stronger outlook for activity. Consumer confidence had risen in November, on the back of strong income expectations. Unemployment had continued to fall, reaching 4.1% in October, and had remained unchanged in November. Producer prices had fallen by 0.1% in October, reflecting falls in food and energy prices. Annual consumer price inflation had remained unchanged in October, at</w:t>
      </w:r>
      <w:r>
        <w:rPr>
          <w:spacing w:val="-6"/>
          <w:sz w:val="18"/>
        </w:rPr>
        <w:t> </w:t>
      </w:r>
      <w:r>
        <w:rPr>
          <w:sz w:val="18"/>
        </w:rPr>
        <w:t>2.6%.</w:t>
      </w:r>
    </w:p>
    <w:p>
      <w:pPr>
        <w:pStyle w:val="BodyText"/>
        <w:spacing w:before="11"/>
        <w:rPr>
          <w:sz w:val="19"/>
        </w:rPr>
      </w:pPr>
    </w:p>
    <w:p>
      <w:pPr>
        <w:pStyle w:val="ListParagraph"/>
        <w:numPr>
          <w:ilvl w:val="0"/>
          <w:numId w:val="47"/>
        </w:numPr>
        <w:tabs>
          <w:tab w:pos="674" w:val="left" w:leader="none"/>
          <w:tab w:pos="675" w:val="left" w:leader="none"/>
        </w:tabs>
        <w:spacing w:line="232" w:lineRule="auto" w:before="0" w:after="0"/>
        <w:ind w:left="194" w:right="98" w:firstLine="0"/>
        <w:jc w:val="left"/>
        <w:rPr>
          <w:sz w:val="18"/>
        </w:rPr>
      </w:pPr>
      <w:r>
        <w:rPr>
          <w:sz w:val="18"/>
        </w:rPr>
        <w:t>German GDP had risen by 0.7% in Q3, and growth rates in Q1 and Q2 had been revised upwards. French industrial and consumer confidence indicators had grown by considerably more than those in Germany in October and November. Annual growth in</w:t>
      </w:r>
      <w:r>
        <w:rPr>
          <w:spacing w:val="-6"/>
          <w:sz w:val="18"/>
        </w:rPr>
        <w:t> </w:t>
      </w:r>
      <w:r>
        <w:rPr>
          <w:sz w:val="18"/>
        </w:rPr>
        <w:t>industrial</w:t>
      </w:r>
      <w:r>
        <w:rPr>
          <w:spacing w:val="-5"/>
          <w:sz w:val="18"/>
        </w:rPr>
        <w:t> </w:t>
      </w:r>
      <w:r>
        <w:rPr>
          <w:sz w:val="18"/>
        </w:rPr>
        <w:t>production</w:t>
      </w:r>
      <w:r>
        <w:rPr>
          <w:spacing w:val="-5"/>
          <w:sz w:val="18"/>
        </w:rPr>
        <w:t> </w:t>
      </w:r>
      <w:r>
        <w:rPr>
          <w:sz w:val="18"/>
        </w:rPr>
        <w:t>in</w:t>
      </w:r>
      <w:r>
        <w:rPr>
          <w:spacing w:val="-5"/>
          <w:sz w:val="18"/>
        </w:rPr>
        <w:t> </w:t>
      </w:r>
      <w:r>
        <w:rPr>
          <w:sz w:val="18"/>
        </w:rPr>
        <w:t>the</w:t>
      </w:r>
      <w:r>
        <w:rPr>
          <w:spacing w:val="-5"/>
          <w:sz w:val="18"/>
        </w:rPr>
        <w:t> </w:t>
      </w:r>
      <w:r>
        <w:rPr>
          <w:sz w:val="18"/>
        </w:rPr>
        <w:t>major</w:t>
      </w:r>
      <w:r>
        <w:rPr>
          <w:spacing w:val="-5"/>
          <w:sz w:val="18"/>
        </w:rPr>
        <w:t> </w:t>
      </w:r>
      <w:r>
        <w:rPr>
          <w:sz w:val="18"/>
        </w:rPr>
        <w:t>three</w:t>
      </w:r>
      <w:r>
        <w:rPr>
          <w:spacing w:val="-6"/>
          <w:sz w:val="18"/>
        </w:rPr>
        <w:t> </w:t>
      </w:r>
      <w:r>
        <w:rPr>
          <w:sz w:val="18"/>
        </w:rPr>
        <w:t>euro</w:t>
      </w:r>
      <w:r>
        <w:rPr>
          <w:spacing w:val="-5"/>
          <w:sz w:val="18"/>
        </w:rPr>
        <w:t> </w:t>
      </w:r>
      <w:r>
        <w:rPr>
          <w:sz w:val="18"/>
        </w:rPr>
        <w:t>area</w:t>
      </w:r>
      <w:r>
        <w:rPr>
          <w:spacing w:val="-5"/>
          <w:sz w:val="18"/>
        </w:rPr>
        <w:t> </w:t>
      </w:r>
      <w:r>
        <w:rPr>
          <w:sz w:val="18"/>
        </w:rPr>
        <w:t>economies</w:t>
      </w:r>
      <w:r>
        <w:rPr>
          <w:spacing w:val="-5"/>
          <w:sz w:val="18"/>
        </w:rPr>
        <w:t> </w:t>
      </w:r>
      <w:r>
        <w:rPr>
          <w:sz w:val="18"/>
        </w:rPr>
        <w:t>had fallen slightly to 0.9% in September, reflecting growth of 3.1% in France, 0.3% in Germany and -0.7% in Italy. But a strong rise in German manufacturing orders in October and a rise of industrial production of 1.4% in the year to October had suggested a possible future pick up in German activity. The euro area broad money measure M3 had risen by 6.0% in the year to October. Annual inflation in the euro area had risen slightly in October to 1.4%, mainly reflecting the rise in energy prices over the year. Survey measures had suggested that inflation was expected to rise further in coming months.</w:t>
      </w:r>
    </w:p>
    <w:p>
      <w:pPr>
        <w:pStyle w:val="BodyText"/>
        <w:spacing w:before="9"/>
        <w:rPr>
          <w:sz w:val="19"/>
        </w:rPr>
      </w:pPr>
    </w:p>
    <w:p>
      <w:pPr>
        <w:pStyle w:val="ListParagraph"/>
        <w:numPr>
          <w:ilvl w:val="0"/>
          <w:numId w:val="47"/>
        </w:numPr>
        <w:tabs>
          <w:tab w:pos="674" w:val="left" w:leader="none"/>
          <w:tab w:pos="675" w:val="left" w:leader="none"/>
        </w:tabs>
        <w:spacing w:line="232" w:lineRule="auto" w:before="1" w:after="0"/>
        <w:ind w:left="194" w:right="38" w:firstLine="0"/>
        <w:jc w:val="left"/>
        <w:rPr>
          <w:sz w:val="18"/>
        </w:rPr>
      </w:pPr>
      <w:r>
        <w:rPr>
          <w:sz w:val="18"/>
        </w:rPr>
        <w:t>Japanese GDP had fallen by 1% in Q3, a steeper fall than market expectations, although the level of GDP in the previous quarter had been revised up substantially. Industrial production had fallen by 2.3% in the month to October, but it had still been 1.7% higher than a year ago, and overtime hours had risen in recent months.  Inventories had continued to decline, falling by 8.8% in the year to October. The unemployment rate had remained unchanged at 4.6% in October. Base money growth had slowed to 5.5% in the year to October, but growth in broader measures had picked up slightly, and bank lending had continued to recover from the low in August. The consumer price index had fallen by 0.7% in the year to October, but excluding food had fallen by only 0.1%. The</w:t>
      </w:r>
      <w:r>
        <w:rPr>
          <w:spacing w:val="-5"/>
          <w:sz w:val="18"/>
        </w:rPr>
        <w:t> </w:t>
      </w:r>
      <w:r>
        <w:rPr>
          <w:sz w:val="18"/>
        </w:rPr>
        <w:t>Economic</w:t>
      </w:r>
      <w:r>
        <w:rPr>
          <w:spacing w:val="-5"/>
          <w:sz w:val="18"/>
        </w:rPr>
        <w:t> </w:t>
      </w:r>
      <w:r>
        <w:rPr>
          <w:sz w:val="18"/>
        </w:rPr>
        <w:t>Planning</w:t>
      </w:r>
      <w:r>
        <w:rPr>
          <w:spacing w:val="-5"/>
          <w:sz w:val="18"/>
        </w:rPr>
        <w:t> </w:t>
      </w:r>
      <w:r>
        <w:rPr>
          <w:sz w:val="18"/>
        </w:rPr>
        <w:t>Authority</w:t>
      </w:r>
      <w:r>
        <w:rPr>
          <w:spacing w:val="-4"/>
          <w:sz w:val="18"/>
        </w:rPr>
        <w:t> </w:t>
      </w:r>
      <w:r>
        <w:rPr>
          <w:sz w:val="18"/>
        </w:rPr>
        <w:t>had</w:t>
      </w:r>
      <w:r>
        <w:rPr>
          <w:spacing w:val="-5"/>
          <w:sz w:val="18"/>
        </w:rPr>
        <w:t> </w:t>
      </w:r>
      <w:r>
        <w:rPr>
          <w:sz w:val="18"/>
        </w:rPr>
        <w:t>released</w:t>
      </w:r>
      <w:r>
        <w:rPr>
          <w:spacing w:val="-5"/>
          <w:sz w:val="18"/>
        </w:rPr>
        <w:t> </w:t>
      </w:r>
      <w:r>
        <w:rPr>
          <w:sz w:val="18"/>
        </w:rPr>
        <w:t>details</w:t>
      </w:r>
      <w:r>
        <w:rPr>
          <w:spacing w:val="-4"/>
          <w:sz w:val="18"/>
        </w:rPr>
        <w:t> </w:t>
      </w:r>
      <w:r>
        <w:rPr>
          <w:sz w:val="18"/>
        </w:rPr>
        <w:t>of</w:t>
      </w:r>
      <w:r>
        <w:rPr>
          <w:spacing w:val="-5"/>
          <w:sz w:val="18"/>
        </w:rPr>
        <w:t> </w:t>
      </w:r>
      <w:r>
        <w:rPr>
          <w:sz w:val="18"/>
        </w:rPr>
        <w:t>a</w:t>
      </w:r>
      <w:r>
        <w:rPr>
          <w:spacing w:val="-5"/>
          <w:sz w:val="18"/>
        </w:rPr>
        <w:t> </w:t>
      </w:r>
      <w:r>
        <w:rPr>
          <w:sz w:val="18"/>
        </w:rPr>
        <w:t>further</w:t>
      </w:r>
    </w:p>
    <w:p>
      <w:pPr>
        <w:pStyle w:val="BodyText"/>
        <w:spacing w:line="192" w:lineRule="exact"/>
        <w:ind w:left="194"/>
      </w:pPr>
      <w:r>
        <w:rPr/>
        <w:t>¥18 trillion economic revival package.</w:t>
      </w:r>
    </w:p>
    <w:p>
      <w:pPr>
        <w:pStyle w:val="Heading7"/>
        <w:numPr>
          <w:ilvl w:val="0"/>
          <w:numId w:val="48"/>
        </w:numPr>
        <w:tabs>
          <w:tab w:pos="674" w:val="left" w:leader="none"/>
          <w:tab w:pos="675" w:val="left" w:leader="none"/>
        </w:tabs>
        <w:spacing w:line="240" w:lineRule="auto" w:before="91" w:after="0"/>
        <w:ind w:left="674" w:right="0" w:hanging="481"/>
        <w:jc w:val="left"/>
      </w:pPr>
      <w:r>
        <w:rPr>
          <w:color w:val="009391"/>
          <w:spacing w:val="-1"/>
        </w:rPr>
        <w:br w:type="column"/>
      </w:r>
      <w:r>
        <w:rPr>
          <w:color w:val="009391"/>
        </w:rPr>
        <w:t>Monetary and financial</w:t>
      </w:r>
      <w:r>
        <w:rPr>
          <w:color w:val="009391"/>
          <w:spacing w:val="-7"/>
        </w:rPr>
        <w:t> </w:t>
      </w:r>
      <w:r>
        <w:rPr>
          <w:color w:val="009391"/>
        </w:rPr>
        <w:t>conditions</w:t>
      </w:r>
    </w:p>
    <w:p>
      <w:pPr>
        <w:pStyle w:val="ListParagraph"/>
        <w:numPr>
          <w:ilvl w:val="0"/>
          <w:numId w:val="47"/>
        </w:numPr>
        <w:tabs>
          <w:tab w:pos="674" w:val="left" w:leader="none"/>
          <w:tab w:pos="675" w:val="left" w:leader="none"/>
        </w:tabs>
        <w:spacing w:line="232" w:lineRule="auto" w:before="110" w:after="0"/>
        <w:ind w:left="194" w:right="243" w:firstLine="0"/>
        <w:jc w:val="left"/>
        <w:rPr>
          <w:sz w:val="18"/>
        </w:rPr>
      </w:pPr>
      <w:r>
        <w:rPr>
          <w:sz w:val="18"/>
        </w:rPr>
        <w:t>Narrow money had grown strongly in November. After adjustment</w:t>
      </w:r>
      <w:r>
        <w:rPr>
          <w:spacing w:val="-6"/>
          <w:sz w:val="18"/>
        </w:rPr>
        <w:t> </w:t>
      </w:r>
      <w:r>
        <w:rPr>
          <w:sz w:val="18"/>
        </w:rPr>
        <w:t>for</w:t>
      </w:r>
      <w:r>
        <w:rPr>
          <w:spacing w:val="-5"/>
          <w:sz w:val="18"/>
        </w:rPr>
        <w:t> </w:t>
      </w:r>
      <w:r>
        <w:rPr>
          <w:sz w:val="18"/>
        </w:rPr>
        <w:t>seasonality</w:t>
      </w:r>
      <w:r>
        <w:rPr>
          <w:spacing w:val="-5"/>
          <w:sz w:val="18"/>
        </w:rPr>
        <w:t> </w:t>
      </w:r>
      <w:r>
        <w:rPr>
          <w:sz w:val="18"/>
        </w:rPr>
        <w:t>and</w:t>
      </w:r>
      <w:r>
        <w:rPr>
          <w:spacing w:val="-5"/>
          <w:sz w:val="18"/>
        </w:rPr>
        <w:t> </w:t>
      </w:r>
      <w:r>
        <w:rPr>
          <w:sz w:val="18"/>
        </w:rPr>
        <w:t>the</w:t>
      </w:r>
      <w:r>
        <w:rPr>
          <w:spacing w:val="-5"/>
          <w:sz w:val="18"/>
        </w:rPr>
        <w:t> </w:t>
      </w:r>
      <w:r>
        <w:rPr>
          <w:sz w:val="18"/>
        </w:rPr>
        <w:t>introduction</w:t>
      </w:r>
      <w:r>
        <w:rPr>
          <w:spacing w:val="-5"/>
          <w:sz w:val="18"/>
        </w:rPr>
        <w:t> </w:t>
      </w:r>
      <w:r>
        <w:rPr>
          <w:sz w:val="18"/>
        </w:rPr>
        <w:t>of</w:t>
      </w:r>
      <w:r>
        <w:rPr>
          <w:spacing w:val="-5"/>
          <w:sz w:val="18"/>
        </w:rPr>
        <w:t> </w:t>
      </w:r>
      <w:r>
        <w:rPr>
          <w:sz w:val="18"/>
        </w:rPr>
        <w:t>the</w:t>
      </w:r>
      <w:r>
        <w:rPr>
          <w:spacing w:val="-5"/>
          <w:sz w:val="18"/>
        </w:rPr>
        <w:t> </w:t>
      </w:r>
      <w:r>
        <w:rPr>
          <w:sz w:val="18"/>
        </w:rPr>
        <w:t>new</w:t>
      </w:r>
      <w:r>
        <w:rPr>
          <w:spacing w:val="-5"/>
          <w:sz w:val="18"/>
        </w:rPr>
        <w:t> </w:t>
      </w:r>
      <w:r>
        <w:rPr>
          <w:sz w:val="18"/>
        </w:rPr>
        <w:t>50p</w:t>
      </w:r>
      <w:r>
        <w:rPr>
          <w:spacing w:val="-5"/>
          <w:sz w:val="18"/>
        </w:rPr>
        <w:t> </w:t>
      </w:r>
      <w:r>
        <w:rPr>
          <w:sz w:val="18"/>
        </w:rPr>
        <w:t>and</w:t>
      </w:r>
    </w:p>
    <w:p>
      <w:pPr>
        <w:pStyle w:val="BodyText"/>
        <w:spacing w:line="232" w:lineRule="auto"/>
        <w:ind w:left="194" w:right="193"/>
      </w:pPr>
      <w:r>
        <w:rPr/>
        <w:t>£2 coins, notes and coin had increased by 1.4% on the month, and the twelve-month growth rate had risen to 8.9%, the highest since 1980. The usual practice of current updating of seasonal adjustment meant that part of the rise in the seasonally unadjusted data in November had been treated as a seasonal effect, depressing the seasonally adjusted figure relative to an alternative measure based on non-updated seasonal factors. Part of the pick up in November had reflected special effects, such as a temporary increase in cash holdings relating to government Winter Allowance payments. But even after adjusting for an estimate of the quantitative impact of these factors, narrow money growth had still been unusually strong, consistent with evidence from other sources of robust growth in retail</w:t>
      </w:r>
      <w:r>
        <w:rPr>
          <w:spacing w:val="-7"/>
        </w:rPr>
        <w:t> </w:t>
      </w:r>
      <w:r>
        <w:rPr/>
        <w:t>sales.</w:t>
      </w:r>
    </w:p>
    <w:p>
      <w:pPr>
        <w:pStyle w:val="BodyText"/>
        <w:spacing w:before="4"/>
        <w:rPr>
          <w:sz w:val="16"/>
        </w:rPr>
      </w:pPr>
    </w:p>
    <w:p>
      <w:pPr>
        <w:pStyle w:val="ListParagraph"/>
        <w:numPr>
          <w:ilvl w:val="0"/>
          <w:numId w:val="47"/>
        </w:numPr>
        <w:tabs>
          <w:tab w:pos="674" w:val="left" w:leader="none"/>
          <w:tab w:pos="675" w:val="left" w:leader="none"/>
        </w:tabs>
        <w:spacing w:line="232" w:lineRule="auto" w:before="0" w:after="0"/>
        <w:ind w:left="194" w:right="182" w:firstLine="0"/>
        <w:jc w:val="left"/>
        <w:rPr>
          <w:sz w:val="18"/>
        </w:rPr>
      </w:pPr>
      <w:r>
        <w:rPr>
          <w:sz w:val="18"/>
        </w:rPr>
        <w:t>The stock of M4 had risen by £4.2 billion (0.5%) in October. The twelve-month rate had picked up slightly to 3.0%. M4 lending (excluding securitisations) had grown by £7.6 billion (0.8%) in October, and the twelve-month rate had risen to 7.2%. Robust lending growth had been driven by the continuing strength in lending to households and a rise of some £3 billion in lending to other financial corporations (OFCs) on the</w:t>
      </w:r>
      <w:r>
        <w:rPr>
          <w:spacing w:val="-13"/>
          <w:sz w:val="18"/>
        </w:rPr>
        <w:t> </w:t>
      </w:r>
      <w:r>
        <w:rPr>
          <w:sz w:val="18"/>
        </w:rPr>
        <w:t>month.</w:t>
      </w:r>
    </w:p>
    <w:p>
      <w:pPr>
        <w:pStyle w:val="BodyText"/>
        <w:spacing w:before="11"/>
        <w:rPr>
          <w:sz w:val="16"/>
        </w:rPr>
      </w:pPr>
    </w:p>
    <w:p>
      <w:pPr>
        <w:pStyle w:val="ListParagraph"/>
        <w:numPr>
          <w:ilvl w:val="0"/>
          <w:numId w:val="47"/>
        </w:numPr>
        <w:tabs>
          <w:tab w:pos="674" w:val="left" w:leader="none"/>
          <w:tab w:pos="675" w:val="left" w:leader="none"/>
        </w:tabs>
        <w:spacing w:line="232" w:lineRule="auto" w:before="0" w:after="0"/>
        <w:ind w:left="194" w:right="158" w:firstLine="0"/>
        <w:jc w:val="left"/>
        <w:rPr>
          <w:sz w:val="18"/>
        </w:rPr>
      </w:pPr>
      <w:r>
        <w:rPr>
          <w:sz w:val="18"/>
        </w:rPr>
        <w:t>Households’ M4 deposits had risen by £2.2 billion (0.4%) in October. M4 lending to households (excluding securitisations) had remained strong, rising by £4.1 billion (0.8%) in October. The twelve-month rate had picked up to 8.8%, the highest rate since 1991 Q3, as net secured lending had continued to grow strongly. Within</w:t>
      </w:r>
      <w:r>
        <w:rPr>
          <w:spacing w:val="-6"/>
          <w:sz w:val="18"/>
        </w:rPr>
        <w:t> </w:t>
      </w:r>
      <w:r>
        <w:rPr>
          <w:sz w:val="18"/>
        </w:rPr>
        <w:t>total</w:t>
      </w:r>
      <w:r>
        <w:rPr>
          <w:spacing w:val="-5"/>
          <w:sz w:val="18"/>
        </w:rPr>
        <w:t> </w:t>
      </w:r>
      <w:r>
        <w:rPr>
          <w:sz w:val="18"/>
        </w:rPr>
        <w:t>lending</w:t>
      </w:r>
      <w:r>
        <w:rPr>
          <w:spacing w:val="-5"/>
          <w:sz w:val="18"/>
        </w:rPr>
        <w:t> </w:t>
      </w:r>
      <w:r>
        <w:rPr>
          <w:sz w:val="18"/>
        </w:rPr>
        <w:t>to</w:t>
      </w:r>
      <w:r>
        <w:rPr>
          <w:spacing w:val="-6"/>
          <w:sz w:val="18"/>
        </w:rPr>
        <w:t> </w:t>
      </w:r>
      <w:r>
        <w:rPr>
          <w:sz w:val="18"/>
        </w:rPr>
        <w:t>individuals,</w:t>
      </w:r>
      <w:r>
        <w:rPr>
          <w:spacing w:val="-5"/>
          <w:sz w:val="18"/>
        </w:rPr>
        <w:t> </w:t>
      </w:r>
      <w:r>
        <w:rPr>
          <w:sz w:val="18"/>
        </w:rPr>
        <w:t>net</w:t>
      </w:r>
      <w:r>
        <w:rPr>
          <w:spacing w:val="-5"/>
          <w:sz w:val="18"/>
        </w:rPr>
        <w:t> </w:t>
      </w:r>
      <w:r>
        <w:rPr>
          <w:sz w:val="18"/>
        </w:rPr>
        <w:t>secured</w:t>
      </w:r>
      <w:r>
        <w:rPr>
          <w:spacing w:val="-6"/>
          <w:sz w:val="18"/>
        </w:rPr>
        <w:t> </w:t>
      </w:r>
      <w:r>
        <w:rPr>
          <w:sz w:val="18"/>
        </w:rPr>
        <w:t>lending</w:t>
      </w:r>
      <w:r>
        <w:rPr>
          <w:spacing w:val="-5"/>
          <w:sz w:val="18"/>
        </w:rPr>
        <w:t> </w:t>
      </w:r>
      <w:r>
        <w:rPr>
          <w:sz w:val="18"/>
        </w:rPr>
        <w:t>had</w:t>
      </w:r>
      <w:r>
        <w:rPr>
          <w:spacing w:val="-5"/>
          <w:sz w:val="18"/>
        </w:rPr>
        <w:t> </w:t>
      </w:r>
      <w:r>
        <w:rPr>
          <w:sz w:val="18"/>
        </w:rPr>
        <w:t>risen</w:t>
      </w:r>
      <w:r>
        <w:rPr>
          <w:spacing w:val="-6"/>
          <w:sz w:val="18"/>
        </w:rPr>
        <w:t> </w:t>
      </w:r>
      <w:r>
        <w:rPr>
          <w:sz w:val="18"/>
        </w:rPr>
        <w:t>by</w:t>
      </w:r>
    </w:p>
    <w:p>
      <w:pPr>
        <w:pStyle w:val="BodyText"/>
        <w:spacing w:line="232" w:lineRule="auto"/>
        <w:ind w:left="194" w:right="173"/>
      </w:pPr>
      <w:r>
        <w:rPr/>
        <w:t>£3.6 billion (0.8%) in October, and the twelve-month growth rate had increased to 7.9%. The value of loan approvals had also been strong (at £10.4 billion). October’s net secured lending and loan approvals data, combined with the historically high level of the stock of loan approvals, were consistent with continued housing market strength. Total unsecured lending had also been strong, growing by £1.0 billion (0.9%) in October, but growth had weakened over the past year. According to provisional Bank estimates, mortgage equity withdrawal had risen sharply to</w:t>
      </w:r>
    </w:p>
    <w:p>
      <w:pPr>
        <w:pStyle w:val="BodyText"/>
        <w:spacing w:line="232" w:lineRule="auto"/>
        <w:ind w:left="194" w:right="225"/>
      </w:pPr>
      <w:r>
        <w:rPr/>
        <w:t>£2.4 billion in Q3, leaving ‘total borrowing for consumption’ (defined as mortgage equity withdrawal plus unsecured lending) at its highest level as a percentage of disposable income since 1990.</w:t>
      </w:r>
    </w:p>
    <w:p>
      <w:pPr>
        <w:pStyle w:val="BodyText"/>
        <w:spacing w:before="2"/>
        <w:rPr>
          <w:sz w:val="16"/>
        </w:rPr>
      </w:pPr>
    </w:p>
    <w:p>
      <w:pPr>
        <w:pStyle w:val="ListParagraph"/>
        <w:numPr>
          <w:ilvl w:val="0"/>
          <w:numId w:val="47"/>
        </w:numPr>
        <w:tabs>
          <w:tab w:pos="674" w:val="left" w:leader="none"/>
          <w:tab w:pos="675" w:val="left" w:leader="none"/>
        </w:tabs>
        <w:spacing w:line="232" w:lineRule="auto" w:before="0" w:after="0"/>
        <w:ind w:left="194" w:right="214" w:firstLine="0"/>
        <w:jc w:val="left"/>
        <w:rPr>
          <w:sz w:val="18"/>
        </w:rPr>
      </w:pPr>
      <w:r>
        <w:rPr>
          <w:sz w:val="18"/>
        </w:rPr>
        <w:t>The M4 deposits of private non-financial corporations (P</w:t>
      </w:r>
      <w:r>
        <w:rPr>
          <w:sz w:val="14"/>
        </w:rPr>
        <w:t>NFC</w:t>
      </w:r>
      <w:r>
        <w:rPr>
          <w:sz w:val="18"/>
        </w:rPr>
        <w:t>s) had risen by £1.7 billion (1.4%) in October, and the twelve-month rate had risen sharply to 6.9%. M4 lending to P</w:t>
      </w:r>
      <w:r>
        <w:rPr>
          <w:sz w:val="14"/>
        </w:rPr>
        <w:t>NFC</w:t>
      </w:r>
      <w:r>
        <w:rPr>
          <w:sz w:val="18"/>
        </w:rPr>
        <w:t>s had grown more slowly, rising by £0.4 billion (0.2%) in October. But P</w:t>
      </w:r>
      <w:r>
        <w:rPr>
          <w:sz w:val="14"/>
        </w:rPr>
        <w:t>NFC</w:t>
      </w:r>
      <w:r>
        <w:rPr>
          <w:sz w:val="18"/>
        </w:rPr>
        <w:t>s’ total borrowing, including foreign currency borrowing and capital market finance, had remained</w:t>
      </w:r>
      <w:r>
        <w:rPr>
          <w:spacing w:val="-12"/>
          <w:sz w:val="18"/>
        </w:rPr>
        <w:t> </w:t>
      </w:r>
      <w:r>
        <w:rPr>
          <w:sz w:val="18"/>
        </w:rPr>
        <w:t>strong.</w:t>
      </w:r>
    </w:p>
    <w:p>
      <w:pPr>
        <w:pStyle w:val="BodyText"/>
        <w:rPr>
          <w:sz w:val="17"/>
        </w:rPr>
      </w:pPr>
    </w:p>
    <w:p>
      <w:pPr>
        <w:pStyle w:val="ListParagraph"/>
        <w:numPr>
          <w:ilvl w:val="0"/>
          <w:numId w:val="47"/>
        </w:numPr>
        <w:tabs>
          <w:tab w:pos="674" w:val="left" w:leader="none"/>
          <w:tab w:pos="675" w:val="left" w:leader="none"/>
        </w:tabs>
        <w:spacing w:line="232" w:lineRule="auto" w:before="0" w:after="0"/>
        <w:ind w:left="194" w:right="143" w:firstLine="0"/>
        <w:jc w:val="left"/>
        <w:rPr>
          <w:sz w:val="18"/>
        </w:rPr>
      </w:pPr>
      <w:r>
        <w:rPr>
          <w:sz w:val="18"/>
        </w:rPr>
        <w:t>OFCs’ M4 deposits had risen by £0.3 billion (0.2%) in October,</w:t>
      </w:r>
      <w:r>
        <w:rPr>
          <w:spacing w:val="-6"/>
          <w:sz w:val="18"/>
        </w:rPr>
        <w:t> </w:t>
      </w:r>
      <w:r>
        <w:rPr>
          <w:sz w:val="18"/>
        </w:rPr>
        <w:t>although</w:t>
      </w:r>
      <w:r>
        <w:rPr>
          <w:spacing w:val="-6"/>
          <w:sz w:val="18"/>
        </w:rPr>
        <w:t> </w:t>
      </w:r>
      <w:r>
        <w:rPr>
          <w:sz w:val="18"/>
        </w:rPr>
        <w:t>the</w:t>
      </w:r>
      <w:r>
        <w:rPr>
          <w:spacing w:val="-5"/>
          <w:sz w:val="18"/>
        </w:rPr>
        <w:t> </w:t>
      </w:r>
      <w:r>
        <w:rPr>
          <w:sz w:val="18"/>
        </w:rPr>
        <w:t>twelve-month</w:t>
      </w:r>
      <w:r>
        <w:rPr>
          <w:spacing w:val="-6"/>
          <w:sz w:val="18"/>
        </w:rPr>
        <w:t> </w:t>
      </w:r>
      <w:r>
        <w:rPr>
          <w:sz w:val="18"/>
        </w:rPr>
        <w:t>rate</w:t>
      </w:r>
      <w:r>
        <w:rPr>
          <w:spacing w:val="-5"/>
          <w:sz w:val="18"/>
        </w:rPr>
        <w:t> </w:t>
      </w:r>
      <w:r>
        <w:rPr>
          <w:sz w:val="18"/>
        </w:rPr>
        <w:t>had</w:t>
      </w:r>
      <w:r>
        <w:rPr>
          <w:spacing w:val="-6"/>
          <w:sz w:val="18"/>
        </w:rPr>
        <w:t> </w:t>
      </w:r>
      <w:r>
        <w:rPr>
          <w:sz w:val="18"/>
        </w:rPr>
        <w:t>remained</w:t>
      </w:r>
      <w:r>
        <w:rPr>
          <w:spacing w:val="-5"/>
          <w:sz w:val="18"/>
        </w:rPr>
        <w:t> </w:t>
      </w:r>
      <w:r>
        <w:rPr>
          <w:sz w:val="18"/>
        </w:rPr>
        <w:t>very</w:t>
      </w:r>
      <w:r>
        <w:rPr>
          <w:spacing w:val="-6"/>
          <w:sz w:val="18"/>
        </w:rPr>
        <w:t> </w:t>
      </w:r>
      <w:r>
        <w:rPr>
          <w:sz w:val="18"/>
        </w:rPr>
        <w:t>weak</w:t>
      </w:r>
      <w:r>
        <w:rPr>
          <w:spacing w:val="-5"/>
          <w:sz w:val="18"/>
        </w:rPr>
        <w:t> </w:t>
      </w:r>
      <w:r>
        <w:rPr>
          <w:sz w:val="18"/>
        </w:rPr>
        <w:t>at</w:t>
      </w:r>
    </w:p>
    <w:p>
      <w:pPr>
        <w:pStyle w:val="BodyText"/>
        <w:spacing w:line="232" w:lineRule="auto"/>
        <w:ind w:left="194" w:right="173"/>
      </w:pPr>
      <w:r>
        <w:rPr/>
        <w:t>-7.2%, reflecting the sharp rundown earlier in the year. OFCs’ M4 borrowing had been much stronger in October, rising by</w:t>
      </w:r>
    </w:p>
    <w:p>
      <w:pPr>
        <w:pStyle w:val="BodyText"/>
        <w:spacing w:line="232" w:lineRule="auto"/>
        <w:ind w:left="194" w:right="605"/>
      </w:pPr>
      <w:r>
        <w:rPr/>
        <w:t>£3.1 billion (1.6%) on a month earlier, and by 6.0% on a year earlier.</w:t>
      </w:r>
    </w:p>
    <w:p>
      <w:pPr>
        <w:pStyle w:val="BodyText"/>
        <w:spacing w:before="11"/>
        <w:rPr>
          <w:sz w:val="16"/>
        </w:rPr>
      </w:pPr>
    </w:p>
    <w:p>
      <w:pPr>
        <w:pStyle w:val="ListParagraph"/>
        <w:numPr>
          <w:ilvl w:val="0"/>
          <w:numId w:val="47"/>
        </w:numPr>
        <w:tabs>
          <w:tab w:pos="674" w:val="left" w:leader="none"/>
          <w:tab w:pos="675" w:val="left" w:leader="none"/>
        </w:tabs>
        <w:spacing w:line="232" w:lineRule="auto" w:before="0" w:after="0"/>
        <w:ind w:left="194" w:right="203" w:firstLine="0"/>
        <w:jc w:val="left"/>
        <w:rPr>
          <w:sz w:val="18"/>
        </w:rPr>
      </w:pPr>
      <w:r>
        <w:rPr>
          <w:sz w:val="18"/>
        </w:rPr>
        <w:t>Short-term nominal forward rates at maturities up to five years had fallen following the 25 basis point rise in the repo rate and the publication of the </w:t>
      </w:r>
      <w:r>
        <w:rPr>
          <w:i/>
          <w:sz w:val="18"/>
        </w:rPr>
        <w:t>Inflation Report </w:t>
      </w:r>
      <w:r>
        <w:rPr>
          <w:sz w:val="18"/>
        </w:rPr>
        <w:t>in November. But market rates had risen again following the release of the MPC minutes, most markedly at maturities of around one year. The falls in long nominal rates seen in late October had continued in the first week of November. This had partly reflected a global bond rally, but the fall in UK gilt yields had been greater than in</w:t>
      </w:r>
      <w:r>
        <w:rPr>
          <w:spacing w:val="-29"/>
          <w:sz w:val="18"/>
        </w:rPr>
        <w:t> </w:t>
      </w:r>
      <w:r>
        <w:rPr>
          <w:sz w:val="18"/>
        </w:rPr>
        <w:t>other</w:t>
      </w:r>
    </w:p>
    <w:p>
      <w:pPr>
        <w:spacing w:after="0" w:line="232" w:lineRule="auto"/>
        <w:jc w:val="left"/>
        <w:rPr>
          <w:sz w:val="18"/>
        </w:rPr>
        <w:sectPr>
          <w:type w:val="continuous"/>
          <w:pgSz w:w="11900" w:h="16840"/>
          <w:pgMar w:top="1220" w:bottom="280" w:left="620" w:right="640"/>
          <w:cols w:num="2" w:equalWidth="0">
            <w:col w:w="5132" w:space="260"/>
            <w:col w:w="5248"/>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4"/>
        <w:rPr>
          <w:sz w:val="21"/>
        </w:rPr>
      </w:pPr>
    </w:p>
    <w:p>
      <w:pPr>
        <w:pStyle w:val="BodyText"/>
        <w:spacing w:line="232" w:lineRule="auto" w:before="1"/>
        <w:ind w:left="185"/>
      </w:pPr>
      <w:r>
        <w:rPr/>
        <w:t>countries. Corporate bond yields at comparable maturities had also fallen. Long real interest rates derived from the index-linked gilt market had shown a similar pattern to long nominal rates.</w:t>
      </w:r>
    </w:p>
    <w:p>
      <w:pPr>
        <w:pStyle w:val="BodyText"/>
        <w:spacing w:line="232" w:lineRule="auto"/>
        <w:ind w:left="185" w:right="90"/>
      </w:pPr>
      <w:r>
        <w:rPr/>
        <w:t>Although market expectations of inflation in the short to medium term (derived from nominal and index-linked gilts) had fallen immediately after November’s MPC meeting, the decline had largely been unwound later in the month. Survey measures of inflation expectations for 2000 had been broadly unchanged on the month.</w:t>
      </w:r>
    </w:p>
    <w:p>
      <w:pPr>
        <w:pStyle w:val="BodyText"/>
        <w:spacing w:before="8"/>
        <w:rPr>
          <w:sz w:val="16"/>
        </w:rPr>
      </w:pPr>
    </w:p>
    <w:p>
      <w:pPr>
        <w:pStyle w:val="ListParagraph"/>
        <w:numPr>
          <w:ilvl w:val="0"/>
          <w:numId w:val="47"/>
        </w:numPr>
        <w:tabs>
          <w:tab w:pos="665" w:val="left" w:leader="none"/>
          <w:tab w:pos="666" w:val="left" w:leader="none"/>
        </w:tabs>
        <w:spacing w:line="232" w:lineRule="auto" w:before="1" w:after="0"/>
        <w:ind w:left="185" w:right="153" w:firstLine="0"/>
        <w:jc w:val="left"/>
        <w:rPr>
          <w:sz w:val="18"/>
        </w:rPr>
      </w:pPr>
      <w:r>
        <w:rPr>
          <w:sz w:val="18"/>
        </w:rPr>
        <w:t>Quoted retail rates data had suggested that the November rate rise had been almost fully passed through to standard variable mortgage rates. Fixed-rate mortgages had risen by less, reflecting movements in swap</w:t>
      </w:r>
      <w:r>
        <w:rPr>
          <w:spacing w:val="-4"/>
          <w:sz w:val="18"/>
        </w:rPr>
        <w:t> </w:t>
      </w:r>
      <w:r>
        <w:rPr>
          <w:sz w:val="18"/>
        </w:rPr>
        <w:t>rates.</w:t>
      </w:r>
    </w:p>
    <w:p>
      <w:pPr>
        <w:pStyle w:val="BodyText"/>
        <w:spacing w:before="1"/>
        <w:rPr>
          <w:sz w:val="17"/>
        </w:rPr>
      </w:pPr>
    </w:p>
    <w:p>
      <w:pPr>
        <w:pStyle w:val="ListParagraph"/>
        <w:numPr>
          <w:ilvl w:val="0"/>
          <w:numId w:val="47"/>
        </w:numPr>
        <w:tabs>
          <w:tab w:pos="665" w:val="left" w:leader="none"/>
          <w:tab w:pos="666" w:val="left" w:leader="none"/>
        </w:tabs>
        <w:spacing w:line="232" w:lineRule="auto" w:before="0" w:after="0"/>
        <w:ind w:left="185" w:right="153" w:firstLine="0"/>
        <w:jc w:val="left"/>
        <w:rPr>
          <w:sz w:val="18"/>
        </w:rPr>
      </w:pPr>
      <w:r>
        <w:rPr>
          <w:sz w:val="18"/>
        </w:rPr>
        <w:t>The FTSE All-Share index had risen by 6.2% since the November meeting. Small capitalisation stocks had outperformed the FTSE 100 and All-Share indices, rising by</w:t>
      </w:r>
      <w:r>
        <w:rPr>
          <w:spacing w:val="-18"/>
          <w:sz w:val="18"/>
        </w:rPr>
        <w:t> </w:t>
      </w:r>
      <w:r>
        <w:rPr>
          <w:sz w:val="18"/>
        </w:rPr>
        <w:t>12.2%.</w:t>
      </w:r>
    </w:p>
    <w:p>
      <w:pPr>
        <w:pStyle w:val="BodyText"/>
        <w:spacing w:before="2"/>
        <w:rPr>
          <w:sz w:val="17"/>
        </w:rPr>
      </w:pPr>
    </w:p>
    <w:p>
      <w:pPr>
        <w:pStyle w:val="ListParagraph"/>
        <w:numPr>
          <w:ilvl w:val="0"/>
          <w:numId w:val="47"/>
        </w:numPr>
        <w:tabs>
          <w:tab w:pos="665" w:val="left" w:leader="none"/>
          <w:tab w:pos="666" w:val="left" w:leader="none"/>
        </w:tabs>
        <w:spacing w:line="232" w:lineRule="auto" w:before="0" w:after="0"/>
        <w:ind w:left="185" w:right="38" w:firstLine="0"/>
        <w:jc w:val="left"/>
        <w:rPr>
          <w:sz w:val="18"/>
        </w:rPr>
      </w:pPr>
      <w:r>
        <w:rPr>
          <w:sz w:val="18"/>
        </w:rPr>
        <w:t>The sterling effective exchange rate index had appreciated by 0.3% since the November MPC meeting, and by 0.8% compared with the starting point for the November </w:t>
      </w:r>
      <w:r>
        <w:rPr>
          <w:i/>
          <w:sz w:val="18"/>
        </w:rPr>
        <w:t>Inflation Report </w:t>
      </w:r>
      <w:r>
        <w:rPr>
          <w:sz w:val="18"/>
        </w:rPr>
        <w:t>projection. Over the month, sterling had appreciated against the euro, but had fallen against the dollar and yen. Monetary news had appeared to explain much of the move in the euro-sterling bilateral rate.</w:t>
      </w:r>
    </w:p>
    <w:p>
      <w:pPr>
        <w:pStyle w:val="BodyText"/>
        <w:spacing w:before="2"/>
        <w:rPr>
          <w:sz w:val="20"/>
        </w:rPr>
      </w:pPr>
    </w:p>
    <w:p>
      <w:pPr>
        <w:pStyle w:val="Heading7"/>
        <w:numPr>
          <w:ilvl w:val="0"/>
          <w:numId w:val="48"/>
        </w:numPr>
        <w:tabs>
          <w:tab w:pos="665" w:val="left" w:leader="none"/>
          <w:tab w:pos="666" w:val="left" w:leader="none"/>
        </w:tabs>
        <w:spacing w:line="240" w:lineRule="auto" w:before="1" w:after="0"/>
        <w:ind w:left="665" w:right="0" w:hanging="481"/>
        <w:jc w:val="left"/>
      </w:pPr>
      <w:r>
        <w:rPr>
          <w:color w:val="009391"/>
        </w:rPr>
        <w:t>Demand and</w:t>
      </w:r>
      <w:r>
        <w:rPr>
          <w:color w:val="009391"/>
          <w:spacing w:val="-3"/>
        </w:rPr>
        <w:t> </w:t>
      </w:r>
      <w:r>
        <w:rPr>
          <w:color w:val="009391"/>
        </w:rPr>
        <w:t>output</w:t>
      </w:r>
    </w:p>
    <w:p>
      <w:pPr>
        <w:pStyle w:val="ListParagraph"/>
        <w:numPr>
          <w:ilvl w:val="0"/>
          <w:numId w:val="47"/>
        </w:numPr>
        <w:tabs>
          <w:tab w:pos="665" w:val="left" w:leader="none"/>
          <w:tab w:pos="666" w:val="left" w:leader="none"/>
        </w:tabs>
        <w:spacing w:line="232" w:lineRule="auto" w:before="109" w:after="0"/>
        <w:ind w:left="185" w:right="48" w:firstLine="0"/>
        <w:jc w:val="left"/>
        <w:rPr>
          <w:sz w:val="18"/>
        </w:rPr>
      </w:pPr>
      <w:r>
        <w:rPr>
          <w:sz w:val="18"/>
        </w:rPr>
        <w:t>Quarterly GDP growth at constant market prices had been unrevised, at 0.9%, in Q3. The annual growth rate had also been unchanged at 1.8%. Total industrial production had risen by 1.2% in Q3 and by 0.3% on a year earlier. Manufacturing output had grown by 1.0% in Q3, the first time since 1995 Q2 that manufacturing output growth had been higher than services, though the level of manufacturing output had still been 0.2% lower than a year earlier. Services output had grown by 0.9% in Q3, revised down from 1.0% in the first release, with annual growth at 2.4%. Construction output had grown by 0.5% in</w:t>
      </w:r>
      <w:r>
        <w:rPr>
          <w:spacing w:val="-13"/>
          <w:sz w:val="18"/>
        </w:rPr>
        <w:t> </w:t>
      </w:r>
      <w:r>
        <w:rPr>
          <w:sz w:val="18"/>
        </w:rPr>
        <w:t>Q3.</w:t>
      </w:r>
    </w:p>
    <w:p>
      <w:pPr>
        <w:pStyle w:val="BodyText"/>
        <w:spacing w:before="8"/>
        <w:rPr>
          <w:sz w:val="16"/>
        </w:rPr>
      </w:pPr>
    </w:p>
    <w:p>
      <w:pPr>
        <w:pStyle w:val="ListParagraph"/>
        <w:numPr>
          <w:ilvl w:val="0"/>
          <w:numId w:val="47"/>
        </w:numPr>
        <w:tabs>
          <w:tab w:pos="665" w:val="left" w:leader="none"/>
          <w:tab w:pos="666" w:val="left" w:leader="none"/>
        </w:tabs>
        <w:spacing w:line="232" w:lineRule="auto" w:before="0" w:after="0"/>
        <w:ind w:left="185" w:right="307" w:firstLine="0"/>
        <w:jc w:val="left"/>
        <w:rPr>
          <w:sz w:val="18"/>
        </w:rPr>
      </w:pPr>
      <w:r>
        <w:rPr>
          <w:sz w:val="18"/>
        </w:rPr>
        <w:t>The expenditure breakdown of GDP had shown domestic demand growing by 0.7% in Q3. Changes in inventories had contributed 0.2 percentage points to growth, so final domestic demand had grown by</w:t>
      </w:r>
      <w:r>
        <w:rPr>
          <w:spacing w:val="-6"/>
          <w:sz w:val="18"/>
        </w:rPr>
        <w:t> </w:t>
      </w:r>
      <w:r>
        <w:rPr>
          <w:sz w:val="18"/>
        </w:rPr>
        <w:t>0.5%.</w:t>
      </w:r>
    </w:p>
    <w:p>
      <w:pPr>
        <w:pStyle w:val="BodyText"/>
        <w:spacing w:before="1"/>
        <w:rPr>
          <w:sz w:val="17"/>
        </w:rPr>
      </w:pPr>
    </w:p>
    <w:p>
      <w:pPr>
        <w:pStyle w:val="ListParagraph"/>
        <w:numPr>
          <w:ilvl w:val="0"/>
          <w:numId w:val="47"/>
        </w:numPr>
        <w:tabs>
          <w:tab w:pos="665" w:val="left" w:leader="none"/>
          <w:tab w:pos="666" w:val="left" w:leader="none"/>
        </w:tabs>
        <w:spacing w:line="232" w:lineRule="auto" w:before="1" w:after="0"/>
        <w:ind w:left="185" w:right="53" w:firstLine="0"/>
        <w:jc w:val="left"/>
        <w:rPr>
          <w:sz w:val="18"/>
        </w:rPr>
      </w:pPr>
      <w:r>
        <w:rPr>
          <w:sz w:val="18"/>
        </w:rPr>
        <w:t>Private consumption had grown by 0.6% in 1999 Q3, and annual growth had been 4.4%. This had been stronger than expected at the time of the November </w:t>
      </w:r>
      <w:r>
        <w:rPr>
          <w:i/>
          <w:sz w:val="18"/>
        </w:rPr>
        <w:t>Inflation Report</w:t>
      </w:r>
      <w:r>
        <w:rPr>
          <w:sz w:val="18"/>
        </w:rPr>
        <w:t>, partly because of an unexpectedly small fall in vehicle expenditure. The seasonal pattern of vehicle expenditure in 1999 had been affected by the change in registration dates for new cars. The ONS had included an estimate of the size of this seasonal shift in their estimate of total Q3 spending. But a similar adjustment had not yet been made to Q1 or Q2 in light of the latest data. Total new car registrations over the first eleven months of the year had been 1.8% lower than a year earlier. A complete breakdown of consumption growth had not yet been published, but retail sales had grown by 1.2% in Q3. Government consumption had risen by 0.5% in Q3, down from 0.6% in</w:t>
      </w:r>
      <w:r>
        <w:rPr>
          <w:spacing w:val="-5"/>
          <w:sz w:val="18"/>
        </w:rPr>
        <w:t> </w:t>
      </w:r>
      <w:r>
        <w:rPr>
          <w:sz w:val="18"/>
        </w:rPr>
        <w:t>Q2.</w:t>
      </w:r>
    </w:p>
    <w:p>
      <w:pPr>
        <w:pStyle w:val="BodyText"/>
        <w:spacing w:before="5"/>
        <w:rPr>
          <w:sz w:val="16"/>
        </w:rPr>
      </w:pPr>
    </w:p>
    <w:p>
      <w:pPr>
        <w:pStyle w:val="ListParagraph"/>
        <w:numPr>
          <w:ilvl w:val="0"/>
          <w:numId w:val="47"/>
        </w:numPr>
        <w:tabs>
          <w:tab w:pos="665" w:val="left" w:leader="none"/>
          <w:tab w:pos="666" w:val="left" w:leader="none"/>
        </w:tabs>
        <w:spacing w:line="232" w:lineRule="auto" w:before="0" w:after="0"/>
        <w:ind w:left="185" w:right="48" w:firstLine="0"/>
        <w:jc w:val="left"/>
        <w:rPr>
          <w:sz w:val="18"/>
        </w:rPr>
      </w:pPr>
      <w:r>
        <w:rPr>
          <w:sz w:val="18"/>
        </w:rPr>
        <w:t>Total investment had grown by 0.2% in Q3. Business investment had fallen by 1.3%, though it had remained 4.3% higher than a year earlier. Within this, manufacturing investment had fallen by 5.2% in Q3, and service sector investment had fallen by 0.6%. The fall in business investment had been puzzling, but the investment data had tended to be revised upwards in recent years. The gross operating surplus of corporations had risen by 2.3% in Q2, and the annual rate of decline had moderated to</w:t>
      </w:r>
      <w:r>
        <w:rPr>
          <w:spacing w:val="-26"/>
          <w:sz w:val="18"/>
        </w:rPr>
        <w:t> </w:t>
      </w:r>
      <w:r>
        <w:rPr>
          <w:sz w:val="18"/>
        </w:rPr>
        <w:t>-5.0%.</w:t>
      </w:r>
    </w:p>
    <w:p>
      <w:pPr>
        <w:pStyle w:val="BodyText"/>
        <w:spacing w:before="9"/>
        <w:rPr>
          <w:sz w:val="16"/>
        </w:rPr>
      </w:pPr>
    </w:p>
    <w:p>
      <w:pPr>
        <w:pStyle w:val="ListParagraph"/>
        <w:numPr>
          <w:ilvl w:val="0"/>
          <w:numId w:val="47"/>
        </w:numPr>
        <w:tabs>
          <w:tab w:pos="665" w:val="left" w:leader="none"/>
          <w:tab w:pos="666" w:val="left" w:leader="none"/>
        </w:tabs>
        <w:spacing w:line="232" w:lineRule="auto" w:before="1" w:after="0"/>
        <w:ind w:left="185" w:right="82" w:firstLine="0"/>
        <w:jc w:val="left"/>
        <w:rPr>
          <w:sz w:val="18"/>
        </w:rPr>
      </w:pPr>
      <w:r>
        <w:rPr>
          <w:sz w:val="18"/>
        </w:rPr>
        <w:t>Inventories had made a positive contribution to GDP growth in Q3, reflecting a slowdown in the pace of decline. Including the alignment</w:t>
      </w:r>
      <w:r>
        <w:rPr>
          <w:spacing w:val="-6"/>
          <w:sz w:val="18"/>
        </w:rPr>
        <w:t> </w:t>
      </w:r>
      <w:r>
        <w:rPr>
          <w:sz w:val="18"/>
        </w:rPr>
        <w:t>adjustment,</w:t>
      </w:r>
      <w:r>
        <w:rPr>
          <w:spacing w:val="-5"/>
          <w:sz w:val="18"/>
        </w:rPr>
        <w:t> </w:t>
      </w:r>
      <w:r>
        <w:rPr>
          <w:sz w:val="18"/>
        </w:rPr>
        <w:t>inventories</w:t>
      </w:r>
      <w:r>
        <w:rPr>
          <w:spacing w:val="-6"/>
          <w:sz w:val="18"/>
        </w:rPr>
        <w:t> </w:t>
      </w:r>
      <w:r>
        <w:rPr>
          <w:sz w:val="18"/>
        </w:rPr>
        <w:t>had</w:t>
      </w:r>
      <w:r>
        <w:rPr>
          <w:spacing w:val="-5"/>
          <w:sz w:val="18"/>
        </w:rPr>
        <w:t> </w:t>
      </w:r>
      <w:r>
        <w:rPr>
          <w:sz w:val="18"/>
        </w:rPr>
        <w:t>fallen</w:t>
      </w:r>
      <w:r>
        <w:rPr>
          <w:spacing w:val="-5"/>
          <w:sz w:val="18"/>
        </w:rPr>
        <w:t> </w:t>
      </w:r>
      <w:r>
        <w:rPr>
          <w:sz w:val="18"/>
        </w:rPr>
        <w:t>by</w:t>
      </w:r>
      <w:r>
        <w:rPr>
          <w:spacing w:val="-6"/>
          <w:sz w:val="18"/>
        </w:rPr>
        <w:t> </w:t>
      </w:r>
      <w:r>
        <w:rPr>
          <w:sz w:val="18"/>
        </w:rPr>
        <w:t>£0.7</w:t>
      </w:r>
      <w:r>
        <w:rPr>
          <w:spacing w:val="-5"/>
          <w:sz w:val="18"/>
        </w:rPr>
        <w:t> </w:t>
      </w:r>
      <w:r>
        <w:rPr>
          <w:sz w:val="18"/>
        </w:rPr>
        <w:t>billion</w:t>
      </w:r>
      <w:r>
        <w:rPr>
          <w:spacing w:val="-5"/>
          <w:sz w:val="18"/>
        </w:rPr>
        <w:t> </w:t>
      </w:r>
      <w:r>
        <w:rPr>
          <w:sz w:val="18"/>
        </w:rPr>
        <w:t>in</w:t>
      </w:r>
      <w:r>
        <w:rPr>
          <w:spacing w:val="-6"/>
          <w:sz w:val="18"/>
        </w:rPr>
        <w:t> </w:t>
      </w:r>
      <w:r>
        <w:rPr>
          <w:sz w:val="18"/>
        </w:rPr>
        <w:t>Q3,</w:t>
      </w:r>
    </w:p>
    <w:p>
      <w:pPr>
        <w:pStyle w:val="BodyText"/>
        <w:spacing w:before="4"/>
        <w:rPr>
          <w:sz w:val="21"/>
        </w:rPr>
      </w:pPr>
      <w:r>
        <w:rPr/>
        <w:br w:type="column"/>
      </w:r>
      <w:r>
        <w:rPr>
          <w:sz w:val="21"/>
        </w:rPr>
      </w:r>
    </w:p>
    <w:p>
      <w:pPr>
        <w:pStyle w:val="BodyText"/>
        <w:spacing w:line="232" w:lineRule="auto" w:before="1"/>
        <w:ind w:left="185" w:right="217"/>
      </w:pPr>
      <w:r>
        <w:rPr/>
        <w:t>compared with a fall of £1.2 billion in Q2. The CBI monthly survey</w:t>
      </w:r>
      <w:r>
        <w:rPr>
          <w:spacing w:val="-7"/>
        </w:rPr>
        <w:t> </w:t>
      </w:r>
      <w:r>
        <w:rPr/>
        <w:t>in</w:t>
      </w:r>
      <w:r>
        <w:rPr>
          <w:spacing w:val="-6"/>
        </w:rPr>
        <w:t> </w:t>
      </w:r>
      <w:r>
        <w:rPr/>
        <w:t>November</w:t>
      </w:r>
      <w:r>
        <w:rPr>
          <w:spacing w:val="-7"/>
        </w:rPr>
        <w:t> </w:t>
      </w:r>
      <w:r>
        <w:rPr/>
        <w:t>had</w:t>
      </w:r>
      <w:r>
        <w:rPr>
          <w:spacing w:val="-6"/>
        </w:rPr>
        <w:t> </w:t>
      </w:r>
      <w:r>
        <w:rPr/>
        <w:t>reported</w:t>
      </w:r>
      <w:r>
        <w:rPr>
          <w:spacing w:val="-6"/>
        </w:rPr>
        <w:t> </w:t>
      </w:r>
      <w:r>
        <w:rPr/>
        <w:t>that</w:t>
      </w:r>
      <w:r>
        <w:rPr>
          <w:spacing w:val="-7"/>
        </w:rPr>
        <w:t> </w:t>
      </w:r>
      <w:r>
        <w:rPr/>
        <w:t>manufacturers</w:t>
      </w:r>
      <w:r>
        <w:rPr>
          <w:spacing w:val="-6"/>
        </w:rPr>
        <w:t> </w:t>
      </w:r>
      <w:r>
        <w:rPr/>
        <w:t>still</w:t>
      </w:r>
      <w:r>
        <w:rPr>
          <w:spacing w:val="-6"/>
        </w:rPr>
        <w:t> </w:t>
      </w:r>
      <w:r>
        <w:rPr/>
        <w:t>perceived their stocks to be more than</w:t>
      </w:r>
      <w:r>
        <w:rPr>
          <w:spacing w:val="-9"/>
        </w:rPr>
        <w:t> </w:t>
      </w:r>
      <w:r>
        <w:rPr/>
        <w:t>adequate.</w:t>
      </w:r>
    </w:p>
    <w:p>
      <w:pPr>
        <w:pStyle w:val="BodyText"/>
        <w:spacing w:before="2"/>
        <w:rPr>
          <w:sz w:val="17"/>
        </w:rPr>
      </w:pPr>
    </w:p>
    <w:p>
      <w:pPr>
        <w:pStyle w:val="ListParagraph"/>
        <w:numPr>
          <w:ilvl w:val="0"/>
          <w:numId w:val="47"/>
        </w:numPr>
        <w:tabs>
          <w:tab w:pos="665" w:val="left" w:leader="none"/>
          <w:tab w:pos="666" w:val="left" w:leader="none"/>
        </w:tabs>
        <w:spacing w:line="232" w:lineRule="auto" w:before="0" w:after="0"/>
        <w:ind w:left="185" w:right="274" w:firstLine="0"/>
        <w:jc w:val="left"/>
        <w:rPr>
          <w:sz w:val="18"/>
        </w:rPr>
      </w:pPr>
      <w:r>
        <w:rPr>
          <w:sz w:val="18"/>
        </w:rPr>
        <w:t>Net trade had contributed 0.2 percentage points to GDP growth in Q3, the second consecutive positive quarterly contribution. Total exports of goods and services had grown by 6.2%, and imports had grown by 4.9%. The rise in goods exports had been more broadly based than in Q2, with exports to non-EU countries</w:t>
      </w:r>
      <w:r>
        <w:rPr>
          <w:spacing w:val="-5"/>
          <w:sz w:val="18"/>
        </w:rPr>
        <w:t> </w:t>
      </w:r>
      <w:r>
        <w:rPr>
          <w:sz w:val="18"/>
        </w:rPr>
        <w:t>growing</w:t>
      </w:r>
      <w:r>
        <w:rPr>
          <w:spacing w:val="-4"/>
          <w:sz w:val="18"/>
        </w:rPr>
        <w:t> </w:t>
      </w:r>
      <w:r>
        <w:rPr>
          <w:sz w:val="18"/>
        </w:rPr>
        <w:t>by</w:t>
      </w:r>
      <w:r>
        <w:rPr>
          <w:spacing w:val="-5"/>
          <w:sz w:val="18"/>
        </w:rPr>
        <w:t> </w:t>
      </w:r>
      <w:r>
        <w:rPr>
          <w:sz w:val="18"/>
        </w:rPr>
        <w:t>10.1%</w:t>
      </w:r>
      <w:r>
        <w:rPr>
          <w:spacing w:val="-4"/>
          <w:sz w:val="18"/>
        </w:rPr>
        <w:t> </w:t>
      </w:r>
      <w:r>
        <w:rPr>
          <w:sz w:val="18"/>
        </w:rPr>
        <w:t>and</w:t>
      </w:r>
      <w:r>
        <w:rPr>
          <w:spacing w:val="-5"/>
          <w:sz w:val="18"/>
        </w:rPr>
        <w:t> </w:t>
      </w:r>
      <w:r>
        <w:rPr>
          <w:sz w:val="18"/>
        </w:rPr>
        <w:t>exports</w:t>
      </w:r>
      <w:r>
        <w:rPr>
          <w:spacing w:val="-4"/>
          <w:sz w:val="18"/>
        </w:rPr>
        <w:t> </w:t>
      </w:r>
      <w:r>
        <w:rPr>
          <w:sz w:val="18"/>
        </w:rPr>
        <w:t>to</w:t>
      </w:r>
      <w:r>
        <w:rPr>
          <w:spacing w:val="-5"/>
          <w:sz w:val="18"/>
        </w:rPr>
        <w:t> </w:t>
      </w:r>
      <w:r>
        <w:rPr>
          <w:sz w:val="18"/>
        </w:rPr>
        <w:t>the</w:t>
      </w:r>
      <w:r>
        <w:rPr>
          <w:spacing w:val="-4"/>
          <w:sz w:val="18"/>
        </w:rPr>
        <w:t> </w:t>
      </w:r>
      <w:r>
        <w:rPr>
          <w:sz w:val="18"/>
        </w:rPr>
        <w:t>EU</w:t>
      </w:r>
      <w:r>
        <w:rPr>
          <w:spacing w:val="-4"/>
          <w:sz w:val="18"/>
        </w:rPr>
        <w:t> </w:t>
      </w:r>
      <w:r>
        <w:rPr>
          <w:sz w:val="18"/>
        </w:rPr>
        <w:t>rising</w:t>
      </w:r>
      <w:r>
        <w:rPr>
          <w:spacing w:val="-5"/>
          <w:sz w:val="18"/>
        </w:rPr>
        <w:t> </w:t>
      </w:r>
      <w:r>
        <w:rPr>
          <w:sz w:val="18"/>
        </w:rPr>
        <w:t>by</w:t>
      </w:r>
      <w:r>
        <w:rPr>
          <w:spacing w:val="-4"/>
          <w:sz w:val="18"/>
        </w:rPr>
        <w:t> </w:t>
      </w:r>
      <w:r>
        <w:rPr>
          <w:sz w:val="18"/>
        </w:rPr>
        <w:t>7.0%.</w:t>
      </w:r>
    </w:p>
    <w:p>
      <w:pPr>
        <w:pStyle w:val="BodyText"/>
        <w:spacing w:before="11"/>
        <w:rPr>
          <w:sz w:val="16"/>
        </w:rPr>
      </w:pPr>
    </w:p>
    <w:p>
      <w:pPr>
        <w:pStyle w:val="ListParagraph"/>
        <w:numPr>
          <w:ilvl w:val="0"/>
          <w:numId w:val="47"/>
        </w:numPr>
        <w:tabs>
          <w:tab w:pos="665" w:val="left" w:leader="none"/>
          <w:tab w:pos="666" w:val="left" w:leader="none"/>
        </w:tabs>
        <w:spacing w:line="232" w:lineRule="auto" w:before="0" w:after="0"/>
        <w:ind w:left="185" w:right="240" w:firstLine="0"/>
        <w:jc w:val="left"/>
        <w:rPr>
          <w:sz w:val="18"/>
        </w:rPr>
      </w:pPr>
      <w:r>
        <w:rPr>
          <w:sz w:val="18"/>
        </w:rPr>
        <w:t>The Bank’s regional Agents had conducted a survey of their contacts to help assess the nature of the export recovery. A sample of mostly manufacturing firms with export-related business had been selected. Of the 121 firms responding to the survey, slightly more than half had indicated that their export volumes had not grown over the past six months. Demand had been reported to be strongest in North America, followed by Asia and other markets. Europe remained the weakest market, but had been recovering slowly. A large number of exporters to Europe had noted that lower profit margins had been a factor affecting export volumes in the past six</w:t>
      </w:r>
      <w:r>
        <w:rPr>
          <w:spacing w:val="-4"/>
          <w:sz w:val="18"/>
        </w:rPr>
        <w:t> </w:t>
      </w:r>
      <w:r>
        <w:rPr>
          <w:sz w:val="18"/>
        </w:rPr>
        <w:t>months.</w:t>
      </w:r>
    </w:p>
    <w:p>
      <w:pPr>
        <w:pStyle w:val="BodyText"/>
        <w:spacing w:before="7"/>
        <w:rPr>
          <w:sz w:val="16"/>
        </w:rPr>
      </w:pPr>
    </w:p>
    <w:p>
      <w:pPr>
        <w:pStyle w:val="ListParagraph"/>
        <w:numPr>
          <w:ilvl w:val="0"/>
          <w:numId w:val="47"/>
        </w:numPr>
        <w:tabs>
          <w:tab w:pos="665" w:val="left" w:leader="none"/>
          <w:tab w:pos="666" w:val="left" w:leader="none"/>
        </w:tabs>
        <w:spacing w:line="232" w:lineRule="auto" w:before="1" w:after="0"/>
        <w:ind w:left="185" w:right="214" w:firstLine="0"/>
        <w:jc w:val="left"/>
        <w:rPr>
          <w:sz w:val="18"/>
        </w:rPr>
      </w:pPr>
      <w:r>
        <w:rPr>
          <w:sz w:val="18"/>
        </w:rPr>
        <w:t>On the assumption that the exchange rate remained unchanged, the expected growth in export volumes over the next six months had varied across regions. Around 40% of respondents exporting to Europe expected volumes to fall, with an additional 30% expecting growth to slow but remain positive. Those exporting</w:t>
      </w:r>
      <w:r>
        <w:rPr>
          <w:spacing w:val="-6"/>
          <w:sz w:val="18"/>
        </w:rPr>
        <w:t> </w:t>
      </w:r>
      <w:r>
        <w:rPr>
          <w:sz w:val="18"/>
        </w:rPr>
        <w:t>to</w:t>
      </w:r>
      <w:r>
        <w:rPr>
          <w:spacing w:val="-6"/>
          <w:sz w:val="18"/>
        </w:rPr>
        <w:t> </w:t>
      </w:r>
      <w:r>
        <w:rPr>
          <w:sz w:val="18"/>
        </w:rPr>
        <w:t>regions</w:t>
      </w:r>
      <w:r>
        <w:rPr>
          <w:spacing w:val="-5"/>
          <w:sz w:val="18"/>
        </w:rPr>
        <w:t> </w:t>
      </w:r>
      <w:r>
        <w:rPr>
          <w:sz w:val="18"/>
        </w:rPr>
        <w:t>outside</w:t>
      </w:r>
      <w:r>
        <w:rPr>
          <w:spacing w:val="-6"/>
          <w:sz w:val="18"/>
        </w:rPr>
        <w:t> </w:t>
      </w:r>
      <w:r>
        <w:rPr>
          <w:sz w:val="18"/>
        </w:rPr>
        <w:t>Europe</w:t>
      </w:r>
      <w:r>
        <w:rPr>
          <w:spacing w:val="-6"/>
          <w:sz w:val="18"/>
        </w:rPr>
        <w:t> </w:t>
      </w:r>
      <w:r>
        <w:rPr>
          <w:sz w:val="18"/>
        </w:rPr>
        <w:t>had</w:t>
      </w:r>
      <w:r>
        <w:rPr>
          <w:spacing w:val="-5"/>
          <w:sz w:val="18"/>
        </w:rPr>
        <w:t> </w:t>
      </w:r>
      <w:r>
        <w:rPr>
          <w:sz w:val="18"/>
        </w:rPr>
        <w:t>been</w:t>
      </w:r>
      <w:r>
        <w:rPr>
          <w:spacing w:val="-6"/>
          <w:sz w:val="18"/>
        </w:rPr>
        <w:t> </w:t>
      </w:r>
      <w:r>
        <w:rPr>
          <w:sz w:val="18"/>
        </w:rPr>
        <w:t>more</w:t>
      </w:r>
      <w:r>
        <w:rPr>
          <w:spacing w:val="-6"/>
          <w:sz w:val="18"/>
        </w:rPr>
        <w:t> </w:t>
      </w:r>
      <w:r>
        <w:rPr>
          <w:sz w:val="18"/>
        </w:rPr>
        <w:t>optimistic,</w:t>
      </w:r>
      <w:r>
        <w:rPr>
          <w:spacing w:val="-5"/>
          <w:sz w:val="18"/>
        </w:rPr>
        <w:t> </w:t>
      </w:r>
      <w:r>
        <w:rPr>
          <w:sz w:val="18"/>
        </w:rPr>
        <w:t>with around three-quarters expecting positive export</w:t>
      </w:r>
      <w:r>
        <w:rPr>
          <w:spacing w:val="-14"/>
          <w:sz w:val="18"/>
        </w:rPr>
        <w:t> </w:t>
      </w:r>
      <w:r>
        <w:rPr>
          <w:sz w:val="18"/>
        </w:rPr>
        <w:t>growth.</w:t>
      </w:r>
    </w:p>
    <w:p>
      <w:pPr>
        <w:pStyle w:val="BodyText"/>
        <w:spacing w:before="10"/>
        <w:rPr>
          <w:sz w:val="16"/>
        </w:rPr>
      </w:pPr>
    </w:p>
    <w:p>
      <w:pPr>
        <w:pStyle w:val="ListParagraph"/>
        <w:numPr>
          <w:ilvl w:val="0"/>
          <w:numId w:val="47"/>
        </w:numPr>
        <w:tabs>
          <w:tab w:pos="665" w:val="left" w:leader="none"/>
          <w:tab w:pos="666" w:val="left" w:leader="none"/>
        </w:tabs>
        <w:spacing w:line="232" w:lineRule="auto" w:before="0" w:after="0"/>
        <w:ind w:left="185" w:right="188" w:firstLine="0"/>
        <w:jc w:val="left"/>
        <w:rPr>
          <w:sz w:val="18"/>
        </w:rPr>
      </w:pPr>
      <w:r>
        <w:rPr>
          <w:sz w:val="18"/>
        </w:rPr>
        <w:t>Turning to indicators of Q4 activity, manufacturing output had risen by 0.1% in October and retail sales volumes had risen by 0.5%. Retail sales volumes had grown by 1.2% in the three months to October compared with the previous three months, and by 4% compared with a year earlier. Growth in retail sales volumes had continued to exceed that of retail sales values.  The CBI Distributive</w:t>
      </w:r>
      <w:r>
        <w:rPr>
          <w:spacing w:val="-6"/>
          <w:sz w:val="18"/>
        </w:rPr>
        <w:t> </w:t>
      </w:r>
      <w:r>
        <w:rPr>
          <w:sz w:val="18"/>
        </w:rPr>
        <w:t>Trades</w:t>
      </w:r>
      <w:r>
        <w:rPr>
          <w:spacing w:val="-6"/>
          <w:sz w:val="18"/>
        </w:rPr>
        <w:t> </w:t>
      </w:r>
      <w:r>
        <w:rPr>
          <w:sz w:val="18"/>
        </w:rPr>
        <w:t>survey</w:t>
      </w:r>
      <w:r>
        <w:rPr>
          <w:spacing w:val="-5"/>
          <w:sz w:val="18"/>
        </w:rPr>
        <w:t> </w:t>
      </w:r>
      <w:r>
        <w:rPr>
          <w:sz w:val="18"/>
        </w:rPr>
        <w:t>had</w:t>
      </w:r>
      <w:r>
        <w:rPr>
          <w:spacing w:val="-6"/>
          <w:sz w:val="18"/>
        </w:rPr>
        <w:t> </w:t>
      </w:r>
      <w:r>
        <w:rPr>
          <w:sz w:val="18"/>
        </w:rPr>
        <w:t>shown</w:t>
      </w:r>
      <w:r>
        <w:rPr>
          <w:spacing w:val="-5"/>
          <w:sz w:val="18"/>
        </w:rPr>
        <w:t> </w:t>
      </w:r>
      <w:r>
        <w:rPr>
          <w:sz w:val="18"/>
        </w:rPr>
        <w:t>a</w:t>
      </w:r>
      <w:r>
        <w:rPr>
          <w:spacing w:val="-6"/>
          <w:sz w:val="18"/>
        </w:rPr>
        <w:t> </w:t>
      </w:r>
      <w:r>
        <w:rPr>
          <w:sz w:val="18"/>
        </w:rPr>
        <w:t>balance</w:t>
      </w:r>
      <w:r>
        <w:rPr>
          <w:spacing w:val="-5"/>
          <w:sz w:val="18"/>
        </w:rPr>
        <w:t> </w:t>
      </w:r>
      <w:r>
        <w:rPr>
          <w:sz w:val="18"/>
        </w:rPr>
        <w:t>of</w:t>
      </w:r>
      <w:r>
        <w:rPr>
          <w:spacing w:val="-6"/>
          <w:sz w:val="18"/>
        </w:rPr>
        <w:t> </w:t>
      </w:r>
      <w:r>
        <w:rPr>
          <w:sz w:val="18"/>
        </w:rPr>
        <w:t>+24</w:t>
      </w:r>
      <w:r>
        <w:rPr>
          <w:spacing w:val="-6"/>
          <w:sz w:val="18"/>
        </w:rPr>
        <w:t> </w:t>
      </w:r>
      <w:r>
        <w:rPr>
          <w:sz w:val="18"/>
        </w:rPr>
        <w:t>respondents reporting higher activity in November, and further growth</w:t>
      </w:r>
      <w:r>
        <w:rPr>
          <w:spacing w:val="-28"/>
          <w:sz w:val="18"/>
        </w:rPr>
        <w:t> </w:t>
      </w:r>
      <w:r>
        <w:rPr>
          <w:sz w:val="18"/>
        </w:rPr>
        <w:t>had</w:t>
      </w:r>
    </w:p>
    <w:p>
      <w:pPr>
        <w:pStyle w:val="BodyText"/>
        <w:spacing w:line="232" w:lineRule="auto"/>
        <w:ind w:left="185" w:right="271"/>
      </w:pPr>
      <w:r>
        <w:rPr/>
        <w:t>been expected in December. The M</w:t>
      </w:r>
      <w:r>
        <w:rPr>
          <w:sz w:val="14"/>
        </w:rPr>
        <w:t>ORI </w:t>
      </w:r>
      <w:r>
        <w:rPr/>
        <w:t>measure of consumer confidence had risen to +4 in November, but the GfK confidence index (which was less volatile and had a bigger sample) had fallen to -1.5.</w:t>
      </w:r>
    </w:p>
    <w:p>
      <w:pPr>
        <w:pStyle w:val="BodyText"/>
        <w:spacing w:before="7"/>
        <w:rPr>
          <w:sz w:val="16"/>
        </w:rPr>
      </w:pPr>
    </w:p>
    <w:p>
      <w:pPr>
        <w:pStyle w:val="ListParagraph"/>
        <w:numPr>
          <w:ilvl w:val="0"/>
          <w:numId w:val="47"/>
        </w:numPr>
        <w:tabs>
          <w:tab w:pos="665" w:val="left" w:leader="none"/>
          <w:tab w:pos="666" w:val="left" w:leader="none"/>
        </w:tabs>
        <w:spacing w:line="232" w:lineRule="auto" w:before="0" w:after="0"/>
        <w:ind w:left="185" w:right="204" w:firstLine="0"/>
        <w:jc w:val="left"/>
        <w:rPr>
          <w:sz w:val="18"/>
        </w:rPr>
      </w:pPr>
      <w:r>
        <w:rPr>
          <w:sz w:val="18"/>
        </w:rPr>
        <w:t>Housing data had been mixed in November, with the Halifax house price index falling by 0.5%, but the Nationwide measure rising by 1.9%. Indicators of housing activity had also been mixed, but generally pointed to continued high levels of activity. Particulars delivered had risen by 4.1% in October and had been 17.4% up on a year earlier. But the seasonally adjusted net balance of respondents reporting an increase in net reservations compared to a year ago had fallen to +29 in the October House Builders’ Federation survey, from +45 in September. The Royal Institute of Chartered Surveyors seasonally adjusted sales balance had remained high at +32. Private housing starts had risen by 4.5% in the three months to October compared to the previous three months, and by 9.0% compared to a year</w:t>
      </w:r>
      <w:r>
        <w:rPr>
          <w:spacing w:val="-15"/>
          <w:sz w:val="18"/>
        </w:rPr>
        <w:t> </w:t>
      </w:r>
      <w:r>
        <w:rPr>
          <w:sz w:val="18"/>
        </w:rPr>
        <w:t>earlier.</w:t>
      </w:r>
    </w:p>
    <w:p>
      <w:pPr>
        <w:pStyle w:val="BodyText"/>
        <w:spacing w:before="6"/>
        <w:rPr>
          <w:sz w:val="16"/>
        </w:rPr>
      </w:pPr>
    </w:p>
    <w:p>
      <w:pPr>
        <w:pStyle w:val="ListParagraph"/>
        <w:numPr>
          <w:ilvl w:val="0"/>
          <w:numId w:val="47"/>
        </w:numPr>
        <w:tabs>
          <w:tab w:pos="665" w:val="left" w:leader="none"/>
          <w:tab w:pos="666" w:val="left" w:leader="none"/>
        </w:tabs>
        <w:spacing w:line="232" w:lineRule="auto" w:before="0" w:after="0"/>
        <w:ind w:left="185" w:right="214" w:firstLine="0"/>
        <w:jc w:val="left"/>
        <w:rPr>
          <w:sz w:val="18"/>
        </w:rPr>
      </w:pPr>
      <w:r>
        <w:rPr>
          <w:sz w:val="18"/>
        </w:rPr>
        <w:t>The latest survey-based estimate produced by Bank staff had suggested GDP growth of 0.8%–0.9% in Q4. The estimate of three-month on three-month GDP growth produced by the National Institute of Economic and Social Research had been 0.9% in October and projected to be 0.8% in November. Turning to the individual surveys, the output expectations balance in the CBI Monthly Trends survey had fallen back a little to +6 in November from +12 in October. The total orders balance had been above its average at -16, but export order books had been at -33, below their long run average. The October CBI Industrial Trends survey had shown that manufacturing investment intentions had weakened as the balance of expected capital expenditure on plant and machinery had fallen to -11 in Q3 from -8 in Q2, well below the long-run average.</w:t>
      </w:r>
    </w:p>
    <w:p>
      <w:pPr>
        <w:spacing w:after="0" w:line="232" w:lineRule="auto"/>
        <w:jc w:val="left"/>
        <w:rPr>
          <w:sz w:val="18"/>
        </w:rPr>
        <w:sectPr>
          <w:type w:val="continuous"/>
          <w:pgSz w:w="11900" w:h="16840"/>
          <w:pgMar w:top="1220" w:bottom="280" w:left="620" w:right="640"/>
          <w:cols w:num="2" w:equalWidth="0">
            <w:col w:w="5109" w:space="271"/>
            <w:col w:w="526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7"/>
        <w:rPr>
          <w:sz w:val="19"/>
        </w:rPr>
      </w:pPr>
    </w:p>
    <w:p>
      <w:pPr>
        <w:pStyle w:val="ListParagraph"/>
        <w:numPr>
          <w:ilvl w:val="0"/>
          <w:numId w:val="47"/>
        </w:numPr>
        <w:tabs>
          <w:tab w:pos="660" w:val="left" w:leader="none"/>
        </w:tabs>
        <w:spacing w:line="232" w:lineRule="auto" w:before="1" w:after="0"/>
        <w:ind w:left="180" w:right="194" w:firstLine="0"/>
        <w:jc w:val="both"/>
        <w:rPr>
          <w:sz w:val="18"/>
        </w:rPr>
      </w:pPr>
      <w:r>
        <w:rPr>
          <w:sz w:val="18"/>
        </w:rPr>
        <w:t>The headline index of the Chartered Institute of Purchasing and Supply (C</w:t>
      </w:r>
      <w:r>
        <w:rPr>
          <w:sz w:val="14"/>
        </w:rPr>
        <w:t>IPS</w:t>
      </w:r>
      <w:r>
        <w:rPr>
          <w:sz w:val="18"/>
        </w:rPr>
        <w:t>) manufacturing survey had risen slightly to 54.2 in November. The output index had been 57.4, above</w:t>
      </w:r>
      <w:r>
        <w:rPr>
          <w:spacing w:val="-24"/>
          <w:sz w:val="18"/>
        </w:rPr>
        <w:t> </w:t>
      </w:r>
      <w:r>
        <w:rPr>
          <w:sz w:val="18"/>
        </w:rPr>
        <w:t>the</w:t>
      </w:r>
    </w:p>
    <w:p>
      <w:pPr>
        <w:pStyle w:val="BodyText"/>
        <w:spacing w:line="232" w:lineRule="auto"/>
        <w:ind w:left="180"/>
      </w:pPr>
      <w:r>
        <w:rPr/>
        <w:t>no-change value of 50 for the ninth consecutive month, and the highest level since February 1997. The survey had suggested rather less buoyant export growth than the official data, with the index at</w:t>
      </w:r>
    </w:p>
    <w:p>
      <w:pPr>
        <w:pStyle w:val="ListParagraph"/>
        <w:numPr>
          <w:ilvl w:val="1"/>
          <w:numId w:val="43"/>
        </w:numPr>
        <w:tabs>
          <w:tab w:pos="630" w:val="left" w:leader="none"/>
        </w:tabs>
        <w:spacing w:line="232" w:lineRule="auto" w:before="0" w:after="0"/>
        <w:ind w:left="179" w:right="72" w:firstLine="0"/>
        <w:jc w:val="left"/>
        <w:rPr>
          <w:sz w:val="18"/>
        </w:rPr>
      </w:pPr>
      <w:r>
        <w:rPr>
          <w:sz w:val="18"/>
        </w:rPr>
        <w:t>Stocks of finished goods had fallen in November, after rising in October for the first time since July 1998. The C</w:t>
      </w:r>
      <w:r>
        <w:rPr>
          <w:sz w:val="14"/>
        </w:rPr>
        <w:t>IPS </w:t>
      </w:r>
      <w:r>
        <w:rPr>
          <w:sz w:val="18"/>
        </w:rPr>
        <w:t>services survey had strengthened to 59.5 in November, the highest level since June 1997, with business activity rising throughout the sector. The C</w:t>
      </w:r>
      <w:r>
        <w:rPr>
          <w:sz w:val="14"/>
        </w:rPr>
        <w:t>IPS </w:t>
      </w:r>
      <w:r>
        <w:rPr>
          <w:sz w:val="18"/>
        </w:rPr>
        <w:t>construction index had also been strong at 57.5 in November, with housing and commercial orders remaining robust. But construction new orders had fallen by 5% in the three months to September compared with the previous three months, and had been 16% below their level in the same period in</w:t>
      </w:r>
      <w:r>
        <w:rPr>
          <w:spacing w:val="-21"/>
          <w:sz w:val="18"/>
        </w:rPr>
        <w:t> </w:t>
      </w:r>
      <w:r>
        <w:rPr>
          <w:sz w:val="18"/>
        </w:rPr>
        <w:t>1998.</w:t>
      </w:r>
    </w:p>
    <w:p>
      <w:pPr>
        <w:pStyle w:val="BodyText"/>
        <w:spacing w:before="4"/>
        <w:rPr>
          <w:sz w:val="16"/>
        </w:rPr>
      </w:pPr>
    </w:p>
    <w:p>
      <w:pPr>
        <w:pStyle w:val="ListParagraph"/>
        <w:numPr>
          <w:ilvl w:val="0"/>
          <w:numId w:val="47"/>
        </w:numPr>
        <w:tabs>
          <w:tab w:pos="659" w:val="left" w:leader="none"/>
          <w:tab w:pos="660" w:val="left" w:leader="none"/>
        </w:tabs>
        <w:spacing w:line="232" w:lineRule="auto" w:before="0" w:after="0"/>
        <w:ind w:left="179" w:right="67" w:firstLine="0"/>
        <w:jc w:val="left"/>
        <w:rPr>
          <w:sz w:val="18"/>
        </w:rPr>
      </w:pPr>
      <w:r>
        <w:rPr>
          <w:sz w:val="18"/>
        </w:rPr>
        <w:t>In its latest Pre-Budget Report, published on 9 November, HM Treasury had revised down its forecast of Public Sector Net Borrowing in 1999/00 by around £6 billion. Forecast receipts had been revised upwards, reflecting an improved cyclical outlook. Projections for total public sector spending out to 2001/02 had been little changed, although a £0.7 billion underspend in 1998/99 had been carried forward into</w:t>
      </w:r>
      <w:r>
        <w:rPr>
          <w:spacing w:val="-6"/>
          <w:sz w:val="18"/>
        </w:rPr>
        <w:t> </w:t>
      </w:r>
      <w:r>
        <w:rPr>
          <w:sz w:val="18"/>
        </w:rPr>
        <w:t>1999/00.</w:t>
      </w:r>
    </w:p>
    <w:p>
      <w:pPr>
        <w:pStyle w:val="BodyText"/>
        <w:spacing w:before="10"/>
        <w:rPr>
          <w:sz w:val="16"/>
        </w:rPr>
      </w:pPr>
    </w:p>
    <w:p>
      <w:pPr>
        <w:pStyle w:val="ListParagraph"/>
        <w:numPr>
          <w:ilvl w:val="0"/>
          <w:numId w:val="47"/>
        </w:numPr>
        <w:tabs>
          <w:tab w:pos="659" w:val="left" w:leader="none"/>
          <w:tab w:pos="660" w:val="left" w:leader="none"/>
        </w:tabs>
        <w:spacing w:line="232" w:lineRule="auto" w:before="1" w:after="0"/>
        <w:ind w:left="179" w:right="102" w:firstLine="0"/>
        <w:jc w:val="left"/>
        <w:rPr>
          <w:sz w:val="18"/>
        </w:rPr>
      </w:pPr>
      <w:r>
        <w:rPr>
          <w:sz w:val="18"/>
        </w:rPr>
        <w:t>The Chancellor had announced that the automatic road fuel and tobacco duty escalators would no longer be applied: decisions on any real increases in these duties would be made by the Chancellor in subsequent Budgets. Removing the escalators from the fiscal projections had reduced projected receipts by £1</w:t>
      </w:r>
      <w:r>
        <w:rPr>
          <w:position w:val="6"/>
          <w:sz w:val="9"/>
        </w:rPr>
        <w:t>1</w:t>
      </w:r>
      <w:r>
        <w:rPr>
          <w:sz w:val="18"/>
        </w:rPr>
        <w:t>/</w:t>
      </w:r>
      <w:r>
        <w:rPr>
          <w:sz w:val="9"/>
        </w:rPr>
        <w:t>4 </w:t>
      </w:r>
      <w:r>
        <w:rPr>
          <w:sz w:val="18"/>
        </w:rPr>
        <w:t>billion in 2000/01, rising to £6 billion in</w:t>
      </w:r>
      <w:r>
        <w:rPr>
          <w:spacing w:val="-12"/>
          <w:sz w:val="18"/>
        </w:rPr>
        <w:t> </w:t>
      </w:r>
      <w:r>
        <w:rPr>
          <w:sz w:val="18"/>
        </w:rPr>
        <w:t>2003/04.</w:t>
      </w:r>
    </w:p>
    <w:p>
      <w:pPr>
        <w:pStyle w:val="BodyText"/>
        <w:spacing w:before="11"/>
        <w:rPr>
          <w:sz w:val="16"/>
        </w:rPr>
      </w:pPr>
    </w:p>
    <w:p>
      <w:pPr>
        <w:pStyle w:val="ListParagraph"/>
        <w:numPr>
          <w:ilvl w:val="0"/>
          <w:numId w:val="47"/>
        </w:numPr>
        <w:tabs>
          <w:tab w:pos="659" w:val="left" w:leader="none"/>
          <w:tab w:pos="660" w:val="left" w:leader="none"/>
        </w:tabs>
        <w:spacing w:line="232" w:lineRule="auto" w:before="0" w:after="0"/>
        <w:ind w:left="180" w:right="38" w:firstLine="0"/>
        <w:jc w:val="left"/>
        <w:rPr>
          <w:sz w:val="18"/>
        </w:rPr>
      </w:pPr>
      <w:r>
        <w:rPr>
          <w:sz w:val="18"/>
        </w:rPr>
        <w:t>The lower overall projections for borrowing had not reflected a</w:t>
      </w:r>
      <w:r>
        <w:rPr>
          <w:spacing w:val="-6"/>
          <w:sz w:val="18"/>
        </w:rPr>
        <w:t> </w:t>
      </w:r>
      <w:r>
        <w:rPr>
          <w:sz w:val="18"/>
        </w:rPr>
        <w:t>tightening</w:t>
      </w:r>
      <w:r>
        <w:rPr>
          <w:spacing w:val="-6"/>
          <w:sz w:val="18"/>
        </w:rPr>
        <w:t> </w:t>
      </w:r>
      <w:r>
        <w:rPr>
          <w:sz w:val="18"/>
        </w:rPr>
        <w:t>of</w:t>
      </w:r>
      <w:r>
        <w:rPr>
          <w:spacing w:val="-6"/>
          <w:sz w:val="18"/>
        </w:rPr>
        <w:t> </w:t>
      </w:r>
      <w:r>
        <w:rPr>
          <w:sz w:val="18"/>
        </w:rPr>
        <w:t>the</w:t>
      </w:r>
      <w:r>
        <w:rPr>
          <w:spacing w:val="-5"/>
          <w:sz w:val="18"/>
        </w:rPr>
        <w:t> </w:t>
      </w:r>
      <w:r>
        <w:rPr>
          <w:sz w:val="18"/>
        </w:rPr>
        <w:t>Government’s</w:t>
      </w:r>
      <w:r>
        <w:rPr>
          <w:spacing w:val="-6"/>
          <w:sz w:val="18"/>
        </w:rPr>
        <w:t> </w:t>
      </w:r>
      <w:r>
        <w:rPr>
          <w:sz w:val="18"/>
        </w:rPr>
        <w:t>desired</w:t>
      </w:r>
      <w:r>
        <w:rPr>
          <w:spacing w:val="-6"/>
          <w:sz w:val="18"/>
        </w:rPr>
        <w:t> </w:t>
      </w:r>
      <w:r>
        <w:rPr>
          <w:sz w:val="18"/>
        </w:rPr>
        <w:t>fiscal</w:t>
      </w:r>
      <w:r>
        <w:rPr>
          <w:spacing w:val="-6"/>
          <w:sz w:val="18"/>
        </w:rPr>
        <w:t> </w:t>
      </w:r>
      <w:r>
        <w:rPr>
          <w:sz w:val="18"/>
        </w:rPr>
        <w:t>stance,</w:t>
      </w:r>
      <w:r>
        <w:rPr>
          <w:spacing w:val="-5"/>
          <w:sz w:val="18"/>
        </w:rPr>
        <w:t> </w:t>
      </w:r>
      <w:r>
        <w:rPr>
          <w:sz w:val="18"/>
        </w:rPr>
        <w:t>which</w:t>
      </w:r>
      <w:r>
        <w:rPr>
          <w:spacing w:val="-6"/>
          <w:sz w:val="18"/>
        </w:rPr>
        <w:t> </w:t>
      </w:r>
      <w:r>
        <w:rPr>
          <w:sz w:val="18"/>
        </w:rPr>
        <w:t>would only be reassessed in the next Budget. Projections for the structural deficit over the next three years had been little changed. The Treasury had published a separate document prior to</w:t>
      </w:r>
      <w:r>
        <w:rPr>
          <w:spacing w:val="-19"/>
          <w:sz w:val="18"/>
        </w:rPr>
        <w:t> </w:t>
      </w:r>
      <w:r>
        <w:rPr>
          <w:sz w:val="18"/>
        </w:rPr>
        <w:t>the</w:t>
      </w:r>
    </w:p>
    <w:p>
      <w:pPr>
        <w:pStyle w:val="BodyText"/>
        <w:spacing w:line="232" w:lineRule="auto"/>
        <w:ind w:left="179" w:right="185"/>
      </w:pPr>
      <w:r>
        <w:rPr/>
        <w:t>Pre-Budget Report assessing the outlook for trend output growth over the next five years. This had suggested that trend growth could be 2</w:t>
      </w:r>
      <w:r>
        <w:rPr>
          <w:position w:val="6"/>
          <w:sz w:val="9"/>
        </w:rPr>
        <w:t>1</w:t>
      </w:r>
      <w:r>
        <w:rPr/>
        <w:t>/</w:t>
      </w:r>
      <w:r>
        <w:rPr>
          <w:sz w:val="9"/>
        </w:rPr>
        <w:t>2</w:t>
      </w:r>
      <w:r>
        <w:rPr/>
        <w:t>% per annum compared with the 2</w:t>
      </w:r>
      <w:r>
        <w:rPr>
          <w:position w:val="6"/>
          <w:sz w:val="9"/>
        </w:rPr>
        <w:t>1</w:t>
      </w:r>
      <w:r>
        <w:rPr/>
        <w:t>/</w:t>
      </w:r>
      <w:r>
        <w:rPr>
          <w:sz w:val="9"/>
        </w:rPr>
        <w:t>4</w:t>
      </w:r>
      <w:r>
        <w:rPr/>
        <w:t>% per annum assumed in recent Treasury fiscal forecasts. Nevertheless, the fiscal forecasts in the Pre-Budget Report had continued to assume trend growth of 2</w:t>
      </w:r>
      <w:r>
        <w:rPr>
          <w:position w:val="6"/>
          <w:sz w:val="9"/>
        </w:rPr>
        <w:t>1</w:t>
      </w:r>
      <w:r>
        <w:rPr/>
        <w:t>/</w:t>
      </w:r>
      <w:r>
        <w:rPr>
          <w:sz w:val="9"/>
        </w:rPr>
        <w:t>4</w:t>
      </w:r>
      <w:r>
        <w:rPr/>
        <w:t>% per annum, as would those in the next Budget.</w:t>
      </w:r>
    </w:p>
    <w:p>
      <w:pPr>
        <w:pStyle w:val="BodyText"/>
        <w:spacing w:before="10"/>
        <w:rPr>
          <w:sz w:val="19"/>
        </w:rPr>
      </w:pPr>
    </w:p>
    <w:p>
      <w:pPr>
        <w:pStyle w:val="Heading7"/>
        <w:numPr>
          <w:ilvl w:val="0"/>
          <w:numId w:val="48"/>
        </w:numPr>
        <w:tabs>
          <w:tab w:pos="659" w:val="left" w:leader="none"/>
          <w:tab w:pos="661" w:val="left" w:leader="none"/>
        </w:tabs>
        <w:spacing w:line="240" w:lineRule="auto" w:before="0" w:after="0"/>
        <w:ind w:left="660" w:right="0" w:hanging="481"/>
        <w:jc w:val="left"/>
      </w:pPr>
      <w:r>
        <w:rPr>
          <w:color w:val="009391"/>
        </w:rPr>
        <w:t>The labour</w:t>
      </w:r>
      <w:r>
        <w:rPr>
          <w:color w:val="009391"/>
          <w:spacing w:val="-3"/>
        </w:rPr>
        <w:t> </w:t>
      </w:r>
      <w:r>
        <w:rPr>
          <w:color w:val="009391"/>
        </w:rPr>
        <w:t>market</w:t>
      </w:r>
    </w:p>
    <w:p>
      <w:pPr>
        <w:pStyle w:val="ListParagraph"/>
        <w:numPr>
          <w:ilvl w:val="0"/>
          <w:numId w:val="47"/>
        </w:numPr>
        <w:tabs>
          <w:tab w:pos="659" w:val="left" w:leader="none"/>
          <w:tab w:pos="660" w:val="left" w:leader="none"/>
        </w:tabs>
        <w:spacing w:line="232" w:lineRule="auto" w:before="109" w:after="0"/>
        <w:ind w:left="180" w:right="62" w:firstLine="0"/>
        <w:jc w:val="left"/>
        <w:rPr>
          <w:sz w:val="18"/>
        </w:rPr>
      </w:pPr>
      <w:r>
        <w:rPr>
          <w:sz w:val="18"/>
        </w:rPr>
        <w:t>According to the Labour Force Survey (LFS), there had been a sharp increase in employment of 110,000 (0.4%) in Q3, following growth of 0.2% in Q2. After making an adjustment for the difference in average hours worked by full and part-time staff, employment growth in full-time equivalent terms had been the strongest for more than a year. Total hours worked had risen by 0.3% during the quarter. The proportion of the working-age population in employment had risen slightly in Q3, but had remained below the spring 1990</w:t>
      </w:r>
      <w:r>
        <w:rPr>
          <w:spacing w:val="-8"/>
          <w:sz w:val="18"/>
        </w:rPr>
        <w:t> </w:t>
      </w:r>
      <w:r>
        <w:rPr>
          <w:sz w:val="18"/>
        </w:rPr>
        <w:t>peak.</w:t>
      </w:r>
    </w:p>
    <w:p>
      <w:pPr>
        <w:pStyle w:val="BodyText"/>
        <w:spacing w:before="9"/>
        <w:rPr>
          <w:sz w:val="16"/>
        </w:rPr>
      </w:pPr>
    </w:p>
    <w:p>
      <w:pPr>
        <w:pStyle w:val="ListParagraph"/>
        <w:numPr>
          <w:ilvl w:val="0"/>
          <w:numId w:val="47"/>
        </w:numPr>
        <w:tabs>
          <w:tab w:pos="659" w:val="left" w:leader="none"/>
          <w:tab w:pos="660" w:val="left" w:leader="none"/>
        </w:tabs>
        <w:spacing w:line="232" w:lineRule="auto" w:before="0" w:after="0"/>
        <w:ind w:left="179" w:right="145" w:firstLine="0"/>
        <w:jc w:val="left"/>
        <w:rPr>
          <w:sz w:val="18"/>
        </w:rPr>
      </w:pPr>
      <w:r>
        <w:rPr>
          <w:sz w:val="18"/>
        </w:rPr>
        <w:t>C</w:t>
      </w:r>
      <w:r>
        <w:rPr>
          <w:sz w:val="14"/>
        </w:rPr>
        <w:t>IPS </w:t>
      </w:r>
      <w:r>
        <w:rPr>
          <w:sz w:val="18"/>
        </w:rPr>
        <w:t>survey measures of employment growth had been little changed in November. The surveys suggested that manufacturing employment had again remained stable, services employment had continued to rise moderately, and growth in construction sector employment had remained</w:t>
      </w:r>
      <w:r>
        <w:rPr>
          <w:spacing w:val="-5"/>
          <w:sz w:val="18"/>
        </w:rPr>
        <w:t> </w:t>
      </w:r>
      <w:r>
        <w:rPr>
          <w:sz w:val="18"/>
        </w:rPr>
        <w:t>robust.</w:t>
      </w:r>
    </w:p>
    <w:p>
      <w:pPr>
        <w:pStyle w:val="BodyText"/>
        <w:spacing w:before="1"/>
        <w:rPr>
          <w:sz w:val="17"/>
        </w:rPr>
      </w:pPr>
    </w:p>
    <w:p>
      <w:pPr>
        <w:pStyle w:val="ListParagraph"/>
        <w:numPr>
          <w:ilvl w:val="0"/>
          <w:numId w:val="47"/>
        </w:numPr>
        <w:tabs>
          <w:tab w:pos="659" w:val="left" w:leader="none"/>
          <w:tab w:pos="660" w:val="left" w:leader="none"/>
        </w:tabs>
        <w:spacing w:line="232" w:lineRule="auto" w:before="0" w:after="0"/>
        <w:ind w:left="179" w:right="67" w:firstLine="0"/>
        <w:jc w:val="left"/>
        <w:rPr>
          <w:sz w:val="18"/>
        </w:rPr>
      </w:pPr>
      <w:r>
        <w:rPr>
          <w:sz w:val="18"/>
        </w:rPr>
        <w:t>Unemployment had continued to fall in Q3, by 38,000 on the LFS measure and by 57,000 on the claimant count measure. Almost the entire fall in the LFS measure had been accounted for by a reduction in the number of short-term unemployed (those unemployed for fewer than six months). The pace of decline in claimant count unemployment had appeared to slow in the most recent data (the claimant count had fallen by 11,000 during September and October, compared with a total of 54,000 in the preceding two months). However, the ONS were reviewing the seasonal adjustment of these</w:t>
      </w:r>
      <w:r>
        <w:rPr>
          <w:spacing w:val="-6"/>
          <w:sz w:val="18"/>
        </w:rPr>
        <w:t> </w:t>
      </w:r>
      <w:r>
        <w:rPr>
          <w:sz w:val="18"/>
        </w:rPr>
        <w:t>data.</w:t>
      </w:r>
    </w:p>
    <w:p>
      <w:pPr>
        <w:pStyle w:val="BodyText"/>
        <w:spacing w:before="7"/>
        <w:rPr>
          <w:sz w:val="19"/>
        </w:rPr>
      </w:pPr>
      <w:r>
        <w:rPr/>
        <w:br w:type="column"/>
      </w:r>
      <w:r>
        <w:rPr>
          <w:sz w:val="19"/>
        </w:rPr>
      </w:r>
    </w:p>
    <w:p>
      <w:pPr>
        <w:pStyle w:val="ListParagraph"/>
        <w:numPr>
          <w:ilvl w:val="0"/>
          <w:numId w:val="47"/>
        </w:numPr>
        <w:tabs>
          <w:tab w:pos="659" w:val="left" w:leader="none"/>
          <w:tab w:pos="660" w:val="left" w:leader="none"/>
        </w:tabs>
        <w:spacing w:line="232" w:lineRule="auto" w:before="1" w:after="0"/>
        <w:ind w:left="179" w:right="293" w:firstLine="0"/>
        <w:jc w:val="left"/>
        <w:rPr>
          <w:sz w:val="18"/>
        </w:rPr>
      </w:pPr>
      <w:r>
        <w:rPr>
          <w:sz w:val="18"/>
        </w:rPr>
        <w:t>According to the Federation of Recruitment and Employment Services (F</w:t>
      </w:r>
      <w:r>
        <w:rPr>
          <w:sz w:val="14"/>
        </w:rPr>
        <w:t>RES</w:t>
      </w:r>
      <w:r>
        <w:rPr>
          <w:sz w:val="18"/>
        </w:rPr>
        <w:t>) survey of recruitment agencies, staff shortages had continued to intensify in November. The Bank’s regional Agents had also reported evidence of rising shortages of both skilled and unskilled staff, particularly in the</w:t>
      </w:r>
      <w:r>
        <w:rPr>
          <w:spacing w:val="-23"/>
          <w:sz w:val="18"/>
        </w:rPr>
        <w:t> </w:t>
      </w:r>
      <w:r>
        <w:rPr>
          <w:sz w:val="18"/>
        </w:rPr>
        <w:t>South.</w:t>
      </w:r>
    </w:p>
    <w:p>
      <w:pPr>
        <w:pStyle w:val="BodyText"/>
        <w:rPr>
          <w:sz w:val="17"/>
        </w:rPr>
      </w:pPr>
    </w:p>
    <w:p>
      <w:pPr>
        <w:pStyle w:val="ListParagraph"/>
        <w:numPr>
          <w:ilvl w:val="0"/>
          <w:numId w:val="47"/>
        </w:numPr>
        <w:tabs>
          <w:tab w:pos="659" w:val="left" w:leader="none"/>
          <w:tab w:pos="660" w:val="left" w:leader="none"/>
        </w:tabs>
        <w:spacing w:line="232" w:lineRule="auto" w:before="0" w:after="0"/>
        <w:ind w:left="180" w:right="200" w:firstLine="0"/>
        <w:jc w:val="left"/>
        <w:rPr>
          <w:sz w:val="18"/>
        </w:rPr>
      </w:pPr>
      <w:r>
        <w:rPr>
          <w:sz w:val="18"/>
        </w:rPr>
        <w:t>The headline measure of annual growth in average earnings per head, a three-month moving average, had fallen from 4.9% in August to 4.7% in September. Within the total, the service sector headline measure had fallen by 0.4 percentage points to 5.0%, while</w:t>
      </w:r>
      <w:r>
        <w:rPr>
          <w:spacing w:val="-6"/>
          <w:sz w:val="18"/>
        </w:rPr>
        <w:t> </w:t>
      </w:r>
      <w:r>
        <w:rPr>
          <w:sz w:val="18"/>
        </w:rPr>
        <w:t>the</w:t>
      </w:r>
      <w:r>
        <w:rPr>
          <w:spacing w:val="-6"/>
          <w:sz w:val="18"/>
        </w:rPr>
        <w:t> </w:t>
      </w:r>
      <w:r>
        <w:rPr>
          <w:sz w:val="18"/>
        </w:rPr>
        <w:t>manufacturing</w:t>
      </w:r>
      <w:r>
        <w:rPr>
          <w:spacing w:val="-5"/>
          <w:sz w:val="18"/>
        </w:rPr>
        <w:t> </w:t>
      </w:r>
      <w:r>
        <w:rPr>
          <w:sz w:val="18"/>
        </w:rPr>
        <w:t>measure</w:t>
      </w:r>
      <w:r>
        <w:rPr>
          <w:spacing w:val="-6"/>
          <w:sz w:val="18"/>
        </w:rPr>
        <w:t> </w:t>
      </w:r>
      <w:r>
        <w:rPr>
          <w:sz w:val="18"/>
        </w:rPr>
        <w:t>had</w:t>
      </w:r>
      <w:r>
        <w:rPr>
          <w:spacing w:val="-6"/>
          <w:sz w:val="18"/>
        </w:rPr>
        <w:t> </w:t>
      </w:r>
      <w:r>
        <w:rPr>
          <w:sz w:val="18"/>
        </w:rPr>
        <w:t>risen</w:t>
      </w:r>
      <w:r>
        <w:rPr>
          <w:spacing w:val="-5"/>
          <w:sz w:val="18"/>
        </w:rPr>
        <w:t> </w:t>
      </w:r>
      <w:r>
        <w:rPr>
          <w:sz w:val="18"/>
        </w:rPr>
        <w:t>0.3</w:t>
      </w:r>
      <w:r>
        <w:rPr>
          <w:spacing w:val="-6"/>
          <w:sz w:val="18"/>
        </w:rPr>
        <w:t> </w:t>
      </w:r>
      <w:r>
        <w:rPr>
          <w:sz w:val="18"/>
        </w:rPr>
        <w:t>percentage</w:t>
      </w:r>
      <w:r>
        <w:rPr>
          <w:spacing w:val="-6"/>
          <w:sz w:val="18"/>
        </w:rPr>
        <w:t> </w:t>
      </w:r>
      <w:r>
        <w:rPr>
          <w:sz w:val="18"/>
        </w:rPr>
        <w:t>points</w:t>
      </w:r>
      <w:r>
        <w:rPr>
          <w:spacing w:val="-5"/>
          <w:sz w:val="18"/>
        </w:rPr>
        <w:t> </w:t>
      </w:r>
      <w:r>
        <w:rPr>
          <w:sz w:val="18"/>
        </w:rPr>
        <w:t>to 4.0%. The Reward index had risen by 0.1 percentage points to 3.5% in October. According to the F</w:t>
      </w:r>
      <w:r>
        <w:rPr>
          <w:sz w:val="14"/>
        </w:rPr>
        <w:t>RES </w:t>
      </w:r>
      <w:r>
        <w:rPr>
          <w:sz w:val="18"/>
        </w:rPr>
        <w:t>survey, there had been little change in the rate of earnings growth of either permanent or temporary staff in</w:t>
      </w:r>
      <w:r>
        <w:rPr>
          <w:spacing w:val="-4"/>
          <w:sz w:val="18"/>
        </w:rPr>
        <w:t> </w:t>
      </w:r>
      <w:r>
        <w:rPr>
          <w:sz w:val="18"/>
        </w:rPr>
        <w:t>November.</w:t>
      </w:r>
    </w:p>
    <w:p>
      <w:pPr>
        <w:pStyle w:val="BodyText"/>
        <w:spacing w:before="9"/>
        <w:rPr>
          <w:sz w:val="16"/>
        </w:rPr>
      </w:pPr>
    </w:p>
    <w:p>
      <w:pPr>
        <w:pStyle w:val="ListParagraph"/>
        <w:numPr>
          <w:ilvl w:val="0"/>
          <w:numId w:val="47"/>
        </w:numPr>
        <w:tabs>
          <w:tab w:pos="659" w:val="left" w:leader="none"/>
          <w:tab w:pos="660" w:val="left" w:leader="none"/>
        </w:tabs>
        <w:spacing w:line="232" w:lineRule="auto" w:before="0" w:after="0"/>
        <w:ind w:left="180" w:right="210" w:firstLine="0"/>
        <w:jc w:val="left"/>
        <w:rPr>
          <w:sz w:val="18"/>
        </w:rPr>
      </w:pPr>
      <w:r>
        <w:rPr>
          <w:sz w:val="18"/>
        </w:rPr>
        <w:t>There had been little new information on settlements. The Bank’s</w:t>
      </w:r>
      <w:r>
        <w:rPr>
          <w:spacing w:val="-8"/>
          <w:sz w:val="18"/>
        </w:rPr>
        <w:t> </w:t>
      </w:r>
      <w:r>
        <w:rPr>
          <w:sz w:val="18"/>
        </w:rPr>
        <w:t>AEI-weighted</w:t>
      </w:r>
      <w:r>
        <w:rPr>
          <w:spacing w:val="-8"/>
          <w:sz w:val="18"/>
        </w:rPr>
        <w:t> </w:t>
      </w:r>
      <w:r>
        <w:rPr>
          <w:sz w:val="18"/>
        </w:rPr>
        <w:t>twelve-month</w:t>
      </w:r>
      <w:r>
        <w:rPr>
          <w:spacing w:val="-8"/>
          <w:sz w:val="18"/>
        </w:rPr>
        <w:t> </w:t>
      </w:r>
      <w:r>
        <w:rPr>
          <w:sz w:val="18"/>
        </w:rPr>
        <w:t>mean</w:t>
      </w:r>
      <w:r>
        <w:rPr>
          <w:spacing w:val="-7"/>
          <w:sz w:val="18"/>
        </w:rPr>
        <w:t> </w:t>
      </w:r>
      <w:r>
        <w:rPr>
          <w:sz w:val="18"/>
        </w:rPr>
        <w:t>settlement</w:t>
      </w:r>
      <w:r>
        <w:rPr>
          <w:spacing w:val="-8"/>
          <w:sz w:val="18"/>
        </w:rPr>
        <w:t> </w:t>
      </w:r>
      <w:r>
        <w:rPr>
          <w:sz w:val="18"/>
        </w:rPr>
        <w:t>had</w:t>
      </w:r>
      <w:r>
        <w:rPr>
          <w:spacing w:val="-8"/>
          <w:sz w:val="18"/>
        </w:rPr>
        <w:t> </w:t>
      </w:r>
      <w:r>
        <w:rPr>
          <w:sz w:val="18"/>
        </w:rPr>
        <w:t>remained at 3.5% in October. Further details had become available on the proposed three-year deal at Ford. It had been reported that the first year would combine a pay increase of 4.0% with a cut in basic hours worked. This would be above the average rate of recent manufacturing settlements in the Bank’s</w:t>
      </w:r>
      <w:r>
        <w:rPr>
          <w:spacing w:val="-11"/>
          <w:sz w:val="18"/>
        </w:rPr>
        <w:t> </w:t>
      </w:r>
      <w:r>
        <w:rPr>
          <w:sz w:val="18"/>
        </w:rPr>
        <w:t>database.</w:t>
      </w:r>
    </w:p>
    <w:p>
      <w:pPr>
        <w:pStyle w:val="BodyText"/>
        <w:spacing w:before="11"/>
        <w:rPr>
          <w:sz w:val="16"/>
        </w:rPr>
      </w:pPr>
    </w:p>
    <w:p>
      <w:pPr>
        <w:pStyle w:val="ListParagraph"/>
        <w:numPr>
          <w:ilvl w:val="0"/>
          <w:numId w:val="47"/>
        </w:numPr>
        <w:tabs>
          <w:tab w:pos="659" w:val="left" w:leader="none"/>
          <w:tab w:pos="660" w:val="left" w:leader="none"/>
        </w:tabs>
        <w:spacing w:line="232" w:lineRule="auto" w:before="0" w:after="0"/>
        <w:ind w:left="180" w:right="330" w:firstLine="0"/>
        <w:jc w:val="left"/>
        <w:rPr>
          <w:sz w:val="18"/>
        </w:rPr>
      </w:pPr>
      <w:r>
        <w:rPr>
          <w:sz w:val="18"/>
        </w:rPr>
        <w:t>Historically, much of the variation in nominal earnings growth had reflected changes in inflation expectations. The latest data had suggested that real average earnings growth, after adjustment for the surveyed inflation expectations of trade union leaders, might have levelled off at around</w:t>
      </w:r>
      <w:r>
        <w:rPr>
          <w:spacing w:val="-13"/>
          <w:sz w:val="18"/>
        </w:rPr>
        <w:t> </w:t>
      </w:r>
      <w:r>
        <w:rPr>
          <w:sz w:val="18"/>
        </w:rPr>
        <w:t>2%.</w:t>
      </w:r>
    </w:p>
    <w:p>
      <w:pPr>
        <w:pStyle w:val="BodyText"/>
        <w:spacing w:before="4"/>
        <w:rPr>
          <w:sz w:val="20"/>
        </w:rPr>
      </w:pPr>
    </w:p>
    <w:p>
      <w:pPr>
        <w:pStyle w:val="Heading7"/>
        <w:numPr>
          <w:ilvl w:val="0"/>
          <w:numId w:val="48"/>
        </w:numPr>
        <w:tabs>
          <w:tab w:pos="659" w:val="left" w:leader="none"/>
          <w:tab w:pos="661" w:val="left" w:leader="none"/>
        </w:tabs>
        <w:spacing w:line="240" w:lineRule="auto" w:before="0" w:after="0"/>
        <w:ind w:left="660" w:right="0" w:hanging="481"/>
        <w:jc w:val="left"/>
      </w:pPr>
      <w:r>
        <w:rPr>
          <w:color w:val="009391"/>
        </w:rPr>
        <w:t>Prices</w:t>
      </w:r>
    </w:p>
    <w:p>
      <w:pPr>
        <w:pStyle w:val="ListParagraph"/>
        <w:numPr>
          <w:ilvl w:val="0"/>
          <w:numId w:val="47"/>
        </w:numPr>
        <w:tabs>
          <w:tab w:pos="659" w:val="left" w:leader="none"/>
          <w:tab w:pos="660" w:val="left" w:leader="none"/>
        </w:tabs>
        <w:spacing w:line="232" w:lineRule="auto" w:before="109" w:after="0"/>
        <w:ind w:left="180" w:right="195" w:firstLine="0"/>
        <w:jc w:val="left"/>
        <w:rPr>
          <w:sz w:val="18"/>
        </w:rPr>
      </w:pPr>
      <w:r>
        <w:rPr>
          <w:sz w:val="18"/>
        </w:rPr>
        <w:t>The Bank’s oil-inclusive commodity price index had fallen by 1.0% in October, taking the annual inflation rate from 13.2% to 12.9%. The monthly fall had reflected price falls in crude oil and all the other major components of the index. The non-oil index had fallen by 1.3% in October, but had risen by 1.5% on a year earlier. Metal prices had fallen for the first time since June, and domestic food price inflation had remained</w:t>
      </w:r>
      <w:r>
        <w:rPr>
          <w:spacing w:val="-8"/>
          <w:sz w:val="18"/>
        </w:rPr>
        <w:t> </w:t>
      </w:r>
      <w:r>
        <w:rPr>
          <w:sz w:val="18"/>
        </w:rPr>
        <w:t>weak.</w:t>
      </w:r>
    </w:p>
    <w:p>
      <w:pPr>
        <w:pStyle w:val="BodyText"/>
        <w:spacing w:before="11"/>
        <w:rPr>
          <w:sz w:val="16"/>
        </w:rPr>
      </w:pPr>
    </w:p>
    <w:p>
      <w:pPr>
        <w:pStyle w:val="ListParagraph"/>
        <w:numPr>
          <w:ilvl w:val="0"/>
          <w:numId w:val="47"/>
        </w:numPr>
        <w:tabs>
          <w:tab w:pos="659" w:val="left" w:leader="none"/>
          <w:tab w:pos="660" w:val="left" w:leader="none"/>
        </w:tabs>
        <w:spacing w:line="232" w:lineRule="auto" w:before="0" w:after="0"/>
        <w:ind w:left="180" w:right="170" w:firstLine="0"/>
        <w:jc w:val="left"/>
        <w:rPr>
          <w:sz w:val="18"/>
        </w:rPr>
      </w:pPr>
      <w:r>
        <w:rPr>
          <w:sz w:val="18"/>
        </w:rPr>
        <w:t>Seasonally adjusted manufacturing input prices had fallen by 0.1%</w:t>
      </w:r>
      <w:r>
        <w:rPr>
          <w:spacing w:val="-5"/>
          <w:sz w:val="18"/>
        </w:rPr>
        <w:t> </w:t>
      </w:r>
      <w:r>
        <w:rPr>
          <w:sz w:val="18"/>
        </w:rPr>
        <w:t>in</w:t>
      </w:r>
      <w:r>
        <w:rPr>
          <w:spacing w:val="-5"/>
          <w:sz w:val="18"/>
        </w:rPr>
        <w:t> </w:t>
      </w:r>
      <w:r>
        <w:rPr>
          <w:sz w:val="18"/>
        </w:rPr>
        <w:t>October,</w:t>
      </w:r>
      <w:r>
        <w:rPr>
          <w:spacing w:val="-5"/>
          <w:sz w:val="18"/>
        </w:rPr>
        <w:t> </w:t>
      </w:r>
      <w:r>
        <w:rPr>
          <w:sz w:val="18"/>
        </w:rPr>
        <w:t>but</w:t>
      </w:r>
      <w:r>
        <w:rPr>
          <w:spacing w:val="-4"/>
          <w:sz w:val="18"/>
        </w:rPr>
        <w:t> </w:t>
      </w:r>
      <w:r>
        <w:rPr>
          <w:sz w:val="18"/>
        </w:rPr>
        <w:t>the</w:t>
      </w:r>
      <w:r>
        <w:rPr>
          <w:spacing w:val="-5"/>
          <w:sz w:val="18"/>
        </w:rPr>
        <w:t> </w:t>
      </w:r>
      <w:r>
        <w:rPr>
          <w:sz w:val="18"/>
        </w:rPr>
        <w:t>annual</w:t>
      </w:r>
      <w:r>
        <w:rPr>
          <w:spacing w:val="-5"/>
          <w:sz w:val="18"/>
        </w:rPr>
        <w:t> </w:t>
      </w:r>
      <w:r>
        <w:rPr>
          <w:sz w:val="18"/>
        </w:rPr>
        <w:t>inflation</w:t>
      </w:r>
      <w:r>
        <w:rPr>
          <w:spacing w:val="-5"/>
          <w:sz w:val="18"/>
        </w:rPr>
        <w:t> </w:t>
      </w:r>
      <w:r>
        <w:rPr>
          <w:sz w:val="18"/>
        </w:rPr>
        <w:t>rate</w:t>
      </w:r>
      <w:r>
        <w:rPr>
          <w:spacing w:val="-4"/>
          <w:sz w:val="18"/>
        </w:rPr>
        <w:t> </w:t>
      </w:r>
      <w:r>
        <w:rPr>
          <w:sz w:val="18"/>
        </w:rPr>
        <w:t>had</w:t>
      </w:r>
      <w:r>
        <w:rPr>
          <w:spacing w:val="-5"/>
          <w:sz w:val="18"/>
        </w:rPr>
        <w:t> </w:t>
      </w:r>
      <w:r>
        <w:rPr>
          <w:sz w:val="18"/>
        </w:rPr>
        <w:t>increased</w:t>
      </w:r>
      <w:r>
        <w:rPr>
          <w:spacing w:val="-5"/>
          <w:sz w:val="18"/>
        </w:rPr>
        <w:t> </w:t>
      </w:r>
      <w:r>
        <w:rPr>
          <w:sz w:val="18"/>
        </w:rPr>
        <w:t>to</w:t>
      </w:r>
      <w:r>
        <w:rPr>
          <w:spacing w:val="-5"/>
          <w:sz w:val="18"/>
        </w:rPr>
        <w:t> </w:t>
      </w:r>
      <w:r>
        <w:rPr>
          <w:sz w:val="18"/>
        </w:rPr>
        <w:t>6.3% from 5.8%. The latest C</w:t>
      </w:r>
      <w:r>
        <w:rPr>
          <w:sz w:val="14"/>
        </w:rPr>
        <w:t>IPS </w:t>
      </w:r>
      <w:r>
        <w:rPr>
          <w:sz w:val="18"/>
        </w:rPr>
        <w:t>manufacturing survey input price index had risen to 57.1 in November, the highest for four years. Seasonally adjusted total output prices excluding excise duties (PPIY) had risen by 0.1% in October, to give an annual inflation rate of 0.9%.  The seasonally adjusted CBI output price expectations balance had risen to -7 in November, the highest since February 1998. In November’s C</w:t>
      </w:r>
      <w:r>
        <w:rPr>
          <w:sz w:val="14"/>
        </w:rPr>
        <w:t>IPS </w:t>
      </w:r>
      <w:r>
        <w:rPr>
          <w:sz w:val="18"/>
        </w:rPr>
        <w:t>services survey, the average prices charged index had risen to 53.2, the highest for two and a half</w:t>
      </w:r>
      <w:r>
        <w:rPr>
          <w:spacing w:val="-2"/>
          <w:sz w:val="18"/>
        </w:rPr>
        <w:t> </w:t>
      </w:r>
      <w:r>
        <w:rPr>
          <w:sz w:val="18"/>
        </w:rPr>
        <w:t>years.</w:t>
      </w:r>
    </w:p>
    <w:p>
      <w:pPr>
        <w:pStyle w:val="BodyText"/>
        <w:spacing w:before="7"/>
        <w:rPr>
          <w:sz w:val="16"/>
        </w:rPr>
      </w:pPr>
    </w:p>
    <w:p>
      <w:pPr>
        <w:pStyle w:val="ListParagraph"/>
        <w:numPr>
          <w:ilvl w:val="0"/>
          <w:numId w:val="47"/>
        </w:numPr>
        <w:tabs>
          <w:tab w:pos="659" w:val="left" w:leader="none"/>
          <w:tab w:pos="660" w:val="left" w:leader="none"/>
        </w:tabs>
        <w:spacing w:line="232" w:lineRule="auto" w:before="0" w:after="0"/>
        <w:ind w:left="180" w:right="159" w:firstLine="0"/>
        <w:jc w:val="left"/>
        <w:rPr>
          <w:sz w:val="18"/>
        </w:rPr>
      </w:pPr>
      <w:r>
        <w:rPr>
          <w:sz w:val="18"/>
        </w:rPr>
        <w:t>Prices of exports and imports of goods had risen by 1.5% and 1.0% respectively in the three months to September. Stripping out the oil component, export prices had fallen by 0.7% and import prices had risen by 0.2% over the same</w:t>
      </w:r>
      <w:r>
        <w:rPr>
          <w:spacing w:val="-14"/>
          <w:sz w:val="18"/>
        </w:rPr>
        <w:t> </w:t>
      </w:r>
      <w:r>
        <w:rPr>
          <w:sz w:val="18"/>
        </w:rPr>
        <w:t>period.</w:t>
      </w:r>
    </w:p>
    <w:p>
      <w:pPr>
        <w:pStyle w:val="BodyText"/>
        <w:spacing w:before="1"/>
        <w:rPr>
          <w:sz w:val="17"/>
        </w:rPr>
      </w:pPr>
    </w:p>
    <w:p>
      <w:pPr>
        <w:pStyle w:val="ListParagraph"/>
        <w:numPr>
          <w:ilvl w:val="0"/>
          <w:numId w:val="47"/>
        </w:numPr>
        <w:tabs>
          <w:tab w:pos="659" w:val="left" w:leader="none"/>
          <w:tab w:pos="660" w:val="left" w:leader="none"/>
        </w:tabs>
        <w:spacing w:line="232" w:lineRule="auto" w:before="1" w:after="0"/>
        <w:ind w:left="180" w:right="186" w:firstLine="0"/>
        <w:jc w:val="left"/>
        <w:rPr>
          <w:sz w:val="18"/>
        </w:rPr>
      </w:pPr>
      <w:r>
        <w:rPr>
          <w:sz w:val="18"/>
        </w:rPr>
        <w:t>The annual rate of change of the GDP deflator had been 1.8% in Q3, the same as in Q2. Larger rises in the household expenditure and investment deflators had been offset by smaller increases in the government consumption deflator. The retail sales deflator had fallen by 0.9% in the year to October, the lowest inflation rate in this series on record. The stronger decline in recent months had reflected slower food price</w:t>
      </w:r>
      <w:r>
        <w:rPr>
          <w:spacing w:val="-12"/>
          <w:sz w:val="18"/>
        </w:rPr>
        <w:t> </w:t>
      </w:r>
      <w:r>
        <w:rPr>
          <w:sz w:val="18"/>
        </w:rPr>
        <w:t>inflation.</w:t>
      </w:r>
    </w:p>
    <w:p>
      <w:pPr>
        <w:pStyle w:val="BodyText"/>
        <w:spacing w:before="10"/>
        <w:rPr>
          <w:sz w:val="16"/>
        </w:rPr>
      </w:pPr>
    </w:p>
    <w:p>
      <w:pPr>
        <w:pStyle w:val="ListParagraph"/>
        <w:numPr>
          <w:ilvl w:val="0"/>
          <w:numId w:val="47"/>
        </w:numPr>
        <w:tabs>
          <w:tab w:pos="659" w:val="left" w:leader="none"/>
          <w:tab w:pos="660" w:val="left" w:leader="none"/>
        </w:tabs>
        <w:spacing w:line="232" w:lineRule="auto" w:before="0" w:after="0"/>
        <w:ind w:left="180" w:right="206" w:firstLine="0"/>
        <w:jc w:val="left"/>
        <w:rPr>
          <w:sz w:val="18"/>
        </w:rPr>
      </w:pPr>
      <w:r>
        <w:rPr>
          <w:sz w:val="18"/>
        </w:rPr>
        <w:t>RPIX inflation had risen by 0.1 percentage points to 2.2% in October. The gap between services and goods inflation had widened to its highest level since September 1992. RPIX service price inflation had risen to 3.9%, largely as a result of higher insurance premiums. RPIX goods price inflation had fallen to 0.4%, mainly reflecting lower food prices. In the latest CBI Distributive</w:t>
      </w:r>
      <w:r>
        <w:rPr>
          <w:spacing w:val="-7"/>
          <w:sz w:val="18"/>
        </w:rPr>
        <w:t> </w:t>
      </w:r>
      <w:r>
        <w:rPr>
          <w:sz w:val="18"/>
        </w:rPr>
        <w:t>Trades</w:t>
      </w:r>
      <w:r>
        <w:rPr>
          <w:spacing w:val="-7"/>
          <w:sz w:val="18"/>
        </w:rPr>
        <w:t> </w:t>
      </w:r>
      <w:r>
        <w:rPr>
          <w:sz w:val="18"/>
        </w:rPr>
        <w:t>survey,</w:t>
      </w:r>
      <w:r>
        <w:rPr>
          <w:spacing w:val="-6"/>
          <w:sz w:val="18"/>
        </w:rPr>
        <w:t> </w:t>
      </w:r>
      <w:r>
        <w:rPr>
          <w:sz w:val="18"/>
        </w:rPr>
        <w:t>the</w:t>
      </w:r>
      <w:r>
        <w:rPr>
          <w:spacing w:val="-7"/>
          <w:sz w:val="18"/>
        </w:rPr>
        <w:t> </w:t>
      </w:r>
      <w:r>
        <w:rPr>
          <w:sz w:val="18"/>
        </w:rPr>
        <w:t>balance</w:t>
      </w:r>
      <w:r>
        <w:rPr>
          <w:spacing w:val="-7"/>
          <w:sz w:val="18"/>
        </w:rPr>
        <w:t> </w:t>
      </w:r>
      <w:r>
        <w:rPr>
          <w:sz w:val="18"/>
        </w:rPr>
        <w:t>of</w:t>
      </w:r>
      <w:r>
        <w:rPr>
          <w:spacing w:val="-6"/>
          <w:sz w:val="18"/>
        </w:rPr>
        <w:t> </w:t>
      </w:r>
      <w:r>
        <w:rPr>
          <w:sz w:val="18"/>
        </w:rPr>
        <w:t>retailers’</w:t>
      </w:r>
      <w:r>
        <w:rPr>
          <w:spacing w:val="-7"/>
          <w:sz w:val="18"/>
        </w:rPr>
        <w:t> </w:t>
      </w:r>
      <w:r>
        <w:rPr>
          <w:sz w:val="18"/>
        </w:rPr>
        <w:t>expected</w:t>
      </w:r>
      <w:r>
        <w:rPr>
          <w:spacing w:val="-7"/>
          <w:sz w:val="18"/>
        </w:rPr>
        <w:t> </w:t>
      </w:r>
      <w:r>
        <w:rPr>
          <w:sz w:val="18"/>
        </w:rPr>
        <w:t>prices</w:t>
      </w:r>
    </w:p>
    <w:p>
      <w:pPr>
        <w:spacing w:after="0" w:line="232" w:lineRule="auto"/>
        <w:jc w:val="left"/>
        <w:rPr>
          <w:sz w:val="18"/>
        </w:rPr>
        <w:sectPr>
          <w:type w:val="continuous"/>
          <w:pgSz w:w="11900" w:h="16840"/>
          <w:pgMar w:top="1220" w:bottom="280" w:left="620" w:right="640"/>
          <w:cols w:num="2" w:equalWidth="0">
            <w:col w:w="5128" w:space="262"/>
            <w:col w:w="525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4"/>
        <w:rPr>
          <w:sz w:val="21"/>
        </w:rPr>
      </w:pPr>
    </w:p>
    <w:p>
      <w:pPr>
        <w:pStyle w:val="BodyText"/>
        <w:spacing w:line="232" w:lineRule="auto" w:before="1"/>
        <w:ind w:left="180" w:right="54"/>
      </w:pPr>
      <w:r>
        <w:rPr/>
        <w:t>had fallen substantially to -1, the lowest figure since the survey had begun in 1983.</w:t>
      </w:r>
    </w:p>
    <w:p>
      <w:pPr>
        <w:pStyle w:val="BodyText"/>
        <w:spacing w:before="6"/>
        <w:rPr>
          <w:sz w:val="20"/>
        </w:rPr>
      </w:pPr>
    </w:p>
    <w:p>
      <w:pPr>
        <w:pStyle w:val="Heading7"/>
        <w:numPr>
          <w:ilvl w:val="0"/>
          <w:numId w:val="48"/>
        </w:numPr>
        <w:tabs>
          <w:tab w:pos="659" w:val="left" w:leader="none"/>
          <w:tab w:pos="661" w:val="left" w:leader="none"/>
        </w:tabs>
        <w:spacing w:line="240" w:lineRule="auto" w:before="0" w:after="0"/>
        <w:ind w:left="660" w:right="0" w:hanging="481"/>
        <w:jc w:val="left"/>
      </w:pPr>
      <w:r>
        <w:rPr>
          <w:color w:val="009391"/>
        </w:rPr>
        <w:t>Reports by the </w:t>
      </w:r>
      <w:r>
        <w:rPr>
          <w:color w:val="009391"/>
          <w:spacing w:val="-2"/>
        </w:rPr>
        <w:t>Bank’s </w:t>
      </w:r>
      <w:r>
        <w:rPr>
          <w:color w:val="009391"/>
        </w:rPr>
        <w:t>regional</w:t>
      </w:r>
      <w:r>
        <w:rPr>
          <w:color w:val="009391"/>
          <w:spacing w:val="-9"/>
        </w:rPr>
        <w:t> </w:t>
      </w:r>
      <w:r>
        <w:rPr>
          <w:color w:val="009391"/>
        </w:rPr>
        <w:t>Agents</w:t>
      </w:r>
    </w:p>
    <w:p>
      <w:pPr>
        <w:pStyle w:val="ListParagraph"/>
        <w:numPr>
          <w:ilvl w:val="0"/>
          <w:numId w:val="47"/>
        </w:numPr>
        <w:tabs>
          <w:tab w:pos="659" w:val="left" w:leader="none"/>
          <w:tab w:pos="660" w:val="left" w:leader="none"/>
        </w:tabs>
        <w:spacing w:line="232" w:lineRule="auto" w:before="109" w:after="0"/>
        <w:ind w:left="180" w:right="42" w:firstLine="0"/>
        <w:jc w:val="left"/>
        <w:rPr>
          <w:sz w:val="18"/>
        </w:rPr>
      </w:pPr>
      <w:r>
        <w:rPr>
          <w:sz w:val="18"/>
        </w:rPr>
        <w:t>The Bank’s regional Agents had reported a continued moderate recovery in retail sales, though not as strong as the official data had indicated. Strong demand had continued for computers and mobile phones, and sales of household and electrical goods had risen, reflecting stronger housing activity. But turnover in the clothing sector had remained weak, and demand for new and used car sales had been below expectations. It had been reported that customers might be delaying purchases because of expected price reductions in the new year. Millennium-related stockbuilding had been only moderate, with the exception of food and</w:t>
      </w:r>
      <w:r>
        <w:rPr>
          <w:spacing w:val="-31"/>
          <w:sz w:val="18"/>
        </w:rPr>
        <w:t> </w:t>
      </w:r>
      <w:r>
        <w:rPr>
          <w:sz w:val="18"/>
        </w:rPr>
        <w:t>drink,</w:t>
      </w:r>
    </w:p>
    <w:p>
      <w:pPr>
        <w:pStyle w:val="BodyText"/>
        <w:spacing w:line="232" w:lineRule="auto"/>
        <w:ind w:left="180" w:right="423"/>
        <w:jc w:val="both"/>
      </w:pPr>
      <w:r>
        <w:rPr/>
        <w:t>and pharmaceutical goods. Consumer demand for millennium events had also been weaker than had earlier been expected by contacts.</w:t>
      </w:r>
    </w:p>
    <w:p>
      <w:pPr>
        <w:pStyle w:val="BodyText"/>
        <w:spacing w:before="6"/>
        <w:rPr>
          <w:sz w:val="16"/>
        </w:rPr>
      </w:pPr>
    </w:p>
    <w:p>
      <w:pPr>
        <w:pStyle w:val="ListParagraph"/>
        <w:numPr>
          <w:ilvl w:val="0"/>
          <w:numId w:val="47"/>
        </w:numPr>
        <w:tabs>
          <w:tab w:pos="659" w:val="left" w:leader="none"/>
          <w:tab w:pos="660" w:val="left" w:leader="none"/>
        </w:tabs>
        <w:spacing w:line="232" w:lineRule="auto" w:before="0" w:after="0"/>
        <w:ind w:left="180" w:right="38" w:firstLine="0"/>
        <w:jc w:val="left"/>
        <w:rPr>
          <w:sz w:val="18"/>
        </w:rPr>
      </w:pPr>
      <w:r>
        <w:rPr>
          <w:sz w:val="18"/>
        </w:rPr>
        <w:t>Manufacturing investment had continued to be targeted at productivity improvements and opportunities for overseas production. There had been mixed reports regarding IT investment. Some firms had reported a pause ahead of the New Year, but it was widely expected that IT investment would pick-up strongly from January. Reports of increases in input prices had become more widespread, but manufacturers had continued to find it difficult to pass these price increases on, and margins had been squeezed further. This had been particularly true for export-orientated firms. Downward price pressure had continued in most parts of the retail sector.</w:t>
      </w:r>
    </w:p>
    <w:p>
      <w:pPr>
        <w:pStyle w:val="BodyText"/>
        <w:spacing w:before="7"/>
        <w:rPr>
          <w:sz w:val="16"/>
        </w:rPr>
      </w:pPr>
    </w:p>
    <w:p>
      <w:pPr>
        <w:pStyle w:val="ListParagraph"/>
        <w:numPr>
          <w:ilvl w:val="0"/>
          <w:numId w:val="47"/>
        </w:numPr>
        <w:tabs>
          <w:tab w:pos="659" w:val="left" w:leader="none"/>
          <w:tab w:pos="660" w:val="left" w:leader="none"/>
        </w:tabs>
        <w:spacing w:line="232" w:lineRule="auto" w:before="1" w:after="0"/>
        <w:ind w:left="180" w:right="73" w:firstLine="0"/>
        <w:jc w:val="left"/>
        <w:rPr>
          <w:sz w:val="18"/>
        </w:rPr>
      </w:pPr>
      <w:r>
        <w:rPr>
          <w:sz w:val="18"/>
        </w:rPr>
        <w:t>There had been evidence of a further tightening in the labour market. Skill shortages had continued to increase, particularly in the southern regions of England. In many service sector industries, forthcoming settlements and other pay awards were expected to be higher than a year ago, reflecting skill shortages and</w:t>
      </w:r>
      <w:r>
        <w:rPr>
          <w:spacing w:val="-27"/>
          <w:sz w:val="18"/>
        </w:rPr>
        <w:t> </w:t>
      </w:r>
      <w:r>
        <w:rPr>
          <w:sz w:val="18"/>
        </w:rPr>
        <w:t>greater</w:t>
      </w:r>
    </w:p>
    <w:p>
      <w:pPr>
        <w:pStyle w:val="BodyText"/>
        <w:spacing w:before="4"/>
        <w:rPr>
          <w:sz w:val="21"/>
        </w:rPr>
      </w:pPr>
      <w:r>
        <w:rPr/>
        <w:br w:type="column"/>
      </w:r>
      <w:r>
        <w:rPr>
          <w:sz w:val="21"/>
        </w:rPr>
      </w:r>
    </w:p>
    <w:p>
      <w:pPr>
        <w:pStyle w:val="BodyText"/>
        <w:spacing w:line="232" w:lineRule="auto" w:before="1"/>
        <w:ind w:left="180" w:right="368"/>
      </w:pPr>
      <w:r>
        <w:rPr/>
        <w:t>profitability. But in other sectors, such as engineering, where profits had been relatively weak, settlements were expected to be rather lower than in services. It was widely expected that any upward pressures on wages would have to be absorbed by the employer.</w:t>
      </w:r>
    </w:p>
    <w:p>
      <w:pPr>
        <w:pStyle w:val="BodyText"/>
        <w:spacing w:before="3"/>
        <w:rPr>
          <w:sz w:val="20"/>
        </w:rPr>
      </w:pPr>
    </w:p>
    <w:p>
      <w:pPr>
        <w:pStyle w:val="Heading7"/>
        <w:numPr>
          <w:ilvl w:val="0"/>
          <w:numId w:val="48"/>
        </w:numPr>
        <w:tabs>
          <w:tab w:pos="661" w:val="left" w:leader="none"/>
        </w:tabs>
        <w:spacing w:line="240" w:lineRule="auto" w:before="0" w:after="0"/>
        <w:ind w:left="660" w:right="0" w:hanging="481"/>
        <w:jc w:val="left"/>
      </w:pPr>
      <w:r>
        <w:rPr>
          <w:color w:val="009391"/>
        </w:rPr>
        <w:t>Market</w:t>
      </w:r>
      <w:r>
        <w:rPr>
          <w:color w:val="009391"/>
          <w:spacing w:val="-2"/>
        </w:rPr>
        <w:t> </w:t>
      </w:r>
      <w:r>
        <w:rPr>
          <w:color w:val="009391"/>
        </w:rPr>
        <w:t>intelligence</w:t>
      </w:r>
    </w:p>
    <w:p>
      <w:pPr>
        <w:pStyle w:val="ListParagraph"/>
        <w:numPr>
          <w:ilvl w:val="0"/>
          <w:numId w:val="47"/>
        </w:numPr>
        <w:tabs>
          <w:tab w:pos="659" w:val="left" w:leader="none"/>
          <w:tab w:pos="660" w:val="left" w:leader="none"/>
        </w:tabs>
        <w:spacing w:line="232" w:lineRule="auto" w:before="110" w:after="0"/>
        <w:ind w:left="180" w:right="272" w:firstLine="0"/>
        <w:jc w:val="left"/>
        <w:rPr>
          <w:sz w:val="18"/>
        </w:rPr>
      </w:pPr>
      <w:r>
        <w:rPr>
          <w:sz w:val="18"/>
        </w:rPr>
        <w:t>Market expectations of, and uncertainty over, future interest rates in the UK, the US and the euro area—as measured by the implied rates and implied volatilities on short term interest rate futures respectively—had fallen in early November, following the rises in official interest rates. The fall in implied volatilities had been greater than that usually seen following monetary policy announcements. A number of possible reasons for these declines had been suggested in the markets, including a view that interest rates may not be changed again until the New Year, and improved confidence that liquidity needs across the millennium would be met.</w:t>
      </w:r>
    </w:p>
    <w:p>
      <w:pPr>
        <w:pStyle w:val="BodyText"/>
        <w:spacing w:before="7"/>
        <w:rPr>
          <w:sz w:val="16"/>
        </w:rPr>
      </w:pPr>
    </w:p>
    <w:p>
      <w:pPr>
        <w:pStyle w:val="ListParagraph"/>
        <w:numPr>
          <w:ilvl w:val="0"/>
          <w:numId w:val="47"/>
        </w:numPr>
        <w:tabs>
          <w:tab w:pos="659" w:val="left" w:leader="none"/>
          <w:tab w:pos="660" w:val="left" w:leader="none"/>
        </w:tabs>
        <w:spacing w:line="232" w:lineRule="auto" w:before="0" w:after="0"/>
        <w:ind w:left="180" w:right="312" w:firstLine="0"/>
        <w:jc w:val="left"/>
        <w:rPr>
          <w:sz w:val="18"/>
        </w:rPr>
      </w:pPr>
      <w:r>
        <w:rPr>
          <w:sz w:val="18"/>
        </w:rPr>
        <w:t>Interest rates implied by UK short sterling futures had risen again later in the month. This had reflected renewed uncertainty about near-term rate prospects following the publication of the MPC minutes, reported rises in house prices, upward revisions to international growth forecasts, and a growing view that the millennium date change need not deter the MPC from changing policy in December. Market prices, surveys and anecdote had suggested some expectation of a December rate rise, although it was seen in the market as less than an even</w:t>
      </w:r>
      <w:r>
        <w:rPr>
          <w:spacing w:val="-19"/>
          <w:sz w:val="18"/>
        </w:rPr>
        <w:t> </w:t>
      </w:r>
      <w:r>
        <w:rPr>
          <w:sz w:val="18"/>
        </w:rPr>
        <w:t>chance.</w:t>
      </w:r>
    </w:p>
    <w:p>
      <w:pPr>
        <w:pStyle w:val="BodyText"/>
        <w:spacing w:before="9"/>
        <w:rPr>
          <w:sz w:val="16"/>
        </w:rPr>
      </w:pPr>
    </w:p>
    <w:p>
      <w:pPr>
        <w:pStyle w:val="ListParagraph"/>
        <w:numPr>
          <w:ilvl w:val="0"/>
          <w:numId w:val="47"/>
        </w:numPr>
        <w:tabs>
          <w:tab w:pos="659" w:val="left" w:leader="none"/>
          <w:tab w:pos="660" w:val="left" w:leader="none"/>
        </w:tabs>
        <w:spacing w:line="232" w:lineRule="auto" w:before="0" w:after="0"/>
        <w:ind w:left="180" w:right="177" w:firstLine="0"/>
        <w:jc w:val="left"/>
        <w:rPr>
          <w:sz w:val="18"/>
        </w:rPr>
      </w:pPr>
      <w:r>
        <w:rPr>
          <w:sz w:val="18"/>
        </w:rPr>
        <w:t>Merger and acquisition news had been supportive for sterling at some points during the month.  Changes in risk reversals traded in the foreign exchange options market had been small over the month, but had suggested that the markets perceived some risk that sterling would rise further against the euro, but fall against the dollar.</w:t>
      </w:r>
    </w:p>
    <w:p>
      <w:pPr>
        <w:spacing w:after="0" w:line="232" w:lineRule="auto"/>
        <w:jc w:val="left"/>
        <w:rPr>
          <w:sz w:val="18"/>
        </w:rPr>
        <w:sectPr>
          <w:type w:val="continuous"/>
          <w:pgSz w:w="11900" w:h="16840"/>
          <w:pgMar w:top="1220" w:bottom="280" w:left="620" w:right="640"/>
          <w:cols w:num="2" w:equalWidth="0">
            <w:col w:w="5113" w:space="270"/>
            <w:col w:w="5257"/>
          </w:cols>
        </w:sectPr>
      </w:pPr>
    </w:p>
    <w:p>
      <w:pPr>
        <w:pStyle w:val="BodyText"/>
        <w:rPr>
          <w:sz w:val="20"/>
        </w:rPr>
      </w:pPr>
    </w:p>
    <w:p>
      <w:pPr>
        <w:spacing w:line="357" w:lineRule="auto" w:before="218"/>
        <w:ind w:left="174" w:right="3079" w:firstLine="0"/>
        <w:jc w:val="left"/>
        <w:rPr>
          <w:b/>
          <w:sz w:val="28"/>
        </w:rPr>
      </w:pPr>
      <w:bookmarkStart w:name="December press notice" w:id="87"/>
      <w:bookmarkEnd w:id="87"/>
      <w:r>
        <w:rPr/>
      </w:r>
      <w:bookmarkStart w:name="_bookmark37" w:id="88"/>
      <w:bookmarkEnd w:id="88"/>
      <w:r>
        <w:rPr/>
      </w:r>
      <w:r>
        <w:rPr>
          <w:b/>
          <w:color w:val="009391"/>
          <w:sz w:val="28"/>
        </w:rPr>
        <w:t>Text of Bank of England press notice of 9 December 1999 Bank of England maintains interest rates at 5.5%</w:t>
      </w:r>
    </w:p>
    <w:p>
      <w:pPr>
        <w:pStyle w:val="BodyText"/>
        <w:spacing w:before="2"/>
        <w:rPr>
          <w:b/>
          <w:sz w:val="13"/>
        </w:rPr>
      </w:pPr>
    </w:p>
    <w:p>
      <w:pPr>
        <w:pStyle w:val="BodyText"/>
        <w:spacing w:line="463" w:lineRule="auto" w:before="92"/>
        <w:ind w:left="200" w:right="2761"/>
      </w:pPr>
      <w:r>
        <w:rPr/>
        <w:t>The Bank of England’s Monetary Policy Committee today voted to maintain the Bank’s repo rate at 5.5%. The minutes of the meeting will be published at 9.30 am on Wednesday 22 December.</w:t>
      </w:r>
    </w:p>
    <w:p>
      <w:pPr>
        <w:spacing w:after="0" w:line="463" w:lineRule="auto"/>
        <w:sectPr>
          <w:pgSz w:w="11900" w:h="16840"/>
          <w:pgMar w:header="566" w:footer="597" w:top="760" w:bottom="780" w:left="620" w:right="640"/>
        </w:sectPr>
      </w:pPr>
    </w:p>
    <w:p>
      <w:pPr>
        <w:pStyle w:val="BodyText"/>
        <w:rPr>
          <w:sz w:val="20"/>
        </w:rPr>
      </w:pPr>
    </w:p>
    <w:p>
      <w:pPr>
        <w:pStyle w:val="BodyText"/>
        <w:rPr>
          <w:sz w:val="20"/>
        </w:rPr>
      </w:pPr>
    </w:p>
    <w:p>
      <w:pPr>
        <w:pStyle w:val="BodyText"/>
        <w:spacing w:before="7"/>
        <w:rPr>
          <w:sz w:val="20"/>
        </w:rPr>
      </w:pPr>
    </w:p>
    <w:p>
      <w:pPr>
        <w:pStyle w:val="Heading2"/>
        <w:ind w:left="170"/>
      </w:pPr>
      <w:bookmarkStart w:name="January minutes" w:id="89"/>
      <w:bookmarkEnd w:id="89"/>
      <w:r>
        <w:rPr>
          <w:b w:val="0"/>
        </w:rPr>
      </w:r>
      <w:bookmarkStart w:name="_bookmark38" w:id="90"/>
      <w:bookmarkEnd w:id="90"/>
      <w:r>
        <w:rPr>
          <w:b w:val="0"/>
        </w:rPr>
      </w:r>
      <w:r>
        <w:rPr>
          <w:color w:val="009391"/>
        </w:rPr>
        <w:t>Minutes of the Monetary Policy Committee meeting on 12–13 January</w:t>
      </w:r>
      <w:r>
        <w:rPr>
          <w:color w:val="009391"/>
          <w:spacing w:val="-56"/>
        </w:rPr>
        <w:t> </w:t>
      </w:r>
      <w:r>
        <w:rPr>
          <w:color w:val="009391"/>
        </w:rPr>
        <w:t>2000</w:t>
      </w:r>
    </w:p>
    <w:p>
      <w:pPr>
        <w:pStyle w:val="BodyText"/>
        <w:spacing w:before="6"/>
        <w:rPr>
          <w:b/>
          <w:sz w:val="28"/>
        </w:rPr>
      </w:pPr>
    </w:p>
    <w:p>
      <w:pPr>
        <w:spacing w:after="0"/>
        <w:rPr>
          <w:sz w:val="28"/>
        </w:rPr>
        <w:sectPr>
          <w:pgSz w:w="11900" w:h="16840"/>
          <w:pgMar w:header="566" w:footer="597" w:top="760" w:bottom="780" w:left="620" w:right="640"/>
        </w:sectPr>
      </w:pPr>
    </w:p>
    <w:p>
      <w:pPr>
        <w:pStyle w:val="ListParagraph"/>
        <w:numPr>
          <w:ilvl w:val="0"/>
          <w:numId w:val="49"/>
        </w:numPr>
        <w:tabs>
          <w:tab w:pos="645" w:val="left" w:leader="none"/>
          <w:tab w:pos="646" w:val="left" w:leader="none"/>
        </w:tabs>
        <w:spacing w:line="232" w:lineRule="auto" w:before="97" w:after="0"/>
        <w:ind w:left="165" w:right="62" w:firstLine="0"/>
        <w:jc w:val="left"/>
        <w:rPr>
          <w:sz w:val="18"/>
        </w:rPr>
      </w:pPr>
      <w:r>
        <w:rPr>
          <w:sz w:val="18"/>
        </w:rPr>
        <w:t>Before turning to its immediate policy decision, the Committee discussed the world economy; money and asset prices; demand and output; the labour market; prices and costs; and other considerations relevant to its</w:t>
      </w:r>
      <w:r>
        <w:rPr>
          <w:spacing w:val="-7"/>
          <w:sz w:val="18"/>
        </w:rPr>
        <w:t> </w:t>
      </w:r>
      <w:r>
        <w:rPr>
          <w:sz w:val="18"/>
        </w:rPr>
        <w:t>decision.</w:t>
      </w:r>
    </w:p>
    <w:p>
      <w:pPr>
        <w:pStyle w:val="BodyText"/>
        <w:spacing w:before="5"/>
        <w:rPr>
          <w:sz w:val="20"/>
        </w:rPr>
      </w:pPr>
    </w:p>
    <w:p>
      <w:pPr>
        <w:pStyle w:val="Heading7"/>
        <w:ind w:left="165"/>
      </w:pPr>
      <w:r>
        <w:rPr>
          <w:color w:val="009391"/>
        </w:rPr>
        <w:t>The world economy</w:t>
      </w:r>
    </w:p>
    <w:p>
      <w:pPr>
        <w:pStyle w:val="ListParagraph"/>
        <w:numPr>
          <w:ilvl w:val="0"/>
          <w:numId w:val="49"/>
        </w:numPr>
        <w:tabs>
          <w:tab w:pos="645" w:val="left" w:leader="none"/>
          <w:tab w:pos="646" w:val="left" w:leader="none"/>
        </w:tabs>
        <w:spacing w:line="232" w:lineRule="auto" w:before="109" w:after="0"/>
        <w:ind w:left="165" w:right="241" w:firstLine="0"/>
        <w:jc w:val="left"/>
        <w:rPr>
          <w:sz w:val="18"/>
        </w:rPr>
      </w:pPr>
      <w:r>
        <w:rPr>
          <w:sz w:val="18"/>
        </w:rPr>
        <w:t>The Committee considered developments in the world economy since the publication of the November </w:t>
      </w:r>
      <w:r>
        <w:rPr>
          <w:i/>
          <w:sz w:val="18"/>
        </w:rPr>
        <w:t>Inflation Report</w:t>
      </w:r>
      <w:r>
        <w:rPr>
          <w:sz w:val="18"/>
        </w:rPr>
        <w:t>. Outside Japan activity in Asia had strengthened perceptibly, as it had in the euro area, which was the single most important market for UK exporters. According to the most recent</w:t>
      </w:r>
      <w:r>
        <w:rPr>
          <w:spacing w:val="-26"/>
          <w:sz w:val="18"/>
        </w:rPr>
        <w:t> </w:t>
      </w:r>
      <w:r>
        <w:rPr>
          <w:sz w:val="18"/>
        </w:rPr>
        <w:t>estimates,</w:t>
      </w:r>
    </w:p>
    <w:p>
      <w:pPr>
        <w:pStyle w:val="BodyText"/>
        <w:spacing w:line="195" w:lineRule="exact"/>
        <w:ind w:left="165"/>
      </w:pPr>
      <w:r>
        <w:rPr/>
        <w:t>euro-area GDP had increased by 1% on a quarterly basis in</w:t>
      </w:r>
    </w:p>
    <w:p>
      <w:pPr>
        <w:pStyle w:val="BodyText"/>
        <w:spacing w:line="232" w:lineRule="auto" w:before="2"/>
        <w:ind w:left="165" w:right="79"/>
      </w:pPr>
      <w:r>
        <w:rPr/>
        <w:t>1999 Q3, with growth in the previous quarter revised up to 0.6%. The recovery now seemed to be spreading to Italy and Germany, in the latter case confirming the more buoyant picture shown by business confidence indicators and orders data, both of which had risen further in recent months.</w:t>
      </w:r>
    </w:p>
    <w:p>
      <w:pPr>
        <w:pStyle w:val="BodyText"/>
        <w:rPr>
          <w:sz w:val="17"/>
        </w:rPr>
      </w:pPr>
    </w:p>
    <w:p>
      <w:pPr>
        <w:pStyle w:val="ListParagraph"/>
        <w:numPr>
          <w:ilvl w:val="0"/>
          <w:numId w:val="49"/>
        </w:numPr>
        <w:tabs>
          <w:tab w:pos="645" w:val="left" w:leader="none"/>
          <w:tab w:pos="646" w:val="left" w:leader="none"/>
        </w:tabs>
        <w:spacing w:line="232" w:lineRule="auto" w:before="0" w:after="0"/>
        <w:ind w:left="165" w:right="62" w:firstLine="0"/>
        <w:jc w:val="left"/>
        <w:rPr>
          <w:sz w:val="18"/>
        </w:rPr>
      </w:pPr>
      <w:r>
        <w:rPr>
          <w:sz w:val="18"/>
        </w:rPr>
        <w:t>GDP growth in the US in 1999 Q3 had been very strong, at 1.4% on a quarterly basis. More recently, in December US consumer confidence, as measured by the Conference Board, had risen to its highest level for over 30 years, and non-farm payrolls had continued to increase rapidly. While labour market data suggested considerable pressure on resources, this was not reflected in the capacity utilisation measures</w:t>
      </w:r>
      <w:r>
        <w:rPr>
          <w:spacing w:val="-10"/>
          <w:sz w:val="18"/>
        </w:rPr>
        <w:t> </w:t>
      </w:r>
      <w:r>
        <w:rPr>
          <w:sz w:val="18"/>
        </w:rPr>
        <w:t>themselves.</w:t>
      </w:r>
    </w:p>
    <w:p>
      <w:pPr>
        <w:pStyle w:val="BodyText"/>
        <w:spacing w:before="11"/>
        <w:rPr>
          <w:sz w:val="16"/>
        </w:rPr>
      </w:pPr>
    </w:p>
    <w:p>
      <w:pPr>
        <w:pStyle w:val="ListParagraph"/>
        <w:numPr>
          <w:ilvl w:val="0"/>
          <w:numId w:val="49"/>
        </w:numPr>
        <w:tabs>
          <w:tab w:pos="645" w:val="left" w:leader="none"/>
          <w:tab w:pos="646" w:val="left" w:leader="none"/>
        </w:tabs>
        <w:spacing w:line="232" w:lineRule="auto" w:before="0" w:after="0"/>
        <w:ind w:left="165" w:right="38" w:firstLine="0"/>
        <w:jc w:val="left"/>
        <w:rPr>
          <w:sz w:val="18"/>
        </w:rPr>
      </w:pPr>
      <w:r>
        <w:rPr>
          <w:sz w:val="18"/>
        </w:rPr>
        <w:t>Although both oil and non-oil commodity prices were rather stronger than had been expected in November, there had as yet been limited pass-through into prices further along the supply chain, particularly at the retail level. This might reflect lags, or the persistence of spare capacity in the world economy, putting downward pressure on margins.  Alternatively, it might be related to stronger productivity growth, especially in the US.  Following the extensive revisions to past data, most estimates of trend GDP growth in the US had been revised up. Equity prices might also suggest that expectations of sustainable growth were stronger than previously, but it was too soon to be sure whether such a rerating was</w:t>
      </w:r>
      <w:r>
        <w:rPr>
          <w:spacing w:val="-4"/>
          <w:sz w:val="18"/>
        </w:rPr>
        <w:t> </w:t>
      </w:r>
      <w:r>
        <w:rPr>
          <w:sz w:val="18"/>
        </w:rPr>
        <w:t>valid,</w:t>
      </w:r>
      <w:r>
        <w:rPr>
          <w:spacing w:val="-3"/>
          <w:sz w:val="18"/>
        </w:rPr>
        <w:t> </w:t>
      </w:r>
      <w:r>
        <w:rPr>
          <w:sz w:val="18"/>
        </w:rPr>
        <w:t>or</w:t>
      </w:r>
      <w:r>
        <w:rPr>
          <w:spacing w:val="-4"/>
          <w:sz w:val="18"/>
        </w:rPr>
        <w:t> </w:t>
      </w:r>
      <w:r>
        <w:rPr>
          <w:sz w:val="18"/>
        </w:rPr>
        <w:t>whether</w:t>
      </w:r>
      <w:r>
        <w:rPr>
          <w:spacing w:val="-3"/>
          <w:sz w:val="18"/>
        </w:rPr>
        <w:t> </w:t>
      </w:r>
      <w:r>
        <w:rPr>
          <w:sz w:val="18"/>
        </w:rPr>
        <w:t>stock</w:t>
      </w:r>
      <w:r>
        <w:rPr>
          <w:spacing w:val="-3"/>
          <w:sz w:val="18"/>
        </w:rPr>
        <w:t> </w:t>
      </w:r>
      <w:r>
        <w:rPr>
          <w:sz w:val="18"/>
        </w:rPr>
        <w:t>markets</w:t>
      </w:r>
      <w:r>
        <w:rPr>
          <w:spacing w:val="-4"/>
          <w:sz w:val="18"/>
        </w:rPr>
        <w:t> </w:t>
      </w:r>
      <w:r>
        <w:rPr>
          <w:sz w:val="18"/>
        </w:rPr>
        <w:t>had</w:t>
      </w:r>
      <w:r>
        <w:rPr>
          <w:spacing w:val="-3"/>
          <w:sz w:val="18"/>
        </w:rPr>
        <w:t> </w:t>
      </w:r>
      <w:r>
        <w:rPr>
          <w:sz w:val="18"/>
        </w:rPr>
        <w:t>overshot</w:t>
      </w:r>
      <w:r>
        <w:rPr>
          <w:spacing w:val="-4"/>
          <w:sz w:val="18"/>
        </w:rPr>
        <w:t> </w:t>
      </w:r>
      <w:r>
        <w:rPr>
          <w:sz w:val="18"/>
        </w:rPr>
        <w:t>on</w:t>
      </w:r>
      <w:r>
        <w:rPr>
          <w:spacing w:val="-3"/>
          <w:sz w:val="18"/>
        </w:rPr>
        <w:t> </w:t>
      </w:r>
      <w:r>
        <w:rPr>
          <w:sz w:val="18"/>
        </w:rPr>
        <w:t>the</w:t>
      </w:r>
      <w:r>
        <w:rPr>
          <w:spacing w:val="-3"/>
          <w:sz w:val="18"/>
        </w:rPr>
        <w:t> </w:t>
      </w:r>
      <w:r>
        <w:rPr>
          <w:sz w:val="18"/>
        </w:rPr>
        <w:t>upside.</w:t>
      </w:r>
    </w:p>
    <w:p>
      <w:pPr>
        <w:pStyle w:val="BodyText"/>
        <w:spacing w:before="6"/>
        <w:rPr>
          <w:sz w:val="16"/>
        </w:rPr>
      </w:pPr>
    </w:p>
    <w:p>
      <w:pPr>
        <w:pStyle w:val="ListParagraph"/>
        <w:numPr>
          <w:ilvl w:val="0"/>
          <w:numId w:val="49"/>
        </w:numPr>
        <w:tabs>
          <w:tab w:pos="645" w:val="left" w:leader="none"/>
          <w:tab w:pos="646" w:val="left" w:leader="none"/>
        </w:tabs>
        <w:spacing w:line="232" w:lineRule="auto" w:before="1" w:after="0"/>
        <w:ind w:left="165" w:right="92" w:firstLine="0"/>
        <w:jc w:val="left"/>
        <w:rPr>
          <w:sz w:val="18"/>
        </w:rPr>
      </w:pPr>
      <w:r>
        <w:rPr>
          <w:sz w:val="18"/>
        </w:rPr>
        <w:t>To the extent that the rise in the price of technology stocks reflected expectations of rapid improvements in productivity, the boost to demand associated with the rise in share prices might be greater, at least in the short run, than the supply-side effects from higher future productivity. The extent to which the rise in the price of technology stocks may have affected consumption was unclear, although increases in wealth more generally helped to explain the low US personal savings</w:t>
      </w:r>
      <w:r>
        <w:rPr>
          <w:spacing w:val="-6"/>
          <w:sz w:val="18"/>
        </w:rPr>
        <w:t> </w:t>
      </w:r>
      <w:r>
        <w:rPr>
          <w:sz w:val="18"/>
        </w:rPr>
        <w:t>ratio.</w:t>
      </w:r>
    </w:p>
    <w:p>
      <w:pPr>
        <w:pStyle w:val="BodyText"/>
        <w:spacing w:before="9"/>
        <w:rPr>
          <w:sz w:val="16"/>
        </w:rPr>
      </w:pPr>
    </w:p>
    <w:p>
      <w:pPr>
        <w:pStyle w:val="ListParagraph"/>
        <w:numPr>
          <w:ilvl w:val="0"/>
          <w:numId w:val="49"/>
        </w:numPr>
        <w:tabs>
          <w:tab w:pos="645" w:val="left" w:leader="none"/>
          <w:tab w:pos="646" w:val="left" w:leader="none"/>
        </w:tabs>
        <w:spacing w:line="232" w:lineRule="auto" w:before="0" w:after="0"/>
        <w:ind w:left="165" w:right="52" w:firstLine="0"/>
        <w:jc w:val="left"/>
        <w:rPr>
          <w:sz w:val="18"/>
        </w:rPr>
      </w:pPr>
      <w:r>
        <w:rPr>
          <w:sz w:val="18"/>
        </w:rPr>
        <w:t>The Committee discussed the implications of these developments for the US balance of payments. If trend growth in the US were indeed higher, the present current account deficit might narrow once the improvements on the supply side, which were perhaps already being anticipated by higher demand, began to feed through. If these improvements did not materialise, portfolio investment and capital flows linked to mergers and acquisition business could rapidly reverse, especially if stock markets fell back, with a risk that the dollar might decline</w:t>
      </w:r>
      <w:r>
        <w:rPr>
          <w:spacing w:val="-15"/>
          <w:sz w:val="18"/>
        </w:rPr>
        <w:t> </w:t>
      </w:r>
      <w:r>
        <w:rPr>
          <w:sz w:val="18"/>
        </w:rPr>
        <w:t>sharply.</w:t>
      </w:r>
    </w:p>
    <w:p>
      <w:pPr>
        <w:pStyle w:val="BodyText"/>
        <w:spacing w:before="9"/>
        <w:rPr>
          <w:sz w:val="16"/>
        </w:rPr>
      </w:pPr>
    </w:p>
    <w:p>
      <w:pPr>
        <w:pStyle w:val="ListParagraph"/>
        <w:numPr>
          <w:ilvl w:val="0"/>
          <w:numId w:val="49"/>
        </w:numPr>
        <w:tabs>
          <w:tab w:pos="645" w:val="left" w:leader="none"/>
          <w:tab w:pos="646" w:val="left" w:leader="none"/>
        </w:tabs>
        <w:spacing w:line="232" w:lineRule="auto" w:before="0" w:after="0"/>
        <w:ind w:left="165" w:right="92" w:firstLine="0"/>
        <w:jc w:val="left"/>
        <w:rPr>
          <w:sz w:val="18"/>
        </w:rPr>
      </w:pPr>
      <w:r>
        <w:rPr>
          <w:sz w:val="18"/>
        </w:rPr>
        <w:t>The Committee concluded that while the risks from a fall in stock markets and from current account imbalances remained significant, these had been present for some time and had not changed in degree over the past month or so. These risks aside, the outlook for world economic growth was now stronger than it had been, and the recovery in Continental Europe, which seemed to have become more firmly based over the past month, was</w:t>
      </w:r>
      <w:r>
        <w:rPr>
          <w:spacing w:val="-27"/>
          <w:sz w:val="18"/>
        </w:rPr>
        <w:t> </w:t>
      </w:r>
      <w:r>
        <w:rPr>
          <w:sz w:val="18"/>
        </w:rPr>
        <w:t>of</w:t>
      </w:r>
    </w:p>
    <w:p>
      <w:pPr>
        <w:pStyle w:val="BodyText"/>
        <w:spacing w:line="232" w:lineRule="auto" w:before="97"/>
        <w:ind w:left="165" w:right="321"/>
      </w:pPr>
      <w:r>
        <w:rPr/>
        <w:br w:type="column"/>
      </w:r>
      <w:r>
        <w:rPr/>
        <w:t>particular importance to the UK through its prospective effects on net trade.</w:t>
      </w:r>
    </w:p>
    <w:p>
      <w:pPr>
        <w:pStyle w:val="BodyText"/>
        <w:spacing w:before="6"/>
        <w:rPr>
          <w:sz w:val="20"/>
        </w:rPr>
      </w:pPr>
    </w:p>
    <w:p>
      <w:pPr>
        <w:pStyle w:val="Heading7"/>
        <w:ind w:left="165"/>
      </w:pPr>
      <w:r>
        <w:rPr>
          <w:color w:val="009391"/>
        </w:rPr>
        <w:t>Money and asset prices</w:t>
      </w:r>
    </w:p>
    <w:p>
      <w:pPr>
        <w:pStyle w:val="ListParagraph"/>
        <w:numPr>
          <w:ilvl w:val="0"/>
          <w:numId w:val="49"/>
        </w:numPr>
        <w:tabs>
          <w:tab w:pos="645" w:val="left" w:leader="none"/>
          <w:tab w:pos="646" w:val="left" w:leader="none"/>
        </w:tabs>
        <w:spacing w:line="232" w:lineRule="auto" w:before="110" w:after="0"/>
        <w:ind w:left="165" w:right="224" w:firstLine="0"/>
        <w:jc w:val="left"/>
        <w:rPr>
          <w:sz w:val="18"/>
        </w:rPr>
      </w:pPr>
      <w:r>
        <w:rPr>
          <w:sz w:val="18"/>
        </w:rPr>
        <w:t>Narrow money had surged in December, with notes and coin increasing by more than 4</w:t>
      </w:r>
      <w:r>
        <w:rPr>
          <w:position w:val="6"/>
          <w:sz w:val="9"/>
        </w:rPr>
        <w:t>1</w:t>
      </w:r>
      <w:r>
        <w:rPr>
          <w:sz w:val="18"/>
        </w:rPr>
        <w:t>/</w:t>
      </w:r>
      <w:r>
        <w:rPr>
          <w:sz w:val="9"/>
        </w:rPr>
        <w:t>2</w:t>
      </w:r>
      <w:r>
        <w:rPr>
          <w:sz w:val="18"/>
        </w:rPr>
        <w:t>% in the month, and with</w:t>
      </w:r>
      <w:r>
        <w:rPr>
          <w:spacing w:val="-22"/>
          <w:sz w:val="18"/>
        </w:rPr>
        <w:t> </w:t>
      </w:r>
      <w:r>
        <w:rPr>
          <w:sz w:val="18"/>
        </w:rPr>
        <w:t>the</w:t>
      </w:r>
    </w:p>
    <w:p>
      <w:pPr>
        <w:pStyle w:val="BodyText"/>
        <w:spacing w:line="232" w:lineRule="auto"/>
        <w:ind w:left="165" w:right="216"/>
      </w:pPr>
      <w:r>
        <w:rPr/>
        <w:t>twelve-month growth rate (of 12</w:t>
      </w:r>
      <w:r>
        <w:rPr>
          <w:position w:val="6"/>
          <w:sz w:val="9"/>
        </w:rPr>
        <w:t>1</w:t>
      </w:r>
      <w:r>
        <w:rPr/>
        <w:t>/</w:t>
      </w:r>
      <w:r>
        <w:rPr>
          <w:sz w:val="9"/>
        </w:rPr>
        <w:t>2</w:t>
      </w:r>
      <w:r>
        <w:rPr/>
        <w:t>%) at its highest for twenty years. This appeared to reflect end-year or end-millennium effects, including greater-than-normal stocking of ATMs and higher cash holdings by the public. A sharp reversal in the level of notes and coin now seemed to be under way in January. The Committee agreed that these movements were unlikely to have wider implications for the rest of the economy; both these and the pattern of retail sales around the turn of the year might be examples of seasonal or millennium ‘fog’ which obscured the underlying position. By contrast, once allowance was made for the weak growth of deposits by Other Financial Corporations</w:t>
      </w:r>
      <w:r>
        <w:rPr>
          <w:spacing w:val="-23"/>
        </w:rPr>
        <w:t> </w:t>
      </w:r>
      <w:r>
        <w:rPr/>
        <w:t>(OFCs),</w:t>
      </w:r>
    </w:p>
    <w:p>
      <w:pPr>
        <w:pStyle w:val="BodyText"/>
        <w:spacing w:line="232" w:lineRule="auto"/>
        <w:ind w:left="165" w:right="271"/>
      </w:pPr>
      <w:r>
        <w:rPr/>
        <w:t>the underlying growth in broad money was rather stable, at around 6%.</w:t>
      </w:r>
    </w:p>
    <w:p>
      <w:pPr>
        <w:pStyle w:val="BodyText"/>
        <w:spacing w:before="4"/>
        <w:rPr>
          <w:sz w:val="16"/>
        </w:rPr>
      </w:pPr>
    </w:p>
    <w:p>
      <w:pPr>
        <w:pStyle w:val="ListParagraph"/>
        <w:numPr>
          <w:ilvl w:val="0"/>
          <w:numId w:val="49"/>
        </w:numPr>
        <w:tabs>
          <w:tab w:pos="645" w:val="left" w:leader="none"/>
          <w:tab w:pos="646" w:val="left" w:leader="none"/>
        </w:tabs>
        <w:spacing w:line="232" w:lineRule="auto" w:before="0" w:after="0"/>
        <w:ind w:left="165" w:right="261" w:firstLine="0"/>
        <w:jc w:val="left"/>
        <w:rPr>
          <w:sz w:val="18"/>
        </w:rPr>
      </w:pPr>
      <w:r>
        <w:rPr>
          <w:sz w:val="18"/>
        </w:rPr>
        <w:t>M4 lending to households had again been strong, with the twelve-month growth rate the highest for eight years, and the Bank’s estimate for mortgage equity withdrawal had been revised up to £3.8 billion in 1999 Q3. ‘Borrowing for consumption’—a measure</w:t>
      </w:r>
      <w:r>
        <w:rPr>
          <w:spacing w:val="-7"/>
          <w:sz w:val="18"/>
        </w:rPr>
        <w:t> </w:t>
      </w:r>
      <w:r>
        <w:rPr>
          <w:sz w:val="18"/>
        </w:rPr>
        <w:t>which</w:t>
      </w:r>
      <w:r>
        <w:rPr>
          <w:spacing w:val="-7"/>
          <w:sz w:val="18"/>
        </w:rPr>
        <w:t> </w:t>
      </w:r>
      <w:r>
        <w:rPr>
          <w:sz w:val="18"/>
        </w:rPr>
        <w:t>combined</w:t>
      </w:r>
      <w:r>
        <w:rPr>
          <w:spacing w:val="-7"/>
          <w:sz w:val="18"/>
        </w:rPr>
        <w:t> </w:t>
      </w:r>
      <w:r>
        <w:rPr>
          <w:sz w:val="18"/>
        </w:rPr>
        <w:t>estimates</w:t>
      </w:r>
      <w:r>
        <w:rPr>
          <w:spacing w:val="-7"/>
          <w:sz w:val="18"/>
        </w:rPr>
        <w:t> </w:t>
      </w:r>
      <w:r>
        <w:rPr>
          <w:sz w:val="18"/>
        </w:rPr>
        <w:t>of</w:t>
      </w:r>
      <w:r>
        <w:rPr>
          <w:spacing w:val="-7"/>
          <w:sz w:val="18"/>
        </w:rPr>
        <w:t> </w:t>
      </w:r>
      <w:r>
        <w:rPr>
          <w:sz w:val="18"/>
        </w:rPr>
        <w:t>mortgage</w:t>
      </w:r>
      <w:r>
        <w:rPr>
          <w:spacing w:val="-6"/>
          <w:sz w:val="18"/>
        </w:rPr>
        <w:t> </w:t>
      </w:r>
      <w:r>
        <w:rPr>
          <w:sz w:val="18"/>
        </w:rPr>
        <w:t>equity</w:t>
      </w:r>
      <w:r>
        <w:rPr>
          <w:spacing w:val="-7"/>
          <w:sz w:val="18"/>
        </w:rPr>
        <w:t> </w:t>
      </w:r>
      <w:r>
        <w:rPr>
          <w:sz w:val="18"/>
        </w:rPr>
        <w:t>withdrawal and unsecured lending—was at nearly 5% of disposable income in Q3, its highest level since late</w:t>
      </w:r>
      <w:r>
        <w:rPr>
          <w:spacing w:val="-9"/>
          <w:sz w:val="18"/>
        </w:rPr>
        <w:t> </w:t>
      </w:r>
      <w:r>
        <w:rPr>
          <w:sz w:val="18"/>
        </w:rPr>
        <w:t>1990.</w:t>
      </w:r>
    </w:p>
    <w:p>
      <w:pPr>
        <w:pStyle w:val="BodyText"/>
        <w:spacing w:before="10"/>
        <w:rPr>
          <w:sz w:val="16"/>
        </w:rPr>
      </w:pPr>
    </w:p>
    <w:p>
      <w:pPr>
        <w:pStyle w:val="ListParagraph"/>
        <w:numPr>
          <w:ilvl w:val="0"/>
          <w:numId w:val="49"/>
        </w:numPr>
        <w:tabs>
          <w:tab w:pos="645" w:val="left" w:leader="none"/>
          <w:tab w:pos="646" w:val="left" w:leader="none"/>
        </w:tabs>
        <w:spacing w:line="232" w:lineRule="auto" w:before="1" w:after="0"/>
        <w:ind w:left="165" w:right="199" w:firstLine="0"/>
        <w:jc w:val="left"/>
        <w:rPr>
          <w:sz w:val="18"/>
        </w:rPr>
      </w:pPr>
      <w:r>
        <w:rPr>
          <w:sz w:val="18"/>
        </w:rPr>
        <w:t>The housing market remained buoyant, with prices rising some 13</w:t>
      </w:r>
      <w:r>
        <w:rPr>
          <w:position w:val="6"/>
          <w:sz w:val="9"/>
        </w:rPr>
        <w:t>1</w:t>
      </w:r>
      <w:r>
        <w:rPr>
          <w:sz w:val="18"/>
        </w:rPr>
        <w:t>/</w:t>
      </w:r>
      <w:r>
        <w:rPr>
          <w:sz w:val="9"/>
        </w:rPr>
        <w:t>2</w:t>
      </w:r>
      <w:r>
        <w:rPr>
          <w:sz w:val="18"/>
        </w:rPr>
        <w:t>% over the last year on both the Halifax and Nationwide measures, and with house price strength now more widely spread across the UK than before, although significant regional differences remained. Measures of turnover and housing activity showed a less clear trend, however, and a survey of house prices by the Royal Institute of Chartered Surveyors (R</w:t>
      </w:r>
      <w:r>
        <w:rPr>
          <w:sz w:val="14"/>
        </w:rPr>
        <w:t>ICS</w:t>
      </w:r>
      <w:r>
        <w:rPr>
          <w:sz w:val="18"/>
        </w:rPr>
        <w:t>) for December recorded a rather lower figure for the balance of estate agents reporting a rise in house</w:t>
      </w:r>
      <w:r>
        <w:rPr>
          <w:spacing w:val="-3"/>
          <w:sz w:val="18"/>
        </w:rPr>
        <w:t> </w:t>
      </w:r>
      <w:r>
        <w:rPr>
          <w:sz w:val="18"/>
        </w:rPr>
        <w:t>prices.</w:t>
      </w:r>
    </w:p>
    <w:p>
      <w:pPr>
        <w:pStyle w:val="BodyText"/>
        <w:spacing w:before="9"/>
        <w:rPr>
          <w:sz w:val="16"/>
        </w:rPr>
      </w:pPr>
    </w:p>
    <w:p>
      <w:pPr>
        <w:pStyle w:val="ListParagraph"/>
        <w:numPr>
          <w:ilvl w:val="0"/>
          <w:numId w:val="49"/>
        </w:numPr>
        <w:tabs>
          <w:tab w:pos="645" w:val="left" w:leader="none"/>
          <w:tab w:pos="646" w:val="left" w:leader="none"/>
        </w:tabs>
        <w:spacing w:line="232" w:lineRule="auto" w:before="0" w:after="0"/>
        <w:ind w:left="165" w:right="179" w:firstLine="0"/>
        <w:jc w:val="left"/>
        <w:rPr>
          <w:sz w:val="18"/>
        </w:rPr>
      </w:pPr>
      <w:r>
        <w:rPr>
          <w:sz w:val="18"/>
        </w:rPr>
        <w:t>Two-year interest rates had risen by around 30 basis points since the December meeting. The rise in interest rates had not been offset by a rise in inflation expectations. Other things being equal, the rise in real interest rates along the yield curve would tend to dampen demand, including via its effect on new fixed-rate mortgages. So monetary conditions in the UK had clearly tightened over the past month. This might in part reflect the stronger prospects for world economic</w:t>
      </w:r>
      <w:r>
        <w:rPr>
          <w:spacing w:val="-7"/>
          <w:sz w:val="18"/>
        </w:rPr>
        <w:t> </w:t>
      </w:r>
      <w:r>
        <w:rPr>
          <w:sz w:val="18"/>
        </w:rPr>
        <w:t>activity.</w:t>
      </w:r>
    </w:p>
    <w:p>
      <w:pPr>
        <w:pStyle w:val="BodyText"/>
        <w:spacing w:before="9"/>
        <w:rPr>
          <w:sz w:val="16"/>
        </w:rPr>
      </w:pPr>
    </w:p>
    <w:p>
      <w:pPr>
        <w:pStyle w:val="ListParagraph"/>
        <w:numPr>
          <w:ilvl w:val="0"/>
          <w:numId w:val="49"/>
        </w:numPr>
        <w:tabs>
          <w:tab w:pos="645" w:val="left" w:leader="none"/>
          <w:tab w:pos="646" w:val="left" w:leader="none"/>
        </w:tabs>
        <w:spacing w:line="232" w:lineRule="auto" w:before="1" w:after="0"/>
        <w:ind w:left="165" w:right="234" w:firstLine="0"/>
        <w:jc w:val="left"/>
        <w:rPr>
          <w:i/>
          <w:sz w:val="18"/>
        </w:rPr>
      </w:pPr>
      <w:r>
        <w:rPr>
          <w:sz w:val="18"/>
        </w:rPr>
        <w:t>In addition, the effective exchange rate index had risen by around 1</w:t>
      </w:r>
      <w:r>
        <w:rPr>
          <w:position w:val="6"/>
          <w:sz w:val="9"/>
        </w:rPr>
        <w:t>1</w:t>
      </w:r>
      <w:r>
        <w:rPr>
          <w:sz w:val="18"/>
        </w:rPr>
        <w:t>/</w:t>
      </w:r>
      <w:r>
        <w:rPr>
          <w:sz w:val="9"/>
        </w:rPr>
        <w:t>4</w:t>
      </w:r>
      <w:r>
        <w:rPr>
          <w:sz w:val="18"/>
        </w:rPr>
        <w:t>% over the month. This would exacerbate the impact on net trade of the earlier appreciation, although it would be offset at least in part by the pick-up in world demand. Meanwhile equity prices in the UK had been rather volatile, rising during December and then falling back, but on balance were little changed over the month, and remained well above the central projection in the November </w:t>
      </w:r>
      <w:r>
        <w:rPr>
          <w:i/>
          <w:sz w:val="18"/>
        </w:rPr>
        <w:t>Inflation</w:t>
      </w:r>
      <w:r>
        <w:rPr>
          <w:i/>
          <w:spacing w:val="-2"/>
          <w:sz w:val="18"/>
        </w:rPr>
        <w:t> </w:t>
      </w:r>
      <w:r>
        <w:rPr>
          <w:i/>
          <w:sz w:val="18"/>
        </w:rPr>
        <w:t>Report.</w:t>
      </w:r>
    </w:p>
    <w:p>
      <w:pPr>
        <w:pStyle w:val="BodyText"/>
        <w:spacing w:before="1"/>
        <w:rPr>
          <w:i/>
          <w:sz w:val="20"/>
        </w:rPr>
      </w:pPr>
    </w:p>
    <w:p>
      <w:pPr>
        <w:pStyle w:val="Heading7"/>
        <w:ind w:left="165"/>
      </w:pPr>
      <w:r>
        <w:rPr>
          <w:color w:val="009391"/>
        </w:rPr>
        <w:t>Demand and output</w:t>
      </w:r>
    </w:p>
    <w:p>
      <w:pPr>
        <w:pStyle w:val="ListParagraph"/>
        <w:numPr>
          <w:ilvl w:val="0"/>
          <w:numId w:val="49"/>
        </w:numPr>
        <w:tabs>
          <w:tab w:pos="645" w:val="left" w:leader="none"/>
          <w:tab w:pos="646" w:val="left" w:leader="none"/>
        </w:tabs>
        <w:spacing w:line="232" w:lineRule="auto" w:before="109" w:after="0"/>
        <w:ind w:left="165" w:right="234" w:firstLine="0"/>
        <w:jc w:val="left"/>
        <w:rPr>
          <w:sz w:val="18"/>
        </w:rPr>
      </w:pPr>
      <w:r>
        <w:rPr>
          <w:sz w:val="18"/>
        </w:rPr>
        <w:t>The latest National Accounts data included revisions for the period from 1998 Q1.  While estimates of the level of GDP in 1999 Q3 were little changed, growth in 1998 Q4 had been revised down, with more of a recovery in the following two quarters. GDP at constant market prices was now estimated to have grown by 0.8% in 1999 Q3 (as against the previous figure of 0.9%) but the year-on-year figure had been revised up to 1.9% (from</w:t>
      </w:r>
      <w:r>
        <w:rPr>
          <w:spacing w:val="-29"/>
          <w:sz w:val="18"/>
        </w:rPr>
        <w:t> </w:t>
      </w:r>
      <w:r>
        <w:rPr>
          <w:sz w:val="18"/>
        </w:rPr>
        <w:t>1.8%).</w:t>
      </w:r>
    </w:p>
    <w:p>
      <w:pPr>
        <w:spacing w:after="0" w:line="232" w:lineRule="auto"/>
        <w:jc w:val="left"/>
        <w:rPr>
          <w:sz w:val="18"/>
        </w:rPr>
        <w:sectPr>
          <w:type w:val="continuous"/>
          <w:pgSz w:w="11900" w:h="16840"/>
          <w:pgMar w:top="1220" w:bottom="280" w:left="620" w:right="640"/>
          <w:cols w:num="2" w:equalWidth="0">
            <w:col w:w="5113" w:space="277"/>
            <w:col w:w="525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7"/>
        <w:rPr>
          <w:sz w:val="19"/>
        </w:rPr>
      </w:pPr>
    </w:p>
    <w:p>
      <w:pPr>
        <w:pStyle w:val="ListParagraph"/>
        <w:numPr>
          <w:ilvl w:val="0"/>
          <w:numId w:val="49"/>
        </w:numPr>
        <w:tabs>
          <w:tab w:pos="674" w:val="left" w:leader="none"/>
          <w:tab w:pos="675" w:val="left" w:leader="none"/>
        </w:tabs>
        <w:spacing w:line="232" w:lineRule="auto" w:before="1" w:after="0"/>
        <w:ind w:left="194" w:right="128" w:firstLine="0"/>
        <w:jc w:val="left"/>
        <w:rPr>
          <w:sz w:val="18"/>
        </w:rPr>
      </w:pPr>
      <w:r>
        <w:rPr>
          <w:sz w:val="18"/>
        </w:rPr>
        <w:t>Household consumption was still estimated to have risen by 0.6% in 1999 Q3, but the level of consumption was now 0.6% lower than previously estimated, in part reflecting a downward revision to expenditure on cars earlier in 1999 following the changes in the seasonal pattern for vehicle registration. Business investment had fallen in Q3, and growth in investment as a whole in the quarter was barely positive. Within the total, manufacturing investment continued to fall, perhaps reflecting past pressure on margins, and there had also been a slight decline in investment by the services sector, after previous estimates had been revised up to show more rapid growth over the previous year. It was possible that some of the weakness in business investment reflected a pause in IT spending ahead of the new millennium. Government investment had increased sharply in Q3, although it remained well below planned levels. The level of government consumption expenditure had been revised down, though growth in Q3 was stronger than previous</w:t>
      </w:r>
      <w:r>
        <w:rPr>
          <w:spacing w:val="-5"/>
          <w:sz w:val="18"/>
        </w:rPr>
        <w:t> </w:t>
      </w:r>
      <w:r>
        <w:rPr>
          <w:sz w:val="18"/>
        </w:rPr>
        <w:t>estimates.</w:t>
      </w:r>
    </w:p>
    <w:p>
      <w:pPr>
        <w:pStyle w:val="BodyText"/>
        <w:spacing w:before="2"/>
        <w:rPr>
          <w:sz w:val="16"/>
        </w:rPr>
      </w:pPr>
    </w:p>
    <w:p>
      <w:pPr>
        <w:pStyle w:val="ListParagraph"/>
        <w:numPr>
          <w:ilvl w:val="0"/>
          <w:numId w:val="49"/>
        </w:numPr>
        <w:tabs>
          <w:tab w:pos="674" w:val="left" w:leader="none"/>
          <w:tab w:pos="675" w:val="left" w:leader="none"/>
        </w:tabs>
        <w:spacing w:line="232" w:lineRule="auto" w:before="0" w:after="0"/>
        <w:ind w:left="194" w:right="38" w:firstLine="0"/>
        <w:jc w:val="left"/>
        <w:rPr>
          <w:sz w:val="18"/>
        </w:rPr>
      </w:pPr>
      <w:r>
        <w:rPr>
          <w:sz w:val="18"/>
        </w:rPr>
        <w:t>Final domestic demand in Q3 was now estimated to be 3.2% above its level of a year earlier, compared with 4.1% in Q2, a figure which had itself been revised down from 4.5% in the previous estimate. Moreover, it seemed unlikely on present indications that year-on-year growth would pick up significantly from the 3%–3</w:t>
      </w:r>
      <w:r>
        <w:rPr>
          <w:position w:val="6"/>
          <w:sz w:val="9"/>
        </w:rPr>
        <w:t>1</w:t>
      </w:r>
      <w:r>
        <w:rPr>
          <w:sz w:val="18"/>
        </w:rPr>
        <w:t>/</w:t>
      </w:r>
      <w:r>
        <w:rPr>
          <w:sz w:val="9"/>
        </w:rPr>
        <w:t>2</w:t>
      </w:r>
      <w:r>
        <w:rPr>
          <w:sz w:val="18"/>
        </w:rPr>
        <w:t>% range either in 1999 Q4 or the present quarter. While such growth was likely to be too high to be sustainable in the long run, it was significantly lower than the 4%–4</w:t>
      </w:r>
      <w:r>
        <w:rPr>
          <w:position w:val="6"/>
          <w:sz w:val="9"/>
        </w:rPr>
        <w:t>1</w:t>
      </w:r>
      <w:r>
        <w:rPr>
          <w:sz w:val="18"/>
        </w:rPr>
        <w:t>/</w:t>
      </w:r>
      <w:r>
        <w:rPr>
          <w:sz w:val="9"/>
        </w:rPr>
        <w:t>2</w:t>
      </w:r>
      <w:r>
        <w:rPr>
          <w:sz w:val="18"/>
        </w:rPr>
        <w:t>% rates reported earlier in 1999, before the latest revisions had been made.  The quarterly growth rate of final domestic demand had slowed more sharply, from 1.2% in 1999 Q1 to 0.4% in Q3, which if it persisted would no longer be above its sustainable rate. However, surveys and other evidence suggested that it could pickup in</w:t>
      </w:r>
      <w:r>
        <w:rPr>
          <w:spacing w:val="-9"/>
          <w:sz w:val="18"/>
        </w:rPr>
        <w:t> </w:t>
      </w:r>
      <w:r>
        <w:rPr>
          <w:sz w:val="18"/>
        </w:rPr>
        <w:t>Q4.</w:t>
      </w:r>
    </w:p>
    <w:p>
      <w:pPr>
        <w:pStyle w:val="BodyText"/>
        <w:spacing w:before="6"/>
        <w:rPr>
          <w:sz w:val="16"/>
        </w:rPr>
      </w:pPr>
    </w:p>
    <w:p>
      <w:pPr>
        <w:pStyle w:val="ListParagraph"/>
        <w:numPr>
          <w:ilvl w:val="0"/>
          <w:numId w:val="49"/>
        </w:numPr>
        <w:tabs>
          <w:tab w:pos="674" w:val="left" w:leader="none"/>
          <w:tab w:pos="675" w:val="left" w:leader="none"/>
        </w:tabs>
        <w:spacing w:line="232" w:lineRule="auto" w:before="0" w:after="0"/>
        <w:ind w:left="194" w:right="38" w:firstLine="0"/>
        <w:jc w:val="left"/>
        <w:rPr>
          <w:sz w:val="18"/>
        </w:rPr>
      </w:pPr>
      <w:r>
        <w:rPr>
          <w:sz w:val="18"/>
        </w:rPr>
        <w:t>While final domestic demand growth had fallen back, net external demand had been stronger in Q2 and Q3, making a positive contribution to GDP growth on a quarterly basis (though this might not continue into Q4).  As a result growth in GDP on a year ago was only 0.7 percentage points lower in Q3 than growth in domestic demand, compared with a gap of 2.6 percentage points in 1999 Q1. To that extent the recovery was now better</w:t>
      </w:r>
      <w:r>
        <w:rPr>
          <w:spacing w:val="12"/>
          <w:sz w:val="18"/>
        </w:rPr>
        <w:t> </w:t>
      </w:r>
      <w:r>
        <w:rPr>
          <w:sz w:val="18"/>
        </w:rPr>
        <w:t>balanced.</w:t>
      </w:r>
    </w:p>
    <w:p>
      <w:pPr>
        <w:pStyle w:val="BodyText"/>
        <w:spacing w:line="232" w:lineRule="auto"/>
        <w:ind w:left="194" w:right="78"/>
      </w:pPr>
      <w:r>
        <w:rPr/>
        <w:t>The stronger performance of net exports might, if sustained, tend to put pressure on resources unless domestic demand growth continued to moderate.  However, there was spare capacity in many export and manufacturing sectors following their recent downturns.</w:t>
      </w:r>
    </w:p>
    <w:p>
      <w:pPr>
        <w:pStyle w:val="BodyText"/>
        <w:spacing w:before="7"/>
        <w:rPr>
          <w:sz w:val="16"/>
        </w:rPr>
      </w:pPr>
    </w:p>
    <w:p>
      <w:pPr>
        <w:pStyle w:val="ListParagraph"/>
        <w:numPr>
          <w:ilvl w:val="0"/>
          <w:numId w:val="49"/>
        </w:numPr>
        <w:tabs>
          <w:tab w:pos="674" w:val="left" w:leader="none"/>
          <w:tab w:pos="675" w:val="left" w:leader="none"/>
        </w:tabs>
        <w:spacing w:line="232" w:lineRule="auto" w:before="0" w:after="0"/>
        <w:ind w:left="194" w:right="63" w:firstLine="0"/>
        <w:jc w:val="left"/>
        <w:rPr>
          <w:sz w:val="18"/>
        </w:rPr>
      </w:pPr>
      <w:r>
        <w:rPr>
          <w:sz w:val="18"/>
        </w:rPr>
        <w:t>There was also some evidence of better balance in the economy from the output data, with both manufacturing and industrial output up 1.2% over the previous quarter in Q3, while the services sector had grown by 0.6%. Such a recovery in industrial output was consistent with the upturn in external demand from Continental Europe; but the slowdown in services, which was in part due to lower growth in the financial and business services category, was less easy to explain, unless it reflected a pause ahead of the new</w:t>
      </w:r>
      <w:r>
        <w:rPr>
          <w:spacing w:val="-4"/>
          <w:sz w:val="18"/>
        </w:rPr>
        <w:t> </w:t>
      </w:r>
      <w:r>
        <w:rPr>
          <w:sz w:val="18"/>
        </w:rPr>
        <w:t>millennium.</w:t>
      </w:r>
    </w:p>
    <w:p>
      <w:pPr>
        <w:pStyle w:val="BodyText"/>
        <w:spacing w:before="6"/>
      </w:pPr>
    </w:p>
    <w:p>
      <w:pPr>
        <w:pStyle w:val="ListParagraph"/>
        <w:numPr>
          <w:ilvl w:val="0"/>
          <w:numId w:val="49"/>
        </w:numPr>
        <w:tabs>
          <w:tab w:pos="674" w:val="left" w:leader="none"/>
          <w:tab w:pos="675" w:val="left" w:leader="none"/>
        </w:tabs>
        <w:spacing w:line="232" w:lineRule="auto" w:before="0" w:after="0"/>
        <w:ind w:left="194" w:right="73" w:firstLine="0"/>
        <w:jc w:val="left"/>
        <w:rPr>
          <w:sz w:val="18"/>
        </w:rPr>
      </w:pPr>
      <w:r>
        <w:rPr>
          <w:sz w:val="18"/>
        </w:rPr>
        <w:t>Growth in retail sales volumes (which excluded spending on vehicles) continued to slow on a three month on three month basis, while still running at around 4% at an annual rate. As always, it was difficult to gauge the underlying pattern of sales over the Christmas and New Year period, and it would be sensible to look at data for December and January together when these became available. This was even truer this year, given the uncertainties over the impact of the millennium date change. However, most of the determinants and indicators of consumption (such as real labour incomes, financial and non-financial wealth and household borrowing, as well as consumer confidence) appeared either to be strengthening or to have remained strong, suggesting that consumer spending might continue to grow relatively rapidly in the near future; this was in line with survey data on retail sales for December. But car sales seemed to be weak, with some consumers apparently delaying purchases in the hope that prices might fall sharply in the near</w:t>
      </w:r>
      <w:r>
        <w:rPr>
          <w:spacing w:val="-6"/>
          <w:sz w:val="18"/>
        </w:rPr>
        <w:t> </w:t>
      </w:r>
      <w:r>
        <w:rPr>
          <w:sz w:val="18"/>
        </w:rPr>
        <w:t>future.</w:t>
      </w:r>
    </w:p>
    <w:p>
      <w:pPr>
        <w:pStyle w:val="Heading7"/>
        <w:spacing w:before="212"/>
      </w:pPr>
      <w:r>
        <w:rPr>
          <w:b w:val="0"/>
        </w:rPr>
        <w:br w:type="column"/>
      </w:r>
      <w:r>
        <w:rPr>
          <w:color w:val="009391"/>
        </w:rPr>
        <w:t>The labour market</w:t>
      </w:r>
    </w:p>
    <w:p>
      <w:pPr>
        <w:pStyle w:val="ListParagraph"/>
        <w:numPr>
          <w:ilvl w:val="0"/>
          <w:numId w:val="49"/>
        </w:numPr>
        <w:tabs>
          <w:tab w:pos="674" w:val="left" w:leader="none"/>
          <w:tab w:pos="675" w:val="left" w:leader="none"/>
        </w:tabs>
        <w:spacing w:line="232" w:lineRule="auto" w:before="109" w:after="0"/>
        <w:ind w:left="194" w:right="172" w:firstLine="0"/>
        <w:jc w:val="left"/>
        <w:rPr>
          <w:sz w:val="18"/>
        </w:rPr>
      </w:pPr>
      <w:r>
        <w:rPr>
          <w:sz w:val="18"/>
        </w:rPr>
        <w:t>Whole-economy headline earnings had risen by 4.9% in the year to October, with private sector earnings up by 5.1%. The headline figures represented a three-month average; taking the data for October alone, whole-economy earnings were up 5.1% on a year earlier, even though October was not a month in which bonus payments were typically large. There could be further upwards pressure</w:t>
      </w:r>
      <w:r>
        <w:rPr>
          <w:spacing w:val="-4"/>
          <w:sz w:val="18"/>
        </w:rPr>
        <w:t> </w:t>
      </w:r>
      <w:r>
        <w:rPr>
          <w:sz w:val="18"/>
        </w:rPr>
        <w:t>on</w:t>
      </w:r>
      <w:r>
        <w:rPr>
          <w:spacing w:val="-3"/>
          <w:sz w:val="18"/>
        </w:rPr>
        <w:t> </w:t>
      </w:r>
      <w:r>
        <w:rPr>
          <w:sz w:val="18"/>
        </w:rPr>
        <w:t>the</w:t>
      </w:r>
      <w:r>
        <w:rPr>
          <w:spacing w:val="-4"/>
          <w:sz w:val="18"/>
        </w:rPr>
        <w:t> </w:t>
      </w:r>
      <w:r>
        <w:rPr>
          <w:sz w:val="18"/>
        </w:rPr>
        <w:t>Average</w:t>
      </w:r>
      <w:r>
        <w:rPr>
          <w:spacing w:val="-3"/>
          <w:sz w:val="18"/>
        </w:rPr>
        <w:t> </w:t>
      </w:r>
      <w:r>
        <w:rPr>
          <w:sz w:val="18"/>
        </w:rPr>
        <w:t>Earnings</w:t>
      </w:r>
      <w:r>
        <w:rPr>
          <w:spacing w:val="-4"/>
          <w:sz w:val="18"/>
        </w:rPr>
        <w:t> </w:t>
      </w:r>
      <w:r>
        <w:rPr>
          <w:sz w:val="18"/>
        </w:rPr>
        <w:t>Index</w:t>
      </w:r>
      <w:r>
        <w:rPr>
          <w:spacing w:val="-3"/>
          <w:sz w:val="18"/>
        </w:rPr>
        <w:t> </w:t>
      </w:r>
      <w:r>
        <w:rPr>
          <w:sz w:val="18"/>
        </w:rPr>
        <w:t>in</w:t>
      </w:r>
      <w:r>
        <w:rPr>
          <w:spacing w:val="-4"/>
          <w:sz w:val="18"/>
        </w:rPr>
        <w:t> </w:t>
      </w:r>
      <w:r>
        <w:rPr>
          <w:sz w:val="18"/>
        </w:rPr>
        <w:t>the</w:t>
      </w:r>
      <w:r>
        <w:rPr>
          <w:spacing w:val="-3"/>
          <w:sz w:val="18"/>
        </w:rPr>
        <w:t> </w:t>
      </w:r>
      <w:r>
        <w:rPr>
          <w:sz w:val="18"/>
        </w:rPr>
        <w:t>next</w:t>
      </w:r>
      <w:r>
        <w:rPr>
          <w:spacing w:val="-4"/>
          <w:sz w:val="18"/>
        </w:rPr>
        <w:t> </w:t>
      </w:r>
      <w:r>
        <w:rPr>
          <w:sz w:val="18"/>
        </w:rPr>
        <w:t>few</w:t>
      </w:r>
      <w:r>
        <w:rPr>
          <w:spacing w:val="-3"/>
          <w:sz w:val="18"/>
        </w:rPr>
        <w:t> </w:t>
      </w:r>
      <w:r>
        <w:rPr>
          <w:sz w:val="18"/>
        </w:rPr>
        <w:t>months,</w:t>
      </w:r>
    </w:p>
    <w:p>
      <w:pPr>
        <w:pStyle w:val="BodyText"/>
        <w:spacing w:line="232" w:lineRule="auto"/>
        <w:ind w:left="194" w:right="291"/>
      </w:pPr>
      <w:r>
        <w:rPr/>
        <w:t>if bonus payments were unusually high, for instance for millennium-related reasons. In any case, the figures for October suggested an upward revision to the profile for earnings contained in the central projection in the November </w:t>
      </w:r>
      <w:r>
        <w:rPr>
          <w:i/>
        </w:rPr>
        <w:t>Inflation Report</w:t>
      </w:r>
      <w:r>
        <w:rPr/>
        <w:t>.</w:t>
      </w:r>
    </w:p>
    <w:p>
      <w:pPr>
        <w:pStyle w:val="BodyText"/>
        <w:spacing w:before="7"/>
        <w:rPr>
          <w:sz w:val="16"/>
        </w:rPr>
      </w:pPr>
    </w:p>
    <w:p>
      <w:pPr>
        <w:pStyle w:val="ListParagraph"/>
        <w:numPr>
          <w:ilvl w:val="0"/>
          <w:numId w:val="49"/>
        </w:numPr>
        <w:tabs>
          <w:tab w:pos="674" w:val="left" w:leader="none"/>
          <w:tab w:pos="675" w:val="left" w:leader="none"/>
        </w:tabs>
        <w:spacing w:line="232" w:lineRule="auto" w:before="1" w:after="0"/>
        <w:ind w:left="194" w:right="155" w:firstLine="0"/>
        <w:jc w:val="left"/>
        <w:rPr>
          <w:sz w:val="18"/>
        </w:rPr>
      </w:pPr>
      <w:r>
        <w:rPr>
          <w:sz w:val="18"/>
        </w:rPr>
        <w:t>There was some evidence of a recovery in labour productivity in the most recent data, at least part of which was expected for cyclical reasons. The </w:t>
      </w:r>
      <w:r>
        <w:rPr>
          <w:i/>
          <w:sz w:val="18"/>
        </w:rPr>
        <w:t>Inflation Report </w:t>
      </w:r>
      <w:r>
        <w:rPr>
          <w:sz w:val="18"/>
        </w:rPr>
        <w:t>had built in a recovery in productivity growth, and the increase seen in Q3 provided some support for that assumption. But unless productivity continued to improve, or pressure on margins intensified further, or the exchange rate continued to strengthen, stronger nominal earnings growth would lead to higher inflation in the medium term. Other indicators of wage pressure were more mixed, and as usual for</w:t>
      </w:r>
      <w:r>
        <w:rPr>
          <w:spacing w:val="-5"/>
          <w:sz w:val="18"/>
        </w:rPr>
        <w:t> </w:t>
      </w:r>
      <w:r>
        <w:rPr>
          <w:sz w:val="18"/>
        </w:rPr>
        <w:t>the</w:t>
      </w:r>
      <w:r>
        <w:rPr>
          <w:spacing w:val="-5"/>
          <w:sz w:val="18"/>
        </w:rPr>
        <w:t> </w:t>
      </w:r>
      <w:r>
        <w:rPr>
          <w:sz w:val="18"/>
        </w:rPr>
        <w:t>time</w:t>
      </w:r>
      <w:r>
        <w:rPr>
          <w:spacing w:val="-4"/>
          <w:sz w:val="18"/>
        </w:rPr>
        <w:t> </w:t>
      </w:r>
      <w:r>
        <w:rPr>
          <w:sz w:val="18"/>
        </w:rPr>
        <w:t>of</w:t>
      </w:r>
      <w:r>
        <w:rPr>
          <w:spacing w:val="-5"/>
          <w:sz w:val="18"/>
        </w:rPr>
        <w:t> </w:t>
      </w:r>
      <w:r>
        <w:rPr>
          <w:sz w:val="18"/>
        </w:rPr>
        <w:t>year</w:t>
      </w:r>
      <w:r>
        <w:rPr>
          <w:spacing w:val="-4"/>
          <w:sz w:val="18"/>
        </w:rPr>
        <w:t> </w:t>
      </w:r>
      <w:r>
        <w:rPr>
          <w:sz w:val="18"/>
        </w:rPr>
        <w:t>there</w:t>
      </w:r>
      <w:r>
        <w:rPr>
          <w:spacing w:val="-5"/>
          <w:sz w:val="18"/>
        </w:rPr>
        <w:t> </w:t>
      </w:r>
      <w:r>
        <w:rPr>
          <w:sz w:val="18"/>
        </w:rPr>
        <w:t>was</w:t>
      </w:r>
      <w:r>
        <w:rPr>
          <w:spacing w:val="-4"/>
          <w:sz w:val="18"/>
        </w:rPr>
        <w:t> </w:t>
      </w:r>
      <w:r>
        <w:rPr>
          <w:sz w:val="18"/>
        </w:rPr>
        <w:t>little</w:t>
      </w:r>
      <w:r>
        <w:rPr>
          <w:spacing w:val="-5"/>
          <w:sz w:val="18"/>
        </w:rPr>
        <w:t> </w:t>
      </w:r>
      <w:r>
        <w:rPr>
          <w:sz w:val="18"/>
        </w:rPr>
        <w:t>new</w:t>
      </w:r>
      <w:r>
        <w:rPr>
          <w:spacing w:val="-4"/>
          <w:sz w:val="18"/>
        </w:rPr>
        <w:t> </w:t>
      </w:r>
      <w:r>
        <w:rPr>
          <w:sz w:val="18"/>
        </w:rPr>
        <w:t>information</w:t>
      </w:r>
      <w:r>
        <w:rPr>
          <w:spacing w:val="-5"/>
          <w:sz w:val="18"/>
        </w:rPr>
        <w:t> </w:t>
      </w:r>
      <w:r>
        <w:rPr>
          <w:sz w:val="18"/>
        </w:rPr>
        <w:t>on</w:t>
      </w:r>
      <w:r>
        <w:rPr>
          <w:spacing w:val="-4"/>
          <w:sz w:val="18"/>
        </w:rPr>
        <w:t> </w:t>
      </w:r>
      <w:r>
        <w:rPr>
          <w:sz w:val="18"/>
        </w:rPr>
        <w:t>settlements.</w:t>
      </w:r>
    </w:p>
    <w:p>
      <w:pPr>
        <w:pStyle w:val="BodyText"/>
        <w:spacing w:before="8"/>
        <w:rPr>
          <w:sz w:val="16"/>
        </w:rPr>
      </w:pPr>
    </w:p>
    <w:p>
      <w:pPr>
        <w:pStyle w:val="ListParagraph"/>
        <w:numPr>
          <w:ilvl w:val="0"/>
          <w:numId w:val="49"/>
        </w:numPr>
        <w:tabs>
          <w:tab w:pos="674" w:val="left" w:leader="none"/>
          <w:tab w:pos="675" w:val="left" w:leader="none"/>
        </w:tabs>
        <w:spacing w:line="232" w:lineRule="auto" w:before="0" w:after="0"/>
        <w:ind w:left="194" w:right="156" w:firstLine="0"/>
        <w:jc w:val="left"/>
        <w:rPr>
          <w:sz w:val="18"/>
        </w:rPr>
      </w:pPr>
      <w:r>
        <w:rPr>
          <w:sz w:val="18"/>
        </w:rPr>
        <w:t>Employment</w:t>
      </w:r>
      <w:r>
        <w:rPr>
          <w:spacing w:val="-6"/>
          <w:sz w:val="18"/>
        </w:rPr>
        <w:t> </w:t>
      </w:r>
      <w:r>
        <w:rPr>
          <w:sz w:val="18"/>
        </w:rPr>
        <w:t>had</w:t>
      </w:r>
      <w:r>
        <w:rPr>
          <w:spacing w:val="-5"/>
          <w:sz w:val="18"/>
        </w:rPr>
        <w:t> </w:t>
      </w:r>
      <w:r>
        <w:rPr>
          <w:sz w:val="18"/>
        </w:rPr>
        <w:t>continued</w:t>
      </w:r>
      <w:r>
        <w:rPr>
          <w:spacing w:val="-5"/>
          <w:sz w:val="18"/>
        </w:rPr>
        <w:t> </w:t>
      </w:r>
      <w:r>
        <w:rPr>
          <w:sz w:val="18"/>
        </w:rPr>
        <w:t>to</w:t>
      </w:r>
      <w:r>
        <w:rPr>
          <w:spacing w:val="-5"/>
          <w:sz w:val="18"/>
        </w:rPr>
        <w:t> </w:t>
      </w:r>
      <w:r>
        <w:rPr>
          <w:sz w:val="18"/>
        </w:rPr>
        <w:t>increase,</w:t>
      </w:r>
      <w:r>
        <w:rPr>
          <w:spacing w:val="-5"/>
          <w:sz w:val="18"/>
        </w:rPr>
        <w:t> </w:t>
      </w:r>
      <w:r>
        <w:rPr>
          <w:sz w:val="18"/>
        </w:rPr>
        <w:t>but</w:t>
      </w:r>
      <w:r>
        <w:rPr>
          <w:spacing w:val="-5"/>
          <w:sz w:val="18"/>
        </w:rPr>
        <w:t> </w:t>
      </w:r>
      <w:r>
        <w:rPr>
          <w:sz w:val="18"/>
        </w:rPr>
        <w:t>at</w:t>
      </w:r>
      <w:r>
        <w:rPr>
          <w:spacing w:val="-5"/>
          <w:sz w:val="18"/>
        </w:rPr>
        <w:t> </w:t>
      </w:r>
      <w:r>
        <w:rPr>
          <w:sz w:val="18"/>
        </w:rPr>
        <w:t>a</w:t>
      </w:r>
      <w:r>
        <w:rPr>
          <w:spacing w:val="-5"/>
          <w:sz w:val="18"/>
        </w:rPr>
        <w:t> </w:t>
      </w:r>
      <w:r>
        <w:rPr>
          <w:sz w:val="18"/>
        </w:rPr>
        <w:t>rather</w:t>
      </w:r>
      <w:r>
        <w:rPr>
          <w:spacing w:val="-6"/>
          <w:sz w:val="18"/>
        </w:rPr>
        <w:t> </w:t>
      </w:r>
      <w:r>
        <w:rPr>
          <w:sz w:val="18"/>
        </w:rPr>
        <w:t>slower pace than in the previous two months, with Labour Force Survey (LFS) employment up 0.2% in the three months to October compared with the previous three months, and other survey data also pointing to slower growth. Unemployment had fallen again, but on the LFS measure had remained at 5.9%, with some of the rise in employment reflecting, in an accounting sense, a reduction in the numbers of those previously inactive who wanted a job. The Bank’s regional Agents continued to report that skills shortages had—at least in some areas—increased further but evidence the previous month from both the CBI Industrial Trends survey and the recently introduced CBI/Deloitte Services survey had suggested that skilled labour shortages were still below historical averages. Figures for turnover in the labour market, constructed from P45 job separation data, suggested that job creation might be increasing in gross terms. A weighted index of employment in manufacturing, services and construction based on data from the Chartered Institute of Purchasing and Supply (C</w:t>
      </w:r>
      <w:r>
        <w:rPr>
          <w:sz w:val="14"/>
        </w:rPr>
        <w:t>IPS</w:t>
      </w:r>
      <w:r>
        <w:rPr>
          <w:sz w:val="18"/>
        </w:rPr>
        <w:t>) suggested continuing, but rather modest, growth in employment in December, in line with other surveys, such as that by the Recruitment and Employment Confederation.</w:t>
      </w:r>
    </w:p>
    <w:p>
      <w:pPr>
        <w:pStyle w:val="BodyText"/>
        <w:spacing w:before="11"/>
        <w:rPr>
          <w:sz w:val="15"/>
        </w:rPr>
      </w:pPr>
    </w:p>
    <w:p>
      <w:pPr>
        <w:pStyle w:val="ListParagraph"/>
        <w:numPr>
          <w:ilvl w:val="0"/>
          <w:numId w:val="49"/>
        </w:numPr>
        <w:tabs>
          <w:tab w:pos="674" w:val="left" w:leader="none"/>
          <w:tab w:pos="675" w:val="left" w:leader="none"/>
        </w:tabs>
        <w:spacing w:line="232" w:lineRule="auto" w:before="0" w:after="0"/>
        <w:ind w:left="194" w:right="161" w:firstLine="0"/>
        <w:jc w:val="left"/>
        <w:rPr>
          <w:sz w:val="18"/>
        </w:rPr>
      </w:pPr>
      <w:r>
        <w:rPr>
          <w:sz w:val="18"/>
        </w:rPr>
        <w:t>The</w:t>
      </w:r>
      <w:r>
        <w:rPr>
          <w:spacing w:val="-6"/>
          <w:sz w:val="18"/>
        </w:rPr>
        <w:t> </w:t>
      </w:r>
      <w:r>
        <w:rPr>
          <w:sz w:val="18"/>
        </w:rPr>
        <w:t>Committee</w:t>
      </w:r>
      <w:r>
        <w:rPr>
          <w:spacing w:val="-6"/>
          <w:sz w:val="18"/>
        </w:rPr>
        <w:t> </w:t>
      </w:r>
      <w:r>
        <w:rPr>
          <w:sz w:val="18"/>
        </w:rPr>
        <w:t>agreed</w:t>
      </w:r>
      <w:r>
        <w:rPr>
          <w:spacing w:val="-6"/>
          <w:sz w:val="18"/>
        </w:rPr>
        <w:t> </w:t>
      </w:r>
      <w:r>
        <w:rPr>
          <w:sz w:val="18"/>
        </w:rPr>
        <w:t>that</w:t>
      </w:r>
      <w:r>
        <w:rPr>
          <w:spacing w:val="-5"/>
          <w:sz w:val="18"/>
        </w:rPr>
        <w:t> </w:t>
      </w:r>
      <w:r>
        <w:rPr>
          <w:sz w:val="18"/>
        </w:rPr>
        <w:t>the</w:t>
      </w:r>
      <w:r>
        <w:rPr>
          <w:spacing w:val="-6"/>
          <w:sz w:val="18"/>
        </w:rPr>
        <w:t> </w:t>
      </w:r>
      <w:r>
        <w:rPr>
          <w:sz w:val="18"/>
        </w:rPr>
        <w:t>labour</w:t>
      </w:r>
      <w:r>
        <w:rPr>
          <w:spacing w:val="-6"/>
          <w:sz w:val="18"/>
        </w:rPr>
        <w:t> </w:t>
      </w:r>
      <w:r>
        <w:rPr>
          <w:sz w:val="18"/>
        </w:rPr>
        <w:t>market</w:t>
      </w:r>
      <w:r>
        <w:rPr>
          <w:spacing w:val="-5"/>
          <w:sz w:val="18"/>
        </w:rPr>
        <w:t> </w:t>
      </w:r>
      <w:r>
        <w:rPr>
          <w:sz w:val="18"/>
        </w:rPr>
        <w:t>remained</w:t>
      </w:r>
      <w:r>
        <w:rPr>
          <w:spacing w:val="-6"/>
          <w:sz w:val="18"/>
        </w:rPr>
        <w:t> </w:t>
      </w:r>
      <w:r>
        <w:rPr>
          <w:sz w:val="18"/>
        </w:rPr>
        <w:t>tight, and that in underlying terms earnings growth was becoming uncomfortably high, particularly if productivity growth did not pick up further. This strength might be exaggerated by erratic factors (such as unusually large one-off bonuses) in the coming months, part of which might be</w:t>
      </w:r>
      <w:r>
        <w:rPr>
          <w:spacing w:val="-9"/>
          <w:sz w:val="18"/>
        </w:rPr>
        <w:t> </w:t>
      </w:r>
      <w:r>
        <w:rPr>
          <w:sz w:val="18"/>
        </w:rPr>
        <w:t>millennium-related.</w:t>
      </w:r>
    </w:p>
    <w:p>
      <w:pPr>
        <w:pStyle w:val="BodyText"/>
        <w:spacing w:before="6"/>
        <w:rPr>
          <w:sz w:val="25"/>
        </w:rPr>
      </w:pPr>
    </w:p>
    <w:p>
      <w:pPr>
        <w:pStyle w:val="Heading7"/>
      </w:pPr>
      <w:r>
        <w:rPr>
          <w:color w:val="009391"/>
        </w:rPr>
        <w:t>Prices and costs</w:t>
      </w:r>
    </w:p>
    <w:p>
      <w:pPr>
        <w:pStyle w:val="ListParagraph"/>
        <w:numPr>
          <w:ilvl w:val="0"/>
          <w:numId w:val="49"/>
        </w:numPr>
        <w:tabs>
          <w:tab w:pos="674" w:val="left" w:leader="none"/>
          <w:tab w:pos="675" w:val="left" w:leader="none"/>
        </w:tabs>
        <w:spacing w:line="232" w:lineRule="auto" w:before="109" w:after="0"/>
        <w:ind w:left="194" w:right="175" w:firstLine="0"/>
        <w:jc w:val="left"/>
        <w:rPr>
          <w:sz w:val="18"/>
        </w:rPr>
      </w:pPr>
      <w:r>
        <w:rPr>
          <w:sz w:val="18"/>
        </w:rPr>
        <w:t>Despite</w:t>
      </w:r>
      <w:r>
        <w:rPr>
          <w:spacing w:val="-5"/>
          <w:sz w:val="18"/>
        </w:rPr>
        <w:t> </w:t>
      </w:r>
      <w:r>
        <w:rPr>
          <w:sz w:val="18"/>
        </w:rPr>
        <w:t>the</w:t>
      </w:r>
      <w:r>
        <w:rPr>
          <w:spacing w:val="-5"/>
          <w:sz w:val="18"/>
        </w:rPr>
        <w:t> </w:t>
      </w:r>
      <w:r>
        <w:rPr>
          <w:sz w:val="18"/>
        </w:rPr>
        <w:t>path</w:t>
      </w:r>
      <w:r>
        <w:rPr>
          <w:spacing w:val="-4"/>
          <w:sz w:val="18"/>
        </w:rPr>
        <w:t> </w:t>
      </w:r>
      <w:r>
        <w:rPr>
          <w:sz w:val="18"/>
        </w:rPr>
        <w:t>of</w:t>
      </w:r>
      <w:r>
        <w:rPr>
          <w:spacing w:val="-5"/>
          <w:sz w:val="18"/>
        </w:rPr>
        <w:t> </w:t>
      </w:r>
      <w:r>
        <w:rPr>
          <w:sz w:val="18"/>
        </w:rPr>
        <w:t>labour</w:t>
      </w:r>
      <w:r>
        <w:rPr>
          <w:spacing w:val="-4"/>
          <w:sz w:val="18"/>
        </w:rPr>
        <w:t> </w:t>
      </w:r>
      <w:r>
        <w:rPr>
          <w:sz w:val="18"/>
        </w:rPr>
        <w:t>costs</w:t>
      </w:r>
      <w:r>
        <w:rPr>
          <w:spacing w:val="-5"/>
          <w:sz w:val="18"/>
        </w:rPr>
        <w:t> </w:t>
      </w:r>
      <w:r>
        <w:rPr>
          <w:sz w:val="18"/>
        </w:rPr>
        <w:t>and</w:t>
      </w:r>
      <w:r>
        <w:rPr>
          <w:spacing w:val="-5"/>
          <w:sz w:val="18"/>
        </w:rPr>
        <w:t> </w:t>
      </w:r>
      <w:r>
        <w:rPr>
          <w:sz w:val="18"/>
        </w:rPr>
        <w:t>oil</w:t>
      </w:r>
      <w:r>
        <w:rPr>
          <w:spacing w:val="-4"/>
          <w:sz w:val="18"/>
        </w:rPr>
        <w:t> </w:t>
      </w:r>
      <w:r>
        <w:rPr>
          <w:sz w:val="18"/>
        </w:rPr>
        <w:t>and</w:t>
      </w:r>
      <w:r>
        <w:rPr>
          <w:spacing w:val="-5"/>
          <w:sz w:val="18"/>
        </w:rPr>
        <w:t> </w:t>
      </w:r>
      <w:r>
        <w:rPr>
          <w:sz w:val="18"/>
        </w:rPr>
        <w:t>other</w:t>
      </w:r>
      <w:r>
        <w:rPr>
          <w:spacing w:val="-4"/>
          <w:sz w:val="18"/>
        </w:rPr>
        <w:t> </w:t>
      </w:r>
      <w:r>
        <w:rPr>
          <w:sz w:val="18"/>
        </w:rPr>
        <w:t>commodity prices, retail price inflation remained subdued, with RPIX growing at 2.2% in November, below the 2</w:t>
      </w:r>
      <w:r>
        <w:rPr>
          <w:position w:val="6"/>
          <w:sz w:val="9"/>
        </w:rPr>
        <w:t>1</w:t>
      </w:r>
      <w:r>
        <w:rPr>
          <w:sz w:val="18"/>
        </w:rPr>
        <w:t>/</w:t>
      </w:r>
      <w:r>
        <w:rPr>
          <w:sz w:val="9"/>
        </w:rPr>
        <w:t>2</w:t>
      </w:r>
      <w:r>
        <w:rPr>
          <w:sz w:val="18"/>
        </w:rPr>
        <w:t>% target for the eighth month in succession. The strength of the exchange rate was one possible cause; another was the impact of competition (including via the Internet) which might act to restrain prices. Such ‘e-tailing’ was now being talked about as increasingly important not just for goods such as books and CDs, but was also seen as likely to become more important for other sectors such as electrical equipment and cars. By shortening the supply chain e-tailing might drive down costs for consumers who bypassed the distributors, and depress margins for the more traditional retailers and other intermediaries. An overall reduction in distribution costs through greater business-to-business e-commerce might show up as higher productivity in coming years. Alternatively, the effects of such competition might prove either to be transitory or merely to redistribute profits between retailers;</w:t>
      </w:r>
      <w:r>
        <w:rPr>
          <w:spacing w:val="-10"/>
          <w:sz w:val="18"/>
        </w:rPr>
        <w:t> </w:t>
      </w:r>
      <w:r>
        <w:rPr>
          <w:sz w:val="18"/>
        </w:rPr>
        <w:t>and</w:t>
      </w:r>
    </w:p>
    <w:p>
      <w:pPr>
        <w:spacing w:after="0" w:line="232" w:lineRule="auto"/>
        <w:jc w:val="left"/>
        <w:rPr>
          <w:sz w:val="18"/>
        </w:rPr>
        <w:sectPr>
          <w:type w:val="continuous"/>
          <w:pgSz w:w="11900" w:h="16840"/>
          <w:pgMar w:top="1220" w:bottom="280" w:left="620" w:right="640"/>
          <w:cols w:num="2" w:equalWidth="0">
            <w:col w:w="5143" w:space="247"/>
            <w:col w:w="525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7"/>
        <w:rPr>
          <w:sz w:val="19"/>
        </w:rPr>
      </w:pPr>
    </w:p>
    <w:p>
      <w:pPr>
        <w:pStyle w:val="BodyText"/>
        <w:spacing w:line="232" w:lineRule="auto" w:before="1"/>
        <w:ind w:left="185" w:right="55"/>
      </w:pPr>
      <w:r>
        <w:rPr/>
        <w:t>reports of squeezes on margins at retailers might suggest that some of these adjustments had already occurred.</w:t>
      </w:r>
    </w:p>
    <w:p>
      <w:pPr>
        <w:pStyle w:val="BodyText"/>
        <w:spacing w:before="2"/>
        <w:rPr>
          <w:sz w:val="17"/>
        </w:rPr>
      </w:pPr>
    </w:p>
    <w:p>
      <w:pPr>
        <w:pStyle w:val="ListParagraph"/>
        <w:numPr>
          <w:ilvl w:val="0"/>
          <w:numId w:val="49"/>
        </w:numPr>
        <w:tabs>
          <w:tab w:pos="665" w:val="left" w:leader="none"/>
          <w:tab w:pos="666" w:val="left" w:leader="none"/>
        </w:tabs>
        <w:spacing w:line="232" w:lineRule="auto" w:before="1" w:after="0"/>
        <w:ind w:left="185" w:right="168" w:firstLine="0"/>
        <w:jc w:val="left"/>
        <w:rPr>
          <w:sz w:val="18"/>
        </w:rPr>
      </w:pPr>
      <w:r>
        <w:rPr>
          <w:sz w:val="18"/>
        </w:rPr>
        <w:t>The Committee noted that the inflation expectations of the general public, as measured in the latest Barclays B</w:t>
      </w:r>
      <w:r>
        <w:rPr>
          <w:sz w:val="14"/>
        </w:rPr>
        <w:t>ASIX </w:t>
      </w:r>
      <w:r>
        <w:rPr>
          <w:sz w:val="18"/>
        </w:rPr>
        <w:t>survey, had increased in Q4, the first increase since 1998 Q3. However, since the inflation measure was not specified, this might be no more than a reflection of the widely-expected rise in the RPI measure</w:t>
      </w:r>
      <w:r>
        <w:rPr>
          <w:spacing w:val="-7"/>
          <w:sz w:val="18"/>
        </w:rPr>
        <w:t> </w:t>
      </w:r>
      <w:r>
        <w:rPr>
          <w:sz w:val="18"/>
        </w:rPr>
        <w:t>of</w:t>
      </w:r>
      <w:r>
        <w:rPr>
          <w:spacing w:val="-7"/>
          <w:sz w:val="18"/>
        </w:rPr>
        <w:t> </w:t>
      </w:r>
      <w:r>
        <w:rPr>
          <w:sz w:val="18"/>
        </w:rPr>
        <w:t>inflation,</w:t>
      </w:r>
      <w:r>
        <w:rPr>
          <w:spacing w:val="-7"/>
          <w:sz w:val="18"/>
        </w:rPr>
        <w:t> </w:t>
      </w:r>
      <w:r>
        <w:rPr>
          <w:sz w:val="18"/>
        </w:rPr>
        <w:t>which</w:t>
      </w:r>
      <w:r>
        <w:rPr>
          <w:spacing w:val="-7"/>
          <w:sz w:val="18"/>
        </w:rPr>
        <w:t> </w:t>
      </w:r>
      <w:r>
        <w:rPr>
          <w:sz w:val="18"/>
        </w:rPr>
        <w:t>included</w:t>
      </w:r>
      <w:r>
        <w:rPr>
          <w:spacing w:val="-7"/>
          <w:sz w:val="18"/>
        </w:rPr>
        <w:t> </w:t>
      </w:r>
      <w:r>
        <w:rPr>
          <w:sz w:val="18"/>
        </w:rPr>
        <w:t>mortgage</w:t>
      </w:r>
      <w:r>
        <w:rPr>
          <w:spacing w:val="-7"/>
          <w:sz w:val="18"/>
        </w:rPr>
        <w:t> </w:t>
      </w:r>
      <w:r>
        <w:rPr>
          <w:sz w:val="18"/>
        </w:rPr>
        <w:t>interest</w:t>
      </w:r>
      <w:r>
        <w:rPr>
          <w:spacing w:val="-7"/>
          <w:sz w:val="18"/>
        </w:rPr>
        <w:t> </w:t>
      </w:r>
      <w:r>
        <w:rPr>
          <w:sz w:val="18"/>
        </w:rPr>
        <w:t>payments.</w:t>
      </w:r>
    </w:p>
    <w:p>
      <w:pPr>
        <w:pStyle w:val="BodyText"/>
        <w:spacing w:before="2"/>
        <w:rPr>
          <w:sz w:val="20"/>
        </w:rPr>
      </w:pPr>
    </w:p>
    <w:p>
      <w:pPr>
        <w:pStyle w:val="Heading7"/>
        <w:spacing w:before="1"/>
        <w:ind w:left="185"/>
      </w:pPr>
      <w:r>
        <w:rPr>
          <w:color w:val="009391"/>
        </w:rPr>
        <w:t>Other considerations</w:t>
      </w:r>
    </w:p>
    <w:p>
      <w:pPr>
        <w:pStyle w:val="ListParagraph"/>
        <w:numPr>
          <w:ilvl w:val="0"/>
          <w:numId w:val="49"/>
        </w:numPr>
        <w:tabs>
          <w:tab w:pos="665" w:val="left" w:leader="none"/>
          <w:tab w:pos="666" w:val="left" w:leader="none"/>
        </w:tabs>
        <w:spacing w:line="232" w:lineRule="auto" w:before="109" w:after="0"/>
        <w:ind w:left="185" w:right="38" w:firstLine="0"/>
        <w:jc w:val="left"/>
        <w:rPr>
          <w:sz w:val="18"/>
        </w:rPr>
      </w:pPr>
      <w:r>
        <w:rPr>
          <w:sz w:val="18"/>
        </w:rPr>
        <w:t>The Committee discussed whether the change of millennium had given rise to problems of data interpretation, over and above the normal difficulties in identifying underlying developments over the Christmas and New Year</w:t>
      </w:r>
      <w:r>
        <w:rPr>
          <w:spacing w:val="-8"/>
          <w:sz w:val="18"/>
        </w:rPr>
        <w:t> </w:t>
      </w:r>
      <w:r>
        <w:rPr>
          <w:sz w:val="18"/>
        </w:rPr>
        <w:t>period.</w:t>
      </w:r>
    </w:p>
    <w:p>
      <w:pPr>
        <w:pStyle w:val="BodyText"/>
        <w:spacing w:before="1"/>
        <w:rPr>
          <w:sz w:val="17"/>
        </w:rPr>
      </w:pPr>
    </w:p>
    <w:p>
      <w:pPr>
        <w:pStyle w:val="ListParagraph"/>
        <w:numPr>
          <w:ilvl w:val="0"/>
          <w:numId w:val="49"/>
        </w:numPr>
        <w:tabs>
          <w:tab w:pos="665" w:val="left" w:leader="none"/>
          <w:tab w:pos="666" w:val="left" w:leader="none"/>
        </w:tabs>
        <w:spacing w:line="232" w:lineRule="auto" w:before="0" w:after="0"/>
        <w:ind w:left="185" w:right="63" w:firstLine="0"/>
        <w:jc w:val="left"/>
        <w:rPr>
          <w:sz w:val="18"/>
        </w:rPr>
      </w:pPr>
      <w:r>
        <w:rPr>
          <w:sz w:val="18"/>
        </w:rPr>
        <w:t>At its previous meeting, the Committee had reaffirmed that there was no reason for the Y2K period to constrain monetary policy setting in the UK, and had also noted that it was unclear whether any ‘fog’ around the year-end would be much thicker than usual. So far any Y2K uncertainties had indeed appeared to be rather limited. While some figures had clearly been affected, such as the narrow money data, adjustments could be made to take account of the distortions. The pattern of retail sales was not yet clear, but this was typical at this time of year. The prospect of the new millennium might have had some impact on investment, for instance in IT, though this remained unclear. That said, many of the backward-looking data were still for periods before the turn of the year, so further distortions in the data might perhaps be expected.</w:t>
      </w:r>
    </w:p>
    <w:p>
      <w:pPr>
        <w:pStyle w:val="BodyText"/>
        <w:spacing w:before="5"/>
        <w:rPr>
          <w:sz w:val="16"/>
        </w:rPr>
      </w:pPr>
    </w:p>
    <w:p>
      <w:pPr>
        <w:pStyle w:val="ListParagraph"/>
        <w:numPr>
          <w:ilvl w:val="0"/>
          <w:numId w:val="49"/>
        </w:numPr>
        <w:tabs>
          <w:tab w:pos="665" w:val="left" w:leader="none"/>
          <w:tab w:pos="666" w:val="left" w:leader="none"/>
        </w:tabs>
        <w:spacing w:line="232" w:lineRule="auto" w:before="1" w:after="0"/>
        <w:ind w:left="185" w:right="38" w:firstLine="0"/>
        <w:jc w:val="left"/>
        <w:rPr>
          <w:sz w:val="18"/>
        </w:rPr>
      </w:pPr>
      <w:r>
        <w:rPr>
          <w:sz w:val="18"/>
        </w:rPr>
        <w:t>The Committee also noted that during the next month it would carry out a new quarterly forecast for the February </w:t>
      </w:r>
      <w:r>
        <w:rPr>
          <w:i/>
          <w:sz w:val="18"/>
        </w:rPr>
        <w:t>Inflation </w:t>
      </w:r>
      <w:r>
        <w:rPr>
          <w:i/>
          <w:sz w:val="18"/>
        </w:rPr>
        <w:t>Report</w:t>
      </w:r>
      <w:r>
        <w:rPr>
          <w:sz w:val="18"/>
        </w:rPr>
        <w:t>. This would allow it to analyse some of the puzzles in the data in more detail, such as the continuing coexistence of relatively subdued retail price inflation, above-trend growth in demand, and a pick-up in earnings growth and commodity prices. To the extent that uncertainties surrounding some of these issues might soon diminish in a way which informed the policy decision, there was a case for waiting until this had been done. But to the extent that the news since the previous meeting warranted an increase in rates, there was no reason for a delay, and some members of the Committee had felt that a rise in rates had been needed already in December.</w:t>
      </w:r>
    </w:p>
    <w:p>
      <w:pPr>
        <w:pStyle w:val="BodyText"/>
        <w:spacing w:before="9"/>
        <w:rPr>
          <w:sz w:val="19"/>
        </w:rPr>
      </w:pPr>
    </w:p>
    <w:p>
      <w:pPr>
        <w:pStyle w:val="Heading7"/>
        <w:ind w:left="185"/>
      </w:pPr>
      <w:r>
        <w:rPr>
          <w:color w:val="009391"/>
        </w:rPr>
        <w:t>The immediate policy decision</w:t>
      </w:r>
    </w:p>
    <w:p>
      <w:pPr>
        <w:pStyle w:val="ListParagraph"/>
        <w:numPr>
          <w:ilvl w:val="0"/>
          <w:numId w:val="49"/>
        </w:numPr>
        <w:tabs>
          <w:tab w:pos="665" w:val="left" w:leader="none"/>
          <w:tab w:pos="666" w:val="left" w:leader="none"/>
        </w:tabs>
        <w:spacing w:line="232" w:lineRule="auto" w:before="109" w:after="0"/>
        <w:ind w:left="185" w:right="93" w:firstLine="0"/>
        <w:jc w:val="left"/>
        <w:rPr>
          <w:sz w:val="18"/>
        </w:rPr>
      </w:pPr>
      <w:r>
        <w:rPr>
          <w:sz w:val="18"/>
        </w:rPr>
        <w:t>The external environment for the UK had strengthened over the past month, as had most of the determinants of domestic demand, including wealth, labour income and household borrowing. At the same time, final domestic demand in Q3 had slowed, and inflation remained below the 2</w:t>
      </w:r>
      <w:r>
        <w:rPr>
          <w:position w:val="6"/>
          <w:sz w:val="9"/>
        </w:rPr>
        <w:t>1</w:t>
      </w:r>
      <w:r>
        <w:rPr>
          <w:sz w:val="18"/>
        </w:rPr>
        <w:t>/</w:t>
      </w:r>
      <w:r>
        <w:rPr>
          <w:sz w:val="9"/>
        </w:rPr>
        <w:t>2</w:t>
      </w:r>
      <w:r>
        <w:rPr>
          <w:sz w:val="18"/>
        </w:rPr>
        <w:t>% target. The Committee discussed the implications of these</w:t>
      </w:r>
      <w:r>
        <w:rPr>
          <w:spacing w:val="-25"/>
          <w:sz w:val="18"/>
        </w:rPr>
        <w:t> </w:t>
      </w:r>
      <w:r>
        <w:rPr>
          <w:sz w:val="18"/>
        </w:rPr>
        <w:t>developments.</w:t>
      </w:r>
    </w:p>
    <w:p>
      <w:pPr>
        <w:pStyle w:val="BodyText"/>
        <w:rPr>
          <w:sz w:val="17"/>
        </w:rPr>
      </w:pPr>
    </w:p>
    <w:p>
      <w:pPr>
        <w:pStyle w:val="ListParagraph"/>
        <w:numPr>
          <w:ilvl w:val="0"/>
          <w:numId w:val="49"/>
        </w:numPr>
        <w:tabs>
          <w:tab w:pos="665" w:val="left" w:leader="none"/>
          <w:tab w:pos="666" w:val="left" w:leader="none"/>
        </w:tabs>
        <w:spacing w:line="232" w:lineRule="auto" w:before="0" w:after="0"/>
        <w:ind w:left="185" w:right="183" w:firstLine="0"/>
        <w:jc w:val="left"/>
        <w:rPr>
          <w:sz w:val="18"/>
        </w:rPr>
      </w:pPr>
      <w:r>
        <w:rPr>
          <w:sz w:val="18"/>
        </w:rPr>
        <w:t>On one view, the repo rate should be increased by 25 basis points this month. Various considerations were advanced to support this view, with different members of the Committee placing differing weights on the factors</w:t>
      </w:r>
      <w:r>
        <w:rPr>
          <w:spacing w:val="-14"/>
          <w:sz w:val="18"/>
        </w:rPr>
        <w:t> </w:t>
      </w:r>
      <w:r>
        <w:rPr>
          <w:sz w:val="18"/>
        </w:rPr>
        <w:t>identified.</w:t>
      </w:r>
    </w:p>
    <w:p>
      <w:pPr>
        <w:pStyle w:val="BodyText"/>
        <w:spacing w:before="1"/>
        <w:rPr>
          <w:sz w:val="17"/>
        </w:rPr>
      </w:pPr>
    </w:p>
    <w:p>
      <w:pPr>
        <w:pStyle w:val="ListParagraph"/>
        <w:numPr>
          <w:ilvl w:val="0"/>
          <w:numId w:val="49"/>
        </w:numPr>
        <w:tabs>
          <w:tab w:pos="665" w:val="left" w:leader="none"/>
          <w:tab w:pos="666" w:val="left" w:leader="none"/>
        </w:tabs>
        <w:spacing w:line="232" w:lineRule="auto" w:before="0" w:after="0"/>
        <w:ind w:left="185" w:right="68" w:firstLine="0"/>
        <w:jc w:val="left"/>
        <w:rPr>
          <w:sz w:val="18"/>
        </w:rPr>
      </w:pPr>
      <w:r>
        <w:rPr>
          <w:sz w:val="18"/>
        </w:rPr>
        <w:t>For some, the choice this month was between raising rates by 25 or 50 basis points, but on balance there was no need to move by more than 25 basis points now. Since the previous meeting, the change in the economy had not been dramatic. The strengthening in the outlook for the world economy, especially in the euro area, had produced better balanced growth in the UK, but meant that domestic demand growth would need to slow further from its present 3%–3</w:t>
      </w:r>
      <w:r>
        <w:rPr>
          <w:position w:val="6"/>
          <w:sz w:val="9"/>
        </w:rPr>
        <w:t>1</w:t>
      </w:r>
      <w:r>
        <w:rPr>
          <w:sz w:val="18"/>
        </w:rPr>
        <w:t>/</w:t>
      </w:r>
      <w:r>
        <w:rPr>
          <w:sz w:val="9"/>
        </w:rPr>
        <w:t>2</w:t>
      </w:r>
      <w:r>
        <w:rPr>
          <w:sz w:val="18"/>
        </w:rPr>
        <w:t>% annual rate if it were to be sustainable. In addition, a more generalised pick-up in world activity might place further upward pressure on commodity prices. While the very fast growth in narrow money in December seemed largely to reflect transitory factors, the credit figures were more of a concern.</w:t>
      </w:r>
      <w:r>
        <w:rPr>
          <w:spacing w:val="1"/>
          <w:sz w:val="18"/>
        </w:rPr>
        <w:t> </w:t>
      </w:r>
      <w:r>
        <w:rPr>
          <w:sz w:val="18"/>
        </w:rPr>
        <w:t>The</w:t>
      </w:r>
    </w:p>
    <w:p>
      <w:pPr>
        <w:pStyle w:val="BodyText"/>
        <w:spacing w:before="7"/>
        <w:rPr>
          <w:sz w:val="19"/>
        </w:rPr>
      </w:pPr>
      <w:r>
        <w:rPr/>
        <w:br w:type="column"/>
      </w:r>
      <w:r>
        <w:rPr>
          <w:sz w:val="19"/>
        </w:rPr>
      </w:r>
    </w:p>
    <w:p>
      <w:pPr>
        <w:pStyle w:val="BodyText"/>
        <w:spacing w:line="232" w:lineRule="auto" w:before="1"/>
        <w:ind w:left="185" w:right="208"/>
      </w:pPr>
      <w:r>
        <w:rPr/>
        <w:t>sharp pickup in borrowing for consumption, from 2% of personal disposable income at the start of 1999 to almost 5% in Q3, coupled with house prices and equity prices well above the central projection in the November </w:t>
      </w:r>
      <w:r>
        <w:rPr>
          <w:i/>
        </w:rPr>
        <w:t>Inflation Report</w:t>
      </w:r>
      <w:r>
        <w:rPr/>
        <w:t>, would tend to support robust consumption growth. This would put upward pressure on inflation in the future, despite a further rise in sterling and a welcome recovery in estimates of productivity growth to rather closer to the long-run trend. With annual retail sales growth remaining around 4%, further pressure would be placed on resources in the short term if investment recovered following the millennium change. In addition there was now some evidence that the tightening in the labour market was beginning to feed through into earnings. Average earnings in the private sector were growing at more than 5% on a year earlier, implying earnings growth well above the central projection in the November </w:t>
      </w:r>
      <w:r>
        <w:rPr>
          <w:i/>
        </w:rPr>
        <w:t>Inflation Report</w:t>
      </w:r>
      <w:r>
        <w:rPr/>
        <w:t>.</w:t>
      </w:r>
    </w:p>
    <w:p>
      <w:pPr>
        <w:pStyle w:val="BodyText"/>
        <w:spacing w:line="187" w:lineRule="exact"/>
        <w:ind w:left="185"/>
      </w:pPr>
      <w:r>
        <w:rPr/>
        <w:t>Nevertheless, with inflation at present subdued, the costs of waiting</w:t>
      </w:r>
    </w:p>
    <w:p>
      <w:pPr>
        <w:pStyle w:val="BodyText"/>
        <w:spacing w:line="232" w:lineRule="auto" w:before="1"/>
        <w:ind w:left="185" w:right="208"/>
      </w:pPr>
      <w:r>
        <w:rPr/>
        <w:t>a further month before deciding whether a further change in rates was going to be needed were small; the February </w:t>
      </w:r>
      <w:r>
        <w:rPr>
          <w:i/>
        </w:rPr>
        <w:t>Inflation Report </w:t>
      </w:r>
      <w:r>
        <w:rPr/>
        <w:t>provided an opportunity to carry out more analysis. Given the uncertainties, a tightening of policy this month by 25 basis points was the appropriate response.</w:t>
      </w:r>
    </w:p>
    <w:p>
      <w:pPr>
        <w:pStyle w:val="BodyText"/>
        <w:spacing w:before="1"/>
        <w:rPr>
          <w:sz w:val="17"/>
        </w:rPr>
      </w:pPr>
    </w:p>
    <w:p>
      <w:pPr>
        <w:pStyle w:val="ListParagraph"/>
        <w:numPr>
          <w:ilvl w:val="0"/>
          <w:numId w:val="49"/>
        </w:numPr>
        <w:tabs>
          <w:tab w:pos="665" w:val="left" w:leader="none"/>
          <w:tab w:pos="666" w:val="left" w:leader="none"/>
        </w:tabs>
        <w:spacing w:line="232" w:lineRule="auto" w:before="0" w:after="0"/>
        <w:ind w:left="185" w:right="188" w:firstLine="0"/>
        <w:jc w:val="left"/>
        <w:rPr>
          <w:sz w:val="18"/>
        </w:rPr>
      </w:pPr>
      <w:r>
        <w:rPr>
          <w:sz w:val="18"/>
        </w:rPr>
        <w:t>Other members of the Committee agreed that an increase of 25 basis points was needed this month, but felt the outlook, particularly for inflation, was rather more benign. The pace of domestic demand appeared to be slowing and the recent news on GDP growth was in the surprisingly strong export figures, where the economy still had considerable room for growth. Inflation was still expected to remain below the 2</w:t>
      </w:r>
      <w:r>
        <w:rPr>
          <w:position w:val="6"/>
          <w:sz w:val="9"/>
        </w:rPr>
        <w:t>1</w:t>
      </w:r>
      <w:r>
        <w:rPr>
          <w:sz w:val="18"/>
        </w:rPr>
        <w:t>/</w:t>
      </w:r>
      <w:r>
        <w:rPr>
          <w:sz w:val="9"/>
        </w:rPr>
        <w:t>2</w:t>
      </w:r>
      <w:r>
        <w:rPr>
          <w:sz w:val="18"/>
        </w:rPr>
        <w:t>% target for some time. Sterling had strengthened further, and some thought that it might rise even more, which would help to restrain prices. So too might structural changes in the economy over a number of years, perhaps reflecting stronger global competition and greater price sensitivity of</w:t>
      </w:r>
      <w:r>
        <w:rPr>
          <w:spacing w:val="-6"/>
          <w:sz w:val="18"/>
        </w:rPr>
        <w:t> </w:t>
      </w:r>
      <w:r>
        <w:rPr>
          <w:sz w:val="18"/>
        </w:rPr>
        <w:t>consumers</w:t>
      </w:r>
      <w:r>
        <w:rPr>
          <w:spacing w:val="-5"/>
          <w:sz w:val="18"/>
        </w:rPr>
        <w:t> </w:t>
      </w:r>
      <w:r>
        <w:rPr>
          <w:sz w:val="18"/>
        </w:rPr>
        <w:t>as</w:t>
      </w:r>
      <w:r>
        <w:rPr>
          <w:spacing w:val="-5"/>
          <w:sz w:val="18"/>
        </w:rPr>
        <w:t> </w:t>
      </w:r>
      <w:r>
        <w:rPr>
          <w:sz w:val="18"/>
        </w:rPr>
        <w:t>a</w:t>
      </w:r>
      <w:r>
        <w:rPr>
          <w:spacing w:val="-5"/>
          <w:sz w:val="18"/>
        </w:rPr>
        <w:t> </w:t>
      </w:r>
      <w:r>
        <w:rPr>
          <w:sz w:val="18"/>
        </w:rPr>
        <w:t>result</w:t>
      </w:r>
      <w:r>
        <w:rPr>
          <w:spacing w:val="-5"/>
          <w:sz w:val="18"/>
        </w:rPr>
        <w:t> </w:t>
      </w:r>
      <w:r>
        <w:rPr>
          <w:sz w:val="18"/>
        </w:rPr>
        <w:t>of</w:t>
      </w:r>
      <w:r>
        <w:rPr>
          <w:spacing w:val="-5"/>
          <w:sz w:val="18"/>
        </w:rPr>
        <w:t> </w:t>
      </w:r>
      <w:r>
        <w:rPr>
          <w:sz w:val="18"/>
        </w:rPr>
        <w:t>the</w:t>
      </w:r>
      <w:r>
        <w:rPr>
          <w:spacing w:val="-6"/>
          <w:sz w:val="18"/>
        </w:rPr>
        <w:t> </w:t>
      </w:r>
      <w:r>
        <w:rPr>
          <w:sz w:val="18"/>
        </w:rPr>
        <w:t>enhanced</w:t>
      </w:r>
      <w:r>
        <w:rPr>
          <w:spacing w:val="-5"/>
          <w:sz w:val="18"/>
        </w:rPr>
        <w:t> </w:t>
      </w:r>
      <w:r>
        <w:rPr>
          <w:sz w:val="18"/>
        </w:rPr>
        <w:t>price</w:t>
      </w:r>
      <w:r>
        <w:rPr>
          <w:spacing w:val="-5"/>
          <w:sz w:val="18"/>
        </w:rPr>
        <w:t> </w:t>
      </w:r>
      <w:r>
        <w:rPr>
          <w:sz w:val="18"/>
        </w:rPr>
        <w:t>transparency</w:t>
      </w:r>
      <w:r>
        <w:rPr>
          <w:spacing w:val="-5"/>
          <w:sz w:val="18"/>
        </w:rPr>
        <w:t> </w:t>
      </w:r>
      <w:r>
        <w:rPr>
          <w:sz w:val="18"/>
        </w:rPr>
        <w:t>brought about by Internet use. It was plausible that the growth</w:t>
      </w:r>
      <w:r>
        <w:rPr>
          <w:spacing w:val="-25"/>
          <w:sz w:val="18"/>
        </w:rPr>
        <w:t> </w:t>
      </w:r>
      <w:r>
        <w:rPr>
          <w:sz w:val="18"/>
        </w:rPr>
        <w:t>of</w:t>
      </w:r>
    </w:p>
    <w:p>
      <w:pPr>
        <w:pStyle w:val="BodyText"/>
        <w:spacing w:line="232" w:lineRule="auto"/>
        <w:ind w:left="185" w:right="259"/>
      </w:pPr>
      <w:r>
        <w:rPr/>
        <w:t>business-to-business e-commerce would lead to a significant reduction in costs. Average earnings might rise further in coming months, but this would partly reflect one-off factors such as bonuses; it would be important also to look at settlements data, as well as further microeconomic evidence on margins and productivity. It was also suggested that if the neutral level of real interest rates were around 3%, as some historical work suggested, and inflation expectations were firmly anchored at 2</w:t>
      </w:r>
      <w:r>
        <w:rPr>
          <w:position w:val="6"/>
          <w:sz w:val="9"/>
        </w:rPr>
        <w:t>1</w:t>
      </w:r>
      <w:r>
        <w:rPr/>
        <w:t>/</w:t>
      </w:r>
      <w:r>
        <w:rPr>
          <w:sz w:val="9"/>
        </w:rPr>
        <w:t>2</w:t>
      </w:r>
      <w:r>
        <w:rPr/>
        <w:t>%, a neutral nominal rate would be around 5</w:t>
      </w:r>
      <w:r>
        <w:rPr>
          <w:position w:val="6"/>
          <w:sz w:val="9"/>
        </w:rPr>
        <w:t>1</w:t>
      </w:r>
      <w:r>
        <w:rPr/>
        <w:t>/</w:t>
      </w:r>
      <w:r>
        <w:rPr>
          <w:sz w:val="9"/>
        </w:rPr>
        <w:t>2</w:t>
      </w:r>
      <w:r>
        <w:rPr/>
        <w:t>%. Given the strengthening of the world economy and many of the determinants of UK consumption it was appropriate for monetary policy to be tighter than neutral at present, but not by a great deal, especially given the strength of sterling, and this justified a 25 basis point increase in the repo rate.</w:t>
      </w:r>
    </w:p>
    <w:p>
      <w:pPr>
        <w:pStyle w:val="ListParagraph"/>
        <w:numPr>
          <w:ilvl w:val="0"/>
          <w:numId w:val="49"/>
        </w:numPr>
        <w:tabs>
          <w:tab w:pos="665" w:val="left" w:leader="none"/>
          <w:tab w:pos="666" w:val="left" w:leader="none"/>
        </w:tabs>
        <w:spacing w:line="232" w:lineRule="auto" w:before="179" w:after="0"/>
        <w:ind w:left="185" w:right="232" w:firstLine="0"/>
        <w:jc w:val="left"/>
        <w:rPr>
          <w:sz w:val="18"/>
        </w:rPr>
      </w:pPr>
      <w:r>
        <w:rPr>
          <w:sz w:val="18"/>
        </w:rPr>
        <w:t>On another view, an increase of 50 basis points was needed now. The recovery in the world economy and the remarkable strength in the principal determinants and indicators of consumption—such as real wages, secured and unsecured credit to households, wealth, and consumer confidence—suggested that in the absence of a tightening in monetary policy GDP would continue to grow above trend. Against this background the slowdown in final domestic demand in Q3 might well prove to be erratic. Given the strength of nominal earnings growth, it seemed likely that, in the absence of a stronger exchange rate, significant further improvements in productivity growth, or an intensification of the squeeze on margins, greater upward pressure would be placed on inflation in the medium term, even though at present RPIX was rising at less than 2</w:t>
      </w:r>
      <w:r>
        <w:rPr>
          <w:position w:val="6"/>
          <w:sz w:val="9"/>
        </w:rPr>
        <w:t>1</w:t>
      </w:r>
      <w:r>
        <w:rPr>
          <w:sz w:val="18"/>
        </w:rPr>
        <w:t>/</w:t>
      </w:r>
      <w:r>
        <w:rPr>
          <w:sz w:val="9"/>
        </w:rPr>
        <w:t>2</w:t>
      </w:r>
      <w:r>
        <w:rPr>
          <w:sz w:val="18"/>
        </w:rPr>
        <w:t>%. An increase in rates of 25 basis points had been needed last month, and given developments since then more was needed now. The arguments for waiting a further month, for more data and the analysis underlying the February </w:t>
      </w:r>
      <w:r>
        <w:rPr>
          <w:i/>
          <w:sz w:val="18"/>
        </w:rPr>
        <w:t>Inflation Report</w:t>
      </w:r>
      <w:r>
        <w:rPr>
          <w:sz w:val="18"/>
        </w:rPr>
        <w:t>, were insufficient reason for delay: an increase of 50 basis points in the repo rate was required this</w:t>
      </w:r>
      <w:r>
        <w:rPr>
          <w:spacing w:val="-23"/>
          <w:sz w:val="18"/>
        </w:rPr>
        <w:t> </w:t>
      </w:r>
      <w:r>
        <w:rPr>
          <w:sz w:val="18"/>
        </w:rPr>
        <w:t>month.</w:t>
      </w:r>
    </w:p>
    <w:p>
      <w:pPr>
        <w:pStyle w:val="BodyText"/>
        <w:spacing w:before="1"/>
        <w:rPr>
          <w:sz w:val="16"/>
        </w:rPr>
      </w:pPr>
    </w:p>
    <w:p>
      <w:pPr>
        <w:pStyle w:val="ListParagraph"/>
        <w:numPr>
          <w:ilvl w:val="0"/>
          <w:numId w:val="49"/>
        </w:numPr>
        <w:tabs>
          <w:tab w:pos="665" w:val="left" w:leader="none"/>
          <w:tab w:pos="666" w:val="left" w:leader="none"/>
        </w:tabs>
        <w:spacing w:line="232" w:lineRule="auto" w:before="0" w:after="0"/>
        <w:ind w:left="185" w:right="262" w:firstLine="0"/>
        <w:jc w:val="left"/>
        <w:rPr>
          <w:sz w:val="18"/>
        </w:rPr>
      </w:pPr>
      <w:r>
        <w:rPr>
          <w:sz w:val="18"/>
        </w:rPr>
        <w:t>The Governor invited members of the Committee to vote on the</w:t>
      </w:r>
      <w:r>
        <w:rPr>
          <w:spacing w:val="-4"/>
          <w:sz w:val="18"/>
        </w:rPr>
        <w:t> </w:t>
      </w:r>
      <w:r>
        <w:rPr>
          <w:sz w:val="18"/>
        </w:rPr>
        <w:t>proposition</w:t>
      </w:r>
      <w:r>
        <w:rPr>
          <w:spacing w:val="-4"/>
          <w:sz w:val="18"/>
        </w:rPr>
        <w:t> </w:t>
      </w:r>
      <w:r>
        <w:rPr>
          <w:sz w:val="18"/>
        </w:rPr>
        <w:t>that</w:t>
      </w:r>
      <w:r>
        <w:rPr>
          <w:spacing w:val="-4"/>
          <w:sz w:val="18"/>
        </w:rPr>
        <w:t> </w:t>
      </w:r>
      <w:r>
        <w:rPr>
          <w:sz w:val="18"/>
        </w:rPr>
        <w:t>the</w:t>
      </w:r>
      <w:r>
        <w:rPr>
          <w:spacing w:val="-4"/>
          <w:sz w:val="18"/>
        </w:rPr>
        <w:t> </w:t>
      </w:r>
      <w:r>
        <w:rPr>
          <w:sz w:val="18"/>
        </w:rPr>
        <w:t>Bank’s</w:t>
      </w:r>
      <w:r>
        <w:rPr>
          <w:spacing w:val="-4"/>
          <w:sz w:val="18"/>
        </w:rPr>
        <w:t> </w:t>
      </w:r>
      <w:r>
        <w:rPr>
          <w:sz w:val="18"/>
        </w:rPr>
        <w:t>repo</w:t>
      </w:r>
      <w:r>
        <w:rPr>
          <w:spacing w:val="-4"/>
          <w:sz w:val="18"/>
        </w:rPr>
        <w:t> </w:t>
      </w:r>
      <w:r>
        <w:rPr>
          <w:sz w:val="18"/>
        </w:rPr>
        <w:t>rate</w:t>
      </w:r>
      <w:r>
        <w:rPr>
          <w:spacing w:val="-4"/>
          <w:sz w:val="18"/>
        </w:rPr>
        <w:t> </w:t>
      </w:r>
      <w:r>
        <w:rPr>
          <w:sz w:val="18"/>
        </w:rPr>
        <w:t>be</w:t>
      </w:r>
      <w:r>
        <w:rPr>
          <w:spacing w:val="-4"/>
          <w:sz w:val="18"/>
        </w:rPr>
        <w:t> </w:t>
      </w:r>
      <w:r>
        <w:rPr>
          <w:sz w:val="18"/>
        </w:rPr>
        <w:t>increased</w:t>
      </w:r>
      <w:r>
        <w:rPr>
          <w:spacing w:val="-4"/>
          <w:sz w:val="18"/>
        </w:rPr>
        <w:t> </w:t>
      </w:r>
      <w:r>
        <w:rPr>
          <w:sz w:val="18"/>
        </w:rPr>
        <w:t>by</w:t>
      </w:r>
      <w:r>
        <w:rPr>
          <w:spacing w:val="-4"/>
          <w:sz w:val="18"/>
        </w:rPr>
        <w:t> </w:t>
      </w:r>
      <w:r>
        <w:rPr>
          <w:sz w:val="18"/>
        </w:rPr>
        <w:t>25</w:t>
      </w:r>
      <w:r>
        <w:rPr>
          <w:spacing w:val="-4"/>
          <w:sz w:val="18"/>
        </w:rPr>
        <w:t> </w:t>
      </w:r>
      <w:r>
        <w:rPr>
          <w:sz w:val="18"/>
        </w:rPr>
        <w:t>basis</w:t>
      </w:r>
    </w:p>
    <w:p>
      <w:pPr>
        <w:spacing w:after="0" w:line="232" w:lineRule="auto"/>
        <w:jc w:val="left"/>
        <w:rPr>
          <w:sz w:val="18"/>
        </w:rPr>
        <w:sectPr>
          <w:type w:val="continuous"/>
          <w:pgSz w:w="11900" w:h="16840"/>
          <w:pgMar w:top="1220" w:bottom="280" w:left="620" w:right="640"/>
          <w:cols w:num="2" w:equalWidth="0">
            <w:col w:w="5079" w:space="298"/>
            <w:col w:w="5263"/>
          </w:cols>
        </w:sectPr>
      </w:pPr>
    </w:p>
    <w:p>
      <w:pPr>
        <w:pStyle w:val="BodyText"/>
        <w:rPr>
          <w:sz w:val="20"/>
        </w:rPr>
      </w:pPr>
    </w:p>
    <w:p>
      <w:pPr>
        <w:pStyle w:val="BodyText"/>
        <w:spacing w:before="4"/>
        <w:rPr>
          <w:sz w:val="21"/>
        </w:rPr>
      </w:pPr>
    </w:p>
    <w:p>
      <w:pPr>
        <w:pStyle w:val="BodyText"/>
        <w:spacing w:line="232" w:lineRule="auto" w:before="1"/>
        <w:ind w:left="184" w:right="5607"/>
      </w:pPr>
      <w:r>
        <w:rPr/>
        <w:t>points to 5.75%. Eight members of the Committee (the Governor, Mervyn King, David Clementi, Charles Goodhart, DeAnne Julius, Ian Plenderleith, John Vickers and Sushil Wadhwani) voted for the proposition. Willem Buiter voted against, preferring an increase of 50 basis points.</w:t>
      </w:r>
    </w:p>
    <w:p>
      <w:pPr>
        <w:pStyle w:val="BodyText"/>
        <w:rPr>
          <w:sz w:val="17"/>
        </w:rPr>
      </w:pPr>
    </w:p>
    <w:p>
      <w:pPr>
        <w:pStyle w:val="ListParagraph"/>
        <w:numPr>
          <w:ilvl w:val="0"/>
          <w:numId w:val="49"/>
        </w:numPr>
        <w:tabs>
          <w:tab w:pos="664" w:val="left" w:leader="none"/>
          <w:tab w:pos="665" w:val="left" w:leader="none"/>
        </w:tabs>
        <w:spacing w:line="232" w:lineRule="auto" w:before="0" w:after="0"/>
        <w:ind w:left="184" w:right="5930"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232" w:lineRule="auto"/>
        <w:ind w:left="184" w:right="5517"/>
      </w:pPr>
      <w:r>
        <w:rPr/>
        <w:t>Mervyn King, Deputy Governor responsible for monetary policy David Clementi, Deputy Governor responsible for financial stability Willem Buiter</w:t>
      </w:r>
    </w:p>
    <w:p>
      <w:pPr>
        <w:pStyle w:val="BodyText"/>
        <w:spacing w:line="232" w:lineRule="auto"/>
        <w:ind w:left="184" w:right="9161"/>
      </w:pPr>
      <w:r>
        <w:rPr/>
        <w:t>Charles Goodhart DeAnne Julius Ian Plenderleith John Vickers Sushil Wadhwani</w:t>
      </w:r>
    </w:p>
    <w:p>
      <w:pPr>
        <w:pStyle w:val="BodyText"/>
        <w:spacing w:before="3"/>
        <w:rPr>
          <w:sz w:val="16"/>
        </w:rPr>
      </w:pPr>
    </w:p>
    <w:p>
      <w:pPr>
        <w:pStyle w:val="ListParagraph"/>
        <w:numPr>
          <w:ilvl w:val="0"/>
          <w:numId w:val="49"/>
        </w:numPr>
        <w:tabs>
          <w:tab w:pos="664" w:val="left" w:leader="none"/>
          <w:tab w:pos="665" w:val="left" w:leader="none"/>
        </w:tabs>
        <w:spacing w:line="240" w:lineRule="auto" w:before="0" w:after="0"/>
        <w:ind w:left="664" w:right="0" w:hanging="481"/>
        <w:jc w:val="left"/>
        <w:rPr>
          <w:sz w:val="18"/>
        </w:rPr>
      </w:pPr>
      <w:r>
        <w:rPr>
          <w:sz w:val="18"/>
        </w:rPr>
        <w:t>Gus O’Donnell was present as the Treasury</w:t>
      </w:r>
      <w:r>
        <w:rPr>
          <w:spacing w:val="-10"/>
          <w:sz w:val="18"/>
        </w:rPr>
        <w:t> </w:t>
      </w:r>
      <w:r>
        <w:rPr>
          <w:sz w:val="18"/>
        </w:rPr>
        <w:t>representative.</w:t>
      </w:r>
    </w:p>
    <w:p>
      <w:pPr>
        <w:spacing w:after="0" w:line="240" w:lineRule="auto"/>
        <w:jc w:val="left"/>
        <w:rPr>
          <w:sz w:val="18"/>
        </w:rPr>
        <w:sectPr>
          <w:pgSz w:w="11900" w:h="16840"/>
          <w:pgMar w:header="566" w:footer="597" w:top="760" w:bottom="780" w:left="620" w:right="640"/>
        </w:sectPr>
      </w:pPr>
    </w:p>
    <w:p>
      <w:pPr>
        <w:pStyle w:val="BodyText"/>
        <w:rPr>
          <w:sz w:val="20"/>
        </w:rPr>
      </w:pPr>
    </w:p>
    <w:p>
      <w:pPr>
        <w:pStyle w:val="BodyText"/>
        <w:rPr>
          <w:sz w:val="20"/>
        </w:rPr>
      </w:pPr>
    </w:p>
    <w:p>
      <w:pPr>
        <w:pStyle w:val="BodyText"/>
        <w:spacing w:before="1"/>
        <w:rPr>
          <w:sz w:val="16"/>
        </w:rPr>
      </w:pPr>
    </w:p>
    <w:p>
      <w:pPr>
        <w:pStyle w:val="Heading2"/>
        <w:ind w:left="185"/>
      </w:pPr>
      <w:r>
        <w:rPr>
          <w:color w:val="009391"/>
        </w:rPr>
        <w:t>Annex: Summary of data presented by Bank staff</w:t>
      </w:r>
    </w:p>
    <w:p>
      <w:pPr>
        <w:pStyle w:val="BodyText"/>
        <w:rPr>
          <w:b/>
          <w:sz w:val="20"/>
        </w:rPr>
      </w:pPr>
    </w:p>
    <w:p>
      <w:pPr>
        <w:pStyle w:val="BodyText"/>
        <w:rPr>
          <w:b/>
          <w:sz w:val="20"/>
        </w:rPr>
      </w:pPr>
    </w:p>
    <w:p>
      <w:pPr>
        <w:pStyle w:val="BodyText"/>
        <w:spacing w:before="6"/>
        <w:rPr>
          <w:b/>
          <w:sz w:val="17"/>
        </w:rPr>
      </w:pPr>
    </w:p>
    <w:p>
      <w:pPr>
        <w:spacing w:after="0"/>
        <w:rPr>
          <w:sz w:val="17"/>
        </w:rPr>
        <w:sectPr>
          <w:pgSz w:w="11900" w:h="16840"/>
          <w:pgMar w:header="566" w:footer="597" w:top="760" w:bottom="780" w:left="620" w:right="640"/>
        </w:sectPr>
      </w:pPr>
    </w:p>
    <w:p>
      <w:pPr>
        <w:pStyle w:val="ListParagraph"/>
        <w:numPr>
          <w:ilvl w:val="0"/>
          <w:numId w:val="50"/>
        </w:numPr>
        <w:tabs>
          <w:tab w:pos="669" w:val="left" w:leader="none"/>
          <w:tab w:pos="670" w:val="left" w:leader="none"/>
        </w:tabs>
        <w:spacing w:line="232" w:lineRule="auto" w:before="106" w:after="0"/>
        <w:ind w:left="190" w:right="53" w:firstLine="0"/>
        <w:jc w:val="left"/>
        <w:rPr>
          <w:sz w:val="18"/>
        </w:rPr>
      </w:pPr>
      <w:r>
        <w:rPr>
          <w:sz w:val="18"/>
        </w:rPr>
        <w:t>This Annex summarises the analysis presented by the Bank staff to the Monetary Policy Committee on 7 January, in advance of its meeting on 12–13 January 2000. At the start of the MPC meeting itself, members were made aware of information that had subsequently become available, and that information is included in this</w:t>
      </w:r>
      <w:r>
        <w:rPr>
          <w:spacing w:val="-2"/>
          <w:sz w:val="18"/>
        </w:rPr>
        <w:t> </w:t>
      </w:r>
      <w:r>
        <w:rPr>
          <w:sz w:val="18"/>
        </w:rPr>
        <w:t>Annex.</w:t>
      </w:r>
    </w:p>
    <w:p>
      <w:pPr>
        <w:pStyle w:val="BodyText"/>
        <w:spacing w:before="2"/>
        <w:rPr>
          <w:sz w:val="27"/>
        </w:rPr>
      </w:pPr>
    </w:p>
    <w:p>
      <w:pPr>
        <w:pStyle w:val="Heading7"/>
        <w:numPr>
          <w:ilvl w:val="0"/>
          <w:numId w:val="51"/>
        </w:numPr>
        <w:tabs>
          <w:tab w:pos="669" w:val="left" w:leader="none"/>
          <w:tab w:pos="671" w:val="left" w:leader="none"/>
        </w:tabs>
        <w:spacing w:line="240" w:lineRule="auto" w:before="0" w:after="0"/>
        <w:ind w:left="670" w:right="0" w:hanging="481"/>
        <w:jc w:val="left"/>
      </w:pPr>
      <w:r>
        <w:rPr>
          <w:color w:val="009391"/>
        </w:rPr>
        <w:t>The international</w:t>
      </w:r>
      <w:r>
        <w:rPr>
          <w:color w:val="009391"/>
          <w:spacing w:val="-5"/>
        </w:rPr>
        <w:t> </w:t>
      </w:r>
      <w:r>
        <w:rPr>
          <w:color w:val="009391"/>
        </w:rPr>
        <w:t>environment</w:t>
      </w:r>
    </w:p>
    <w:p>
      <w:pPr>
        <w:pStyle w:val="ListParagraph"/>
        <w:numPr>
          <w:ilvl w:val="0"/>
          <w:numId w:val="50"/>
        </w:numPr>
        <w:tabs>
          <w:tab w:pos="669" w:val="left" w:leader="none"/>
          <w:tab w:pos="670" w:val="left" w:leader="none"/>
        </w:tabs>
        <w:spacing w:line="232" w:lineRule="auto" w:before="110" w:after="0"/>
        <w:ind w:left="190" w:right="39" w:firstLine="0"/>
        <w:jc w:val="left"/>
        <w:rPr>
          <w:sz w:val="18"/>
        </w:rPr>
      </w:pPr>
      <w:r>
        <w:rPr>
          <w:sz w:val="18"/>
        </w:rPr>
        <w:t>The global economy had continued to strengthen. Growth in the United States and in the euro area had been robust in Q3; the Japanese economy however remained fragile. There had also been further signs of a strengthening of the recovery in Asia and a turn around in Latin America. But it was not yet clear whether some of the strength in activity in Q4 was related to Y2K effects, which would be unwound in 2000, or reflected more permanent developments. There were still few signs of global inflationary pressure.  Oil prices had fallen back somewhat in early January from the levels achieved in November and December. Interest rates implied by futures contracts had increased in the United States, Japan and the euro area since early</w:t>
      </w:r>
      <w:r>
        <w:rPr>
          <w:spacing w:val="-12"/>
          <w:sz w:val="18"/>
        </w:rPr>
        <w:t> </w:t>
      </w:r>
      <w:r>
        <w:rPr>
          <w:sz w:val="18"/>
        </w:rPr>
        <w:t>December.</w:t>
      </w:r>
    </w:p>
    <w:p>
      <w:pPr>
        <w:pStyle w:val="BodyText"/>
        <w:rPr>
          <w:sz w:val="20"/>
        </w:rPr>
      </w:pPr>
    </w:p>
    <w:p>
      <w:pPr>
        <w:pStyle w:val="ListParagraph"/>
        <w:numPr>
          <w:ilvl w:val="0"/>
          <w:numId w:val="50"/>
        </w:numPr>
        <w:tabs>
          <w:tab w:pos="669" w:val="left" w:leader="none"/>
          <w:tab w:pos="670" w:val="left" w:leader="none"/>
        </w:tabs>
        <w:spacing w:line="232" w:lineRule="auto" w:before="0" w:after="0"/>
        <w:ind w:left="190" w:right="98" w:firstLine="0"/>
        <w:jc w:val="left"/>
        <w:rPr>
          <w:sz w:val="18"/>
        </w:rPr>
      </w:pPr>
      <w:r>
        <w:rPr>
          <w:sz w:val="18"/>
        </w:rPr>
        <w:t>US GDP growth in Q3 had been revised up further on an annualised basis, but the quarterly growth rate was unchanged. Investment growth in Q3 had been revised down to 1.7% from 2.0%. Investment in equipment and software had been strong in Q3, increasing by 3.7%. Consumer confidence had risen to 141.4, the highest since its all-time high of 142.3 in October 1968. Consumer confidence had been positively correlated with equity prices in recent years. US non-farm payrolls had risen 315,000 in December after a rise of 222,000 in November; the unemployment rate had remained at 4.1%. Annual consumer price inflation had remained at 2.6% in November, although core CPI inflation had risen to 2.2% from</w:t>
      </w:r>
      <w:r>
        <w:rPr>
          <w:spacing w:val="-5"/>
          <w:sz w:val="18"/>
        </w:rPr>
        <w:t> </w:t>
      </w:r>
      <w:r>
        <w:rPr>
          <w:sz w:val="18"/>
        </w:rPr>
        <w:t>2.1%.</w:t>
      </w:r>
    </w:p>
    <w:p>
      <w:pPr>
        <w:pStyle w:val="BodyText"/>
        <w:spacing w:before="1"/>
        <w:rPr>
          <w:sz w:val="20"/>
        </w:rPr>
      </w:pPr>
    </w:p>
    <w:p>
      <w:pPr>
        <w:pStyle w:val="ListParagraph"/>
        <w:numPr>
          <w:ilvl w:val="0"/>
          <w:numId w:val="50"/>
        </w:numPr>
        <w:tabs>
          <w:tab w:pos="669" w:val="left" w:leader="none"/>
          <w:tab w:pos="670" w:val="left" w:leader="none"/>
        </w:tabs>
        <w:spacing w:line="232" w:lineRule="auto" w:before="0" w:after="0"/>
        <w:ind w:left="190" w:right="43" w:firstLine="0"/>
        <w:jc w:val="left"/>
        <w:rPr>
          <w:sz w:val="18"/>
        </w:rPr>
      </w:pPr>
      <w:r>
        <w:rPr>
          <w:sz w:val="18"/>
        </w:rPr>
        <w:t>Euro-area GDP had risen by 1.0% in Q3. Final domestic demand and net trade had both made significant positive contributions to the rise in GDP. In the three largest euro-area economies (Germany, France and Italy) there had been a similar pattern of quarterly growth in Q3. Euro-area industrial confidence had increased in December, while consumer confidence had remained unchanged. German industrial production had increased 2.0% in the year to November, following an increase of 1.3% in the year to October. Strong growth in German manufacturing orders, increasing 12.5% in the year to November, and a pick-up in the IFO survey measure had suggested a further strengthening in activity. Euro-area unemployment had remained at 9.8% in November. Annual inflation in the euro area had risen to 1.6% in November, from 1.4% in October. The rise in inflation mainly reflected higher energy price</w:t>
      </w:r>
      <w:r>
        <w:rPr>
          <w:spacing w:val="-3"/>
          <w:sz w:val="18"/>
        </w:rPr>
        <w:t> </w:t>
      </w:r>
      <w:r>
        <w:rPr>
          <w:sz w:val="18"/>
        </w:rPr>
        <w:t>inflation.</w:t>
      </w:r>
    </w:p>
    <w:p>
      <w:pPr>
        <w:pStyle w:val="BodyText"/>
        <w:spacing w:before="10"/>
        <w:rPr>
          <w:sz w:val="19"/>
        </w:rPr>
      </w:pPr>
    </w:p>
    <w:p>
      <w:pPr>
        <w:pStyle w:val="ListParagraph"/>
        <w:numPr>
          <w:ilvl w:val="0"/>
          <w:numId w:val="50"/>
        </w:numPr>
        <w:tabs>
          <w:tab w:pos="669" w:val="left" w:leader="none"/>
          <w:tab w:pos="670" w:val="left" w:leader="none"/>
        </w:tabs>
        <w:spacing w:line="232" w:lineRule="auto" w:before="0" w:after="0"/>
        <w:ind w:left="190" w:right="38" w:firstLine="0"/>
        <w:jc w:val="left"/>
        <w:rPr>
          <w:sz w:val="18"/>
        </w:rPr>
      </w:pPr>
      <w:r>
        <w:rPr>
          <w:sz w:val="18"/>
        </w:rPr>
        <w:t>Japanese</w:t>
      </w:r>
      <w:r>
        <w:rPr>
          <w:spacing w:val="-4"/>
          <w:sz w:val="18"/>
        </w:rPr>
        <w:t> </w:t>
      </w:r>
      <w:r>
        <w:rPr>
          <w:sz w:val="18"/>
        </w:rPr>
        <w:t>GDP</w:t>
      </w:r>
      <w:r>
        <w:rPr>
          <w:spacing w:val="-4"/>
          <w:sz w:val="18"/>
        </w:rPr>
        <w:t> </w:t>
      </w:r>
      <w:r>
        <w:rPr>
          <w:sz w:val="18"/>
        </w:rPr>
        <w:t>had</w:t>
      </w:r>
      <w:r>
        <w:rPr>
          <w:spacing w:val="-4"/>
          <w:sz w:val="18"/>
        </w:rPr>
        <w:t> </w:t>
      </w:r>
      <w:r>
        <w:rPr>
          <w:sz w:val="18"/>
        </w:rPr>
        <w:t>fallen</w:t>
      </w:r>
      <w:r>
        <w:rPr>
          <w:spacing w:val="-4"/>
          <w:sz w:val="18"/>
        </w:rPr>
        <w:t> </w:t>
      </w:r>
      <w:r>
        <w:rPr>
          <w:sz w:val="18"/>
        </w:rPr>
        <w:t>by</w:t>
      </w:r>
      <w:r>
        <w:rPr>
          <w:spacing w:val="-4"/>
          <w:sz w:val="18"/>
        </w:rPr>
        <w:t> </w:t>
      </w:r>
      <w:r>
        <w:rPr>
          <w:sz w:val="18"/>
        </w:rPr>
        <w:t>1.0%</w:t>
      </w:r>
      <w:r>
        <w:rPr>
          <w:spacing w:val="-4"/>
          <w:sz w:val="18"/>
        </w:rPr>
        <w:t> </w:t>
      </w:r>
      <w:r>
        <w:rPr>
          <w:sz w:val="18"/>
        </w:rPr>
        <w:t>in</w:t>
      </w:r>
      <w:r>
        <w:rPr>
          <w:spacing w:val="-4"/>
          <w:sz w:val="18"/>
        </w:rPr>
        <w:t> </w:t>
      </w:r>
      <w:r>
        <w:rPr>
          <w:sz w:val="18"/>
        </w:rPr>
        <w:t>Q3</w:t>
      </w:r>
      <w:r>
        <w:rPr>
          <w:spacing w:val="-4"/>
          <w:sz w:val="18"/>
        </w:rPr>
        <w:t> </w:t>
      </w:r>
      <w:r>
        <w:rPr>
          <w:sz w:val="18"/>
        </w:rPr>
        <w:t>but</w:t>
      </w:r>
      <w:r>
        <w:rPr>
          <w:spacing w:val="-4"/>
          <w:sz w:val="18"/>
        </w:rPr>
        <w:t> </w:t>
      </w:r>
      <w:r>
        <w:rPr>
          <w:sz w:val="18"/>
        </w:rPr>
        <w:t>was</w:t>
      </w:r>
      <w:r>
        <w:rPr>
          <w:spacing w:val="-3"/>
          <w:sz w:val="18"/>
        </w:rPr>
        <w:t> </w:t>
      </w:r>
      <w:r>
        <w:rPr>
          <w:sz w:val="18"/>
        </w:rPr>
        <w:t>0.9%</w:t>
      </w:r>
      <w:r>
        <w:rPr>
          <w:spacing w:val="-4"/>
          <w:sz w:val="18"/>
        </w:rPr>
        <w:t> </w:t>
      </w:r>
      <w:r>
        <w:rPr>
          <w:sz w:val="18"/>
        </w:rPr>
        <w:t>higher than a year earlier. Private demand had remained weak in Q3; private consumption had fallen by 0.2% and non-residential investment had fallen by 0.3%.  According to the December Tankan survey, enterprises’ view of business conditions had improved, although manufacturers’ sentiment had improved by more than that of non-manufacturers. Retail sales had fallen by 2.4% in November, a decline of 2.9% on a year earlier. The unemployment rate had fallen by 0.1 percentage point to 4.5% in November, although measured unemployment continued to be depressed by rises in inactivity. The consumer price index had fallen by 1.2% in the year to November, but excluding food had fallen by only</w:t>
      </w:r>
      <w:r>
        <w:rPr>
          <w:spacing w:val="-4"/>
          <w:sz w:val="18"/>
        </w:rPr>
        <w:t> </w:t>
      </w:r>
      <w:r>
        <w:rPr>
          <w:sz w:val="18"/>
        </w:rPr>
        <w:t>0.2%.</w:t>
      </w:r>
    </w:p>
    <w:p>
      <w:pPr>
        <w:pStyle w:val="Heading7"/>
        <w:numPr>
          <w:ilvl w:val="0"/>
          <w:numId w:val="51"/>
        </w:numPr>
        <w:tabs>
          <w:tab w:pos="669" w:val="left" w:leader="none"/>
          <w:tab w:pos="670" w:val="left" w:leader="none"/>
        </w:tabs>
        <w:spacing w:line="240" w:lineRule="auto" w:before="91" w:after="0"/>
        <w:ind w:left="670" w:right="0" w:hanging="480"/>
        <w:jc w:val="left"/>
      </w:pPr>
      <w:r>
        <w:rPr>
          <w:color w:val="009391"/>
          <w:spacing w:val="-1"/>
        </w:rPr>
        <w:br w:type="column"/>
      </w:r>
      <w:r>
        <w:rPr>
          <w:color w:val="009391"/>
        </w:rPr>
        <w:t>Monetary and financial</w:t>
      </w:r>
      <w:r>
        <w:rPr>
          <w:color w:val="009391"/>
          <w:spacing w:val="-7"/>
        </w:rPr>
        <w:t> </w:t>
      </w:r>
      <w:r>
        <w:rPr>
          <w:color w:val="009391"/>
        </w:rPr>
        <w:t>conditions</w:t>
      </w:r>
    </w:p>
    <w:p>
      <w:pPr>
        <w:pStyle w:val="ListParagraph"/>
        <w:numPr>
          <w:ilvl w:val="0"/>
          <w:numId w:val="50"/>
        </w:numPr>
        <w:tabs>
          <w:tab w:pos="669" w:val="left" w:leader="none"/>
          <w:tab w:pos="670" w:val="left" w:leader="none"/>
        </w:tabs>
        <w:spacing w:line="232" w:lineRule="auto" w:before="150" w:after="0"/>
        <w:ind w:left="190" w:right="240" w:firstLine="0"/>
        <w:jc w:val="left"/>
        <w:rPr>
          <w:sz w:val="18"/>
        </w:rPr>
      </w:pPr>
      <w:r>
        <w:rPr>
          <w:sz w:val="18"/>
        </w:rPr>
        <w:t>Narrow money had grown very rapidly in December. Notes and coin had increased by 4.6% on the month, after adjustment for seasonality and the introduction of the new 50p and £2 coins. The twelve-month growth rate had risen to 12.5%, the highest since 1979. Anecdotal evidence had suggested that a large proportion of December’s growth reflected increased holdings by banks and building societies; in particular, ATM stocks were thought to have been higher than normal for the time of year. But the size of these additional bank holdings had been uncertain. ATM withdrawals had also been consistent with higher cash holdings by the public than over a typical Christmas</w:t>
      </w:r>
      <w:r>
        <w:rPr>
          <w:spacing w:val="-8"/>
          <w:sz w:val="18"/>
        </w:rPr>
        <w:t> </w:t>
      </w:r>
      <w:r>
        <w:rPr>
          <w:sz w:val="18"/>
        </w:rPr>
        <w:t>period.</w:t>
      </w:r>
    </w:p>
    <w:p>
      <w:pPr>
        <w:pStyle w:val="BodyText"/>
        <w:spacing w:before="7"/>
        <w:rPr>
          <w:sz w:val="16"/>
        </w:rPr>
      </w:pPr>
    </w:p>
    <w:p>
      <w:pPr>
        <w:pStyle w:val="ListParagraph"/>
        <w:numPr>
          <w:ilvl w:val="0"/>
          <w:numId w:val="50"/>
        </w:numPr>
        <w:tabs>
          <w:tab w:pos="669" w:val="left" w:leader="none"/>
          <w:tab w:pos="670" w:val="left" w:leader="none"/>
        </w:tabs>
        <w:spacing w:line="232" w:lineRule="auto" w:before="0" w:after="0"/>
        <w:ind w:left="190" w:right="269" w:firstLine="0"/>
        <w:jc w:val="left"/>
        <w:rPr>
          <w:sz w:val="18"/>
        </w:rPr>
      </w:pPr>
      <w:r>
        <w:rPr>
          <w:sz w:val="18"/>
        </w:rPr>
        <w:t>The stock of M4 had risen by £2.6 billion (0.3%) in November, and the twelve-month rate had picked up slightly to 3.2%. The weakness of M4 reflected the fall in deposits by the other financial corporations’ sector (OFCs) in November, but the M4 holdings of private non-financial corporations (P</w:t>
      </w:r>
      <w:r>
        <w:rPr>
          <w:sz w:val="14"/>
        </w:rPr>
        <w:t>NFC</w:t>
      </w:r>
      <w:r>
        <w:rPr>
          <w:sz w:val="18"/>
        </w:rPr>
        <w:t>s) had again risen strongly. M4 lending (excluding securitisations) had grown by £9.7 billion (1.0%) in November, and the twelve-month growth rate had risen sharply to 8.4%. Strong borrowing by households and OFCs continued to drive this robust lending growth.</w:t>
      </w:r>
    </w:p>
    <w:p>
      <w:pPr>
        <w:pStyle w:val="BodyText"/>
        <w:spacing w:before="8"/>
        <w:rPr>
          <w:sz w:val="16"/>
        </w:rPr>
      </w:pPr>
    </w:p>
    <w:p>
      <w:pPr>
        <w:pStyle w:val="ListParagraph"/>
        <w:numPr>
          <w:ilvl w:val="0"/>
          <w:numId w:val="50"/>
        </w:numPr>
        <w:tabs>
          <w:tab w:pos="669" w:val="left" w:leader="none"/>
          <w:tab w:pos="670" w:val="left" w:leader="none"/>
        </w:tabs>
        <w:spacing w:line="232" w:lineRule="auto" w:before="1" w:after="0"/>
        <w:ind w:left="190" w:right="200" w:firstLine="0"/>
        <w:jc w:val="left"/>
        <w:rPr>
          <w:sz w:val="18"/>
        </w:rPr>
      </w:pPr>
      <w:r>
        <w:rPr>
          <w:sz w:val="18"/>
        </w:rPr>
        <w:t>Households’ M4 deposits had risen by £2.6 billion (0.5%) in November. M4 lending to households (excluding securitisations) had grown strongly, rising by £4.8 billion (0.9%) in November. The twelve-month growth rate had picked up to 9.2%, the highest rate since 1991 Q2. Within total lending to individuals, total net secured lending had risen by £3.8 billion (0.8%) in November, and the twelve-month growth rate had increased to 8.2%. The value of loan approvals had remained strong (at £10.4 billion). The stock of outstanding loan approvals had fallen (by £0.5 billion) for the first time since January 1999. This was thought to reflect both the relative strength of gross lending and a rise in cancellations in November.</w:t>
      </w:r>
    </w:p>
    <w:p>
      <w:pPr>
        <w:pStyle w:val="BodyText"/>
        <w:spacing w:before="6"/>
        <w:rPr>
          <w:sz w:val="16"/>
        </w:rPr>
      </w:pPr>
    </w:p>
    <w:p>
      <w:pPr>
        <w:pStyle w:val="ListParagraph"/>
        <w:numPr>
          <w:ilvl w:val="0"/>
          <w:numId w:val="50"/>
        </w:numPr>
        <w:tabs>
          <w:tab w:pos="669" w:val="left" w:leader="none"/>
          <w:tab w:pos="670" w:val="left" w:leader="none"/>
        </w:tabs>
        <w:spacing w:line="232" w:lineRule="auto" w:before="0" w:after="0"/>
        <w:ind w:left="190" w:right="165" w:firstLine="0"/>
        <w:jc w:val="left"/>
        <w:rPr>
          <w:sz w:val="18"/>
        </w:rPr>
      </w:pPr>
      <w:r>
        <w:rPr>
          <w:sz w:val="18"/>
        </w:rPr>
        <w:t>Total unsecured lending had risen by £1.3 billion (1.2%) in November,</w:t>
      </w:r>
      <w:r>
        <w:rPr>
          <w:spacing w:val="-6"/>
          <w:sz w:val="18"/>
        </w:rPr>
        <w:t> </w:t>
      </w:r>
      <w:r>
        <w:rPr>
          <w:sz w:val="18"/>
        </w:rPr>
        <w:t>but</w:t>
      </w:r>
      <w:r>
        <w:rPr>
          <w:spacing w:val="-6"/>
          <w:sz w:val="18"/>
        </w:rPr>
        <w:t> </w:t>
      </w:r>
      <w:r>
        <w:rPr>
          <w:sz w:val="18"/>
        </w:rPr>
        <w:t>the</w:t>
      </w:r>
      <w:r>
        <w:rPr>
          <w:spacing w:val="-5"/>
          <w:sz w:val="18"/>
        </w:rPr>
        <w:t> </w:t>
      </w:r>
      <w:r>
        <w:rPr>
          <w:sz w:val="18"/>
        </w:rPr>
        <w:t>twelve-month</w:t>
      </w:r>
      <w:r>
        <w:rPr>
          <w:spacing w:val="-6"/>
          <w:sz w:val="18"/>
        </w:rPr>
        <w:t> </w:t>
      </w:r>
      <w:r>
        <w:rPr>
          <w:sz w:val="18"/>
        </w:rPr>
        <w:t>growth</w:t>
      </w:r>
      <w:r>
        <w:rPr>
          <w:spacing w:val="-5"/>
          <w:sz w:val="18"/>
        </w:rPr>
        <w:t> </w:t>
      </w:r>
      <w:r>
        <w:rPr>
          <w:sz w:val="18"/>
        </w:rPr>
        <w:t>rate</w:t>
      </w:r>
      <w:r>
        <w:rPr>
          <w:spacing w:val="-6"/>
          <w:sz w:val="18"/>
        </w:rPr>
        <w:t> </w:t>
      </w:r>
      <w:r>
        <w:rPr>
          <w:sz w:val="18"/>
        </w:rPr>
        <w:t>had</w:t>
      </w:r>
      <w:r>
        <w:rPr>
          <w:spacing w:val="-5"/>
          <w:sz w:val="18"/>
        </w:rPr>
        <w:t> </w:t>
      </w:r>
      <w:r>
        <w:rPr>
          <w:sz w:val="18"/>
        </w:rPr>
        <w:t>declined</w:t>
      </w:r>
      <w:r>
        <w:rPr>
          <w:spacing w:val="-6"/>
          <w:sz w:val="18"/>
        </w:rPr>
        <w:t> </w:t>
      </w:r>
      <w:r>
        <w:rPr>
          <w:sz w:val="18"/>
        </w:rPr>
        <w:t>again</w:t>
      </w:r>
      <w:r>
        <w:rPr>
          <w:spacing w:val="-6"/>
          <w:sz w:val="18"/>
        </w:rPr>
        <w:t> </w:t>
      </w:r>
      <w:r>
        <w:rPr>
          <w:sz w:val="18"/>
        </w:rPr>
        <w:t>(to 13.4%) and had fallen by more than 4 percentage points in the past year. The Bank’s estimate of mortgage equity withdrawal</w:t>
      </w:r>
      <w:r>
        <w:rPr>
          <w:spacing w:val="-26"/>
          <w:sz w:val="18"/>
        </w:rPr>
        <w:t> </w:t>
      </w:r>
      <w:r>
        <w:rPr>
          <w:sz w:val="18"/>
        </w:rPr>
        <w:t>in</w:t>
      </w:r>
    </w:p>
    <w:p>
      <w:pPr>
        <w:pStyle w:val="BodyText"/>
        <w:spacing w:line="232" w:lineRule="auto"/>
        <w:ind w:left="190" w:right="720"/>
      </w:pPr>
      <w:r>
        <w:rPr/>
        <w:t>1999 Q3 had been revised upwards to £3.8 billion and ‘total borrowing for consumption’ (defined as mortgage equity withdrawal plus unsecured lending) grew strongly.</w:t>
      </w:r>
    </w:p>
    <w:p>
      <w:pPr>
        <w:pStyle w:val="BodyText"/>
        <w:spacing w:before="11"/>
        <w:rPr>
          <w:sz w:val="16"/>
        </w:rPr>
      </w:pPr>
    </w:p>
    <w:p>
      <w:pPr>
        <w:pStyle w:val="ListParagraph"/>
        <w:numPr>
          <w:ilvl w:val="0"/>
          <w:numId w:val="50"/>
        </w:numPr>
        <w:tabs>
          <w:tab w:pos="669" w:val="left" w:leader="none"/>
          <w:tab w:pos="670" w:val="left" w:leader="none"/>
        </w:tabs>
        <w:spacing w:line="232" w:lineRule="auto" w:before="0" w:after="0"/>
        <w:ind w:left="190" w:right="166" w:firstLine="0"/>
        <w:jc w:val="left"/>
        <w:rPr>
          <w:sz w:val="18"/>
        </w:rPr>
      </w:pPr>
      <w:r>
        <w:rPr>
          <w:sz w:val="18"/>
        </w:rPr>
        <w:t>The M4 deposits of P</w:t>
      </w:r>
      <w:r>
        <w:rPr>
          <w:sz w:val="14"/>
        </w:rPr>
        <w:t>NFC</w:t>
      </w:r>
      <w:r>
        <w:rPr>
          <w:sz w:val="18"/>
        </w:rPr>
        <w:t>s had risen by £1.6 billion (1.3%)</w:t>
      </w:r>
      <w:r>
        <w:rPr>
          <w:spacing w:val="-33"/>
          <w:sz w:val="18"/>
        </w:rPr>
        <w:t> </w:t>
      </w:r>
      <w:r>
        <w:rPr>
          <w:sz w:val="18"/>
        </w:rPr>
        <w:t>in November, and the twelve-month growth rate had picked up to 7.3%. In contrast, M4 lending to P</w:t>
      </w:r>
      <w:r>
        <w:rPr>
          <w:sz w:val="14"/>
        </w:rPr>
        <w:t>NFC</w:t>
      </w:r>
      <w:r>
        <w:rPr>
          <w:sz w:val="18"/>
        </w:rPr>
        <w:t>s had risen by</w:t>
      </w:r>
      <w:r>
        <w:rPr>
          <w:spacing w:val="-15"/>
          <w:sz w:val="18"/>
        </w:rPr>
        <w:t> </w:t>
      </w:r>
      <w:r>
        <w:rPr>
          <w:sz w:val="18"/>
        </w:rPr>
        <w:t>only</w:t>
      </w:r>
    </w:p>
    <w:p>
      <w:pPr>
        <w:pStyle w:val="BodyText"/>
        <w:spacing w:line="232" w:lineRule="auto"/>
        <w:ind w:left="190" w:right="183"/>
      </w:pPr>
      <w:r>
        <w:rPr/>
        <w:t>£0.3</w:t>
      </w:r>
      <w:r>
        <w:rPr>
          <w:spacing w:val="-6"/>
        </w:rPr>
        <w:t> </w:t>
      </w:r>
      <w:r>
        <w:rPr/>
        <w:t>billion</w:t>
      </w:r>
      <w:r>
        <w:rPr>
          <w:spacing w:val="-6"/>
        </w:rPr>
        <w:t> </w:t>
      </w:r>
      <w:r>
        <w:rPr/>
        <w:t>(0.1%)</w:t>
      </w:r>
      <w:r>
        <w:rPr>
          <w:spacing w:val="-5"/>
        </w:rPr>
        <w:t> </w:t>
      </w:r>
      <w:r>
        <w:rPr/>
        <w:t>in</w:t>
      </w:r>
      <w:r>
        <w:rPr>
          <w:spacing w:val="-6"/>
        </w:rPr>
        <w:t> </w:t>
      </w:r>
      <w:r>
        <w:rPr/>
        <w:t>November,</w:t>
      </w:r>
      <w:r>
        <w:rPr>
          <w:spacing w:val="-5"/>
        </w:rPr>
        <w:t> </w:t>
      </w:r>
      <w:r>
        <w:rPr/>
        <w:t>and</w:t>
      </w:r>
      <w:r>
        <w:rPr>
          <w:spacing w:val="-6"/>
        </w:rPr>
        <w:t> </w:t>
      </w:r>
      <w:r>
        <w:rPr/>
        <w:t>the</w:t>
      </w:r>
      <w:r>
        <w:rPr>
          <w:spacing w:val="-5"/>
        </w:rPr>
        <w:t> </w:t>
      </w:r>
      <w:r>
        <w:rPr/>
        <w:t>twelve-month</w:t>
      </w:r>
      <w:r>
        <w:rPr>
          <w:spacing w:val="-6"/>
        </w:rPr>
        <w:t> </w:t>
      </w:r>
      <w:r>
        <w:rPr/>
        <w:t>growth</w:t>
      </w:r>
      <w:r>
        <w:rPr>
          <w:spacing w:val="-6"/>
        </w:rPr>
        <w:t> </w:t>
      </w:r>
      <w:r>
        <w:rPr/>
        <w:t>rate had declined to 3.1%. But P</w:t>
      </w:r>
      <w:r>
        <w:rPr>
          <w:sz w:val="14"/>
        </w:rPr>
        <w:t>NFC</w:t>
      </w:r>
      <w:r>
        <w:rPr/>
        <w:t>s’ total borrowing (including foreign currency borrowing and capital market finance) had increased, with sterling capital issues being particularly</w:t>
      </w:r>
      <w:r>
        <w:rPr>
          <w:spacing w:val="-30"/>
        </w:rPr>
        <w:t> </w:t>
      </w:r>
      <w:r>
        <w:rPr/>
        <w:t>strong.</w:t>
      </w:r>
    </w:p>
    <w:p>
      <w:pPr>
        <w:pStyle w:val="BodyText"/>
        <w:spacing w:before="10"/>
        <w:rPr>
          <w:sz w:val="16"/>
        </w:rPr>
      </w:pPr>
    </w:p>
    <w:p>
      <w:pPr>
        <w:pStyle w:val="ListParagraph"/>
        <w:numPr>
          <w:ilvl w:val="0"/>
          <w:numId w:val="50"/>
        </w:numPr>
        <w:tabs>
          <w:tab w:pos="669" w:val="left" w:leader="none"/>
          <w:tab w:pos="670" w:val="left" w:leader="none"/>
        </w:tabs>
        <w:spacing w:line="232" w:lineRule="auto" w:before="0" w:after="0"/>
        <w:ind w:left="190" w:right="280" w:firstLine="0"/>
        <w:jc w:val="left"/>
        <w:rPr>
          <w:sz w:val="18"/>
        </w:rPr>
      </w:pPr>
      <w:r>
        <w:rPr>
          <w:sz w:val="18"/>
        </w:rPr>
        <w:t>OFCs’ M4 deposits had fallen by £1.5 billion (-0.9%) in November,</w:t>
      </w:r>
      <w:r>
        <w:rPr>
          <w:spacing w:val="-7"/>
          <w:sz w:val="18"/>
        </w:rPr>
        <w:t> </w:t>
      </w:r>
      <w:r>
        <w:rPr>
          <w:sz w:val="18"/>
        </w:rPr>
        <w:t>and</w:t>
      </w:r>
      <w:r>
        <w:rPr>
          <w:spacing w:val="-6"/>
          <w:sz w:val="18"/>
        </w:rPr>
        <w:t> </w:t>
      </w:r>
      <w:r>
        <w:rPr>
          <w:sz w:val="18"/>
        </w:rPr>
        <w:t>the</w:t>
      </w:r>
      <w:r>
        <w:rPr>
          <w:spacing w:val="-6"/>
          <w:sz w:val="18"/>
        </w:rPr>
        <w:t> </w:t>
      </w:r>
      <w:r>
        <w:rPr>
          <w:sz w:val="18"/>
        </w:rPr>
        <w:t>twelve-month</w:t>
      </w:r>
      <w:r>
        <w:rPr>
          <w:spacing w:val="-6"/>
          <w:sz w:val="18"/>
        </w:rPr>
        <w:t> </w:t>
      </w:r>
      <w:r>
        <w:rPr>
          <w:sz w:val="18"/>
        </w:rPr>
        <w:t>growth</w:t>
      </w:r>
      <w:r>
        <w:rPr>
          <w:spacing w:val="-6"/>
          <w:sz w:val="18"/>
        </w:rPr>
        <w:t> </w:t>
      </w:r>
      <w:r>
        <w:rPr>
          <w:sz w:val="18"/>
        </w:rPr>
        <w:t>rate</w:t>
      </w:r>
      <w:r>
        <w:rPr>
          <w:spacing w:val="-6"/>
          <w:sz w:val="18"/>
        </w:rPr>
        <w:t> </w:t>
      </w:r>
      <w:r>
        <w:rPr>
          <w:sz w:val="18"/>
        </w:rPr>
        <w:t>had</w:t>
      </w:r>
      <w:r>
        <w:rPr>
          <w:spacing w:val="-6"/>
          <w:sz w:val="18"/>
        </w:rPr>
        <w:t> </w:t>
      </w:r>
      <w:r>
        <w:rPr>
          <w:sz w:val="18"/>
        </w:rPr>
        <w:t>declined</w:t>
      </w:r>
      <w:r>
        <w:rPr>
          <w:spacing w:val="-6"/>
          <w:sz w:val="18"/>
        </w:rPr>
        <w:t> </w:t>
      </w:r>
      <w:r>
        <w:rPr>
          <w:sz w:val="18"/>
        </w:rPr>
        <w:t>further to -7.0%. But M4 lending to OFCs had risen strongly,</w:t>
      </w:r>
      <w:r>
        <w:rPr>
          <w:spacing w:val="-25"/>
          <w:sz w:val="18"/>
        </w:rPr>
        <w:t> </w:t>
      </w:r>
      <w:r>
        <w:rPr>
          <w:sz w:val="18"/>
        </w:rPr>
        <w:t>by</w:t>
      </w:r>
    </w:p>
    <w:p>
      <w:pPr>
        <w:pStyle w:val="BodyText"/>
        <w:spacing w:line="232" w:lineRule="auto"/>
        <w:ind w:left="190" w:right="316"/>
      </w:pPr>
      <w:r>
        <w:rPr/>
        <w:t>£4.6 billion (2.2%), and the twelve-month growth rate had picked up sharply to 11.4%.</w:t>
      </w:r>
    </w:p>
    <w:p>
      <w:pPr>
        <w:pStyle w:val="BodyText"/>
        <w:spacing w:before="1"/>
        <w:rPr>
          <w:sz w:val="17"/>
        </w:rPr>
      </w:pPr>
    </w:p>
    <w:p>
      <w:pPr>
        <w:pStyle w:val="ListParagraph"/>
        <w:numPr>
          <w:ilvl w:val="0"/>
          <w:numId w:val="50"/>
        </w:numPr>
        <w:tabs>
          <w:tab w:pos="669" w:val="left" w:leader="none"/>
          <w:tab w:pos="670" w:val="left" w:leader="none"/>
        </w:tabs>
        <w:spacing w:line="232" w:lineRule="auto" w:before="0" w:after="0"/>
        <w:ind w:left="190" w:right="200" w:firstLine="0"/>
        <w:jc w:val="left"/>
        <w:rPr>
          <w:sz w:val="18"/>
        </w:rPr>
      </w:pPr>
      <w:r>
        <w:rPr>
          <w:sz w:val="18"/>
        </w:rPr>
        <w:t>Nominal interest rates from gilts had risen between 30 and 50 basis points on the month, across all maturities. Short-term nominal forward rates at maturities up to five years had initially fallen</w:t>
      </w:r>
      <w:r>
        <w:rPr>
          <w:spacing w:val="-7"/>
          <w:sz w:val="18"/>
        </w:rPr>
        <w:t> </w:t>
      </w:r>
      <w:r>
        <w:rPr>
          <w:sz w:val="18"/>
        </w:rPr>
        <w:t>following</w:t>
      </w:r>
      <w:r>
        <w:rPr>
          <w:spacing w:val="-6"/>
          <w:sz w:val="18"/>
        </w:rPr>
        <w:t> </w:t>
      </w:r>
      <w:r>
        <w:rPr>
          <w:sz w:val="18"/>
        </w:rPr>
        <w:t>the</w:t>
      </w:r>
      <w:r>
        <w:rPr>
          <w:spacing w:val="-6"/>
          <w:sz w:val="18"/>
        </w:rPr>
        <w:t> </w:t>
      </w:r>
      <w:r>
        <w:rPr>
          <w:sz w:val="18"/>
        </w:rPr>
        <w:t>December</w:t>
      </w:r>
      <w:r>
        <w:rPr>
          <w:spacing w:val="-6"/>
          <w:sz w:val="18"/>
        </w:rPr>
        <w:t> </w:t>
      </w:r>
      <w:r>
        <w:rPr>
          <w:sz w:val="18"/>
        </w:rPr>
        <w:t>MPC</w:t>
      </w:r>
      <w:r>
        <w:rPr>
          <w:spacing w:val="-6"/>
          <w:sz w:val="18"/>
        </w:rPr>
        <w:t> </w:t>
      </w:r>
      <w:r>
        <w:rPr>
          <w:sz w:val="18"/>
        </w:rPr>
        <w:t>meeting,</w:t>
      </w:r>
      <w:r>
        <w:rPr>
          <w:spacing w:val="-6"/>
          <w:sz w:val="18"/>
        </w:rPr>
        <w:t> </w:t>
      </w:r>
      <w:r>
        <w:rPr>
          <w:sz w:val="18"/>
        </w:rPr>
        <w:t>but</w:t>
      </w:r>
      <w:r>
        <w:rPr>
          <w:spacing w:val="-6"/>
          <w:sz w:val="18"/>
        </w:rPr>
        <w:t> </w:t>
      </w:r>
      <w:r>
        <w:rPr>
          <w:sz w:val="18"/>
        </w:rPr>
        <w:t>had</w:t>
      </w:r>
      <w:r>
        <w:rPr>
          <w:spacing w:val="-6"/>
          <w:sz w:val="18"/>
        </w:rPr>
        <w:t> </w:t>
      </w:r>
      <w:r>
        <w:rPr>
          <w:sz w:val="18"/>
        </w:rPr>
        <w:t>subsequently firmed. Rising interest rate expectations, particularly at the</w:t>
      </w:r>
      <w:r>
        <w:rPr>
          <w:spacing w:val="7"/>
          <w:sz w:val="18"/>
        </w:rPr>
        <w:t> </w:t>
      </w:r>
      <w:r>
        <w:rPr>
          <w:sz w:val="18"/>
        </w:rPr>
        <w:t>long</w:t>
      </w:r>
    </w:p>
    <w:p>
      <w:pPr>
        <w:spacing w:after="0" w:line="232" w:lineRule="auto"/>
        <w:jc w:val="left"/>
        <w:rPr>
          <w:sz w:val="18"/>
        </w:rPr>
        <w:sectPr>
          <w:type w:val="continuous"/>
          <w:pgSz w:w="11900" w:h="16840"/>
          <w:pgMar w:top="1220" w:bottom="280" w:left="620" w:right="640"/>
          <w:cols w:num="2" w:equalWidth="0">
            <w:col w:w="5134" w:space="251"/>
            <w:col w:w="5255"/>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7"/>
        <w:rPr>
          <w:sz w:val="19"/>
        </w:rPr>
      </w:pPr>
    </w:p>
    <w:p>
      <w:pPr>
        <w:pStyle w:val="BodyText"/>
        <w:spacing w:line="232" w:lineRule="auto" w:before="1"/>
        <w:ind w:left="180"/>
      </w:pPr>
      <w:r>
        <w:rPr/>
        <w:t>end, had also been evident in other countries over this period. Corporate bond spreads had narrowed since the beginning of January. Real interest rates derived from index-linked markets had shown little change at the short end, rising slightly at longer maturities. Survey-based measures of short-term real interest rates had also shown a slight increase in 1999 Q4.</w:t>
      </w:r>
    </w:p>
    <w:p>
      <w:pPr>
        <w:pStyle w:val="BodyText"/>
        <w:spacing w:before="11"/>
        <w:rPr>
          <w:sz w:val="16"/>
        </w:rPr>
      </w:pPr>
    </w:p>
    <w:p>
      <w:pPr>
        <w:pStyle w:val="ListParagraph"/>
        <w:numPr>
          <w:ilvl w:val="0"/>
          <w:numId w:val="50"/>
        </w:numPr>
        <w:tabs>
          <w:tab w:pos="659" w:val="left" w:leader="none"/>
          <w:tab w:pos="660" w:val="left" w:leader="none"/>
        </w:tabs>
        <w:spacing w:line="232" w:lineRule="auto" w:before="0" w:after="0"/>
        <w:ind w:left="180" w:right="152" w:firstLine="0"/>
        <w:jc w:val="left"/>
        <w:rPr>
          <w:sz w:val="18"/>
        </w:rPr>
      </w:pPr>
      <w:r>
        <w:rPr>
          <w:sz w:val="18"/>
        </w:rPr>
        <w:t>Quoted retail rates data suggested that the November rate rise had been fully passed through to time deposit rates, but only partially passed through to sight deposit rates. The November rate rise had now been fully passed through to standard variable mortgage rates. The rate on new fixed rate mortgages had risen a little, despite falls in swap rates of the same</w:t>
      </w:r>
      <w:r>
        <w:rPr>
          <w:spacing w:val="-21"/>
          <w:sz w:val="18"/>
        </w:rPr>
        <w:t> </w:t>
      </w:r>
      <w:r>
        <w:rPr>
          <w:sz w:val="18"/>
        </w:rPr>
        <w:t>maturity.</w:t>
      </w:r>
    </w:p>
    <w:p>
      <w:pPr>
        <w:pStyle w:val="BodyText"/>
        <w:rPr>
          <w:sz w:val="17"/>
        </w:rPr>
      </w:pPr>
    </w:p>
    <w:p>
      <w:pPr>
        <w:pStyle w:val="ListParagraph"/>
        <w:numPr>
          <w:ilvl w:val="0"/>
          <w:numId w:val="50"/>
        </w:numPr>
        <w:tabs>
          <w:tab w:pos="659" w:val="left" w:leader="none"/>
          <w:tab w:pos="660" w:val="left" w:leader="none"/>
        </w:tabs>
        <w:spacing w:line="232" w:lineRule="auto" w:before="0" w:after="0"/>
        <w:ind w:left="180" w:right="133" w:firstLine="0"/>
        <w:jc w:val="left"/>
        <w:rPr>
          <w:sz w:val="18"/>
        </w:rPr>
      </w:pPr>
      <w:r>
        <w:rPr>
          <w:sz w:val="18"/>
        </w:rPr>
        <w:t>Implied forward inflation expectations had risen slightly, mainly reflecting the firming of nominal interest rates. Changes in survey-based measures of inflation expectations had been, overall, quite mixed over the month, but had shown a small increase in the general public’s inflation expectations over the next two</w:t>
      </w:r>
      <w:r>
        <w:rPr>
          <w:spacing w:val="-33"/>
          <w:sz w:val="18"/>
        </w:rPr>
        <w:t> </w:t>
      </w:r>
      <w:r>
        <w:rPr>
          <w:sz w:val="18"/>
        </w:rPr>
        <w:t>years.</w:t>
      </w:r>
    </w:p>
    <w:p>
      <w:pPr>
        <w:pStyle w:val="BodyText"/>
        <w:rPr>
          <w:sz w:val="17"/>
        </w:rPr>
      </w:pPr>
    </w:p>
    <w:p>
      <w:pPr>
        <w:pStyle w:val="ListParagraph"/>
        <w:numPr>
          <w:ilvl w:val="0"/>
          <w:numId w:val="50"/>
        </w:numPr>
        <w:tabs>
          <w:tab w:pos="659" w:val="left" w:leader="none"/>
          <w:tab w:pos="660" w:val="left" w:leader="none"/>
        </w:tabs>
        <w:spacing w:line="232" w:lineRule="auto" w:before="0" w:after="0"/>
        <w:ind w:left="180" w:right="38" w:firstLine="0"/>
        <w:jc w:val="left"/>
        <w:rPr>
          <w:sz w:val="18"/>
        </w:rPr>
      </w:pPr>
      <w:r>
        <w:rPr>
          <w:sz w:val="18"/>
        </w:rPr>
        <w:t>Over the month UK equity prices had exhibited volatility, rising before year-end and subsequently falling back. A similar pattern had been observed in other international equity markets. The FTSE All-Share index had been broadly unchanged since the December</w:t>
      </w:r>
      <w:r>
        <w:rPr>
          <w:spacing w:val="-5"/>
          <w:sz w:val="18"/>
        </w:rPr>
        <w:t> </w:t>
      </w:r>
      <w:r>
        <w:rPr>
          <w:sz w:val="18"/>
        </w:rPr>
        <w:t>MPC</w:t>
      </w:r>
      <w:r>
        <w:rPr>
          <w:spacing w:val="-5"/>
          <w:sz w:val="18"/>
        </w:rPr>
        <w:t> </w:t>
      </w:r>
      <w:r>
        <w:rPr>
          <w:sz w:val="18"/>
        </w:rPr>
        <w:t>meeting,</w:t>
      </w:r>
      <w:r>
        <w:rPr>
          <w:spacing w:val="-4"/>
          <w:sz w:val="18"/>
        </w:rPr>
        <w:t> </w:t>
      </w:r>
      <w:r>
        <w:rPr>
          <w:sz w:val="18"/>
        </w:rPr>
        <w:t>but</w:t>
      </w:r>
      <w:r>
        <w:rPr>
          <w:spacing w:val="-5"/>
          <w:sz w:val="18"/>
        </w:rPr>
        <w:t> </w:t>
      </w:r>
      <w:r>
        <w:rPr>
          <w:sz w:val="18"/>
        </w:rPr>
        <w:t>it</w:t>
      </w:r>
      <w:r>
        <w:rPr>
          <w:spacing w:val="-5"/>
          <w:sz w:val="18"/>
        </w:rPr>
        <w:t> </w:t>
      </w:r>
      <w:r>
        <w:rPr>
          <w:sz w:val="18"/>
        </w:rPr>
        <w:t>had</w:t>
      </w:r>
      <w:r>
        <w:rPr>
          <w:spacing w:val="-4"/>
          <w:sz w:val="18"/>
        </w:rPr>
        <w:t> </w:t>
      </w:r>
      <w:r>
        <w:rPr>
          <w:sz w:val="18"/>
        </w:rPr>
        <w:t>been</w:t>
      </w:r>
      <w:r>
        <w:rPr>
          <w:spacing w:val="-5"/>
          <w:sz w:val="18"/>
        </w:rPr>
        <w:t> </w:t>
      </w:r>
      <w:r>
        <w:rPr>
          <w:sz w:val="18"/>
        </w:rPr>
        <w:t>7.5%</w:t>
      </w:r>
      <w:r>
        <w:rPr>
          <w:spacing w:val="-5"/>
          <w:sz w:val="18"/>
        </w:rPr>
        <w:t> </w:t>
      </w:r>
      <w:r>
        <w:rPr>
          <w:sz w:val="18"/>
        </w:rPr>
        <w:t>above</w:t>
      </w:r>
      <w:r>
        <w:rPr>
          <w:spacing w:val="-4"/>
          <w:sz w:val="18"/>
        </w:rPr>
        <w:t> </w:t>
      </w:r>
      <w:r>
        <w:rPr>
          <w:sz w:val="18"/>
        </w:rPr>
        <w:t>the</w:t>
      </w:r>
      <w:r>
        <w:rPr>
          <w:spacing w:val="-5"/>
          <w:sz w:val="18"/>
        </w:rPr>
        <w:t> </w:t>
      </w:r>
      <w:r>
        <w:rPr>
          <w:sz w:val="18"/>
        </w:rPr>
        <w:t>November </w:t>
      </w:r>
      <w:r>
        <w:rPr>
          <w:i/>
          <w:sz w:val="18"/>
        </w:rPr>
        <w:t>Inflation Report</w:t>
      </w:r>
      <w:r>
        <w:rPr>
          <w:i/>
          <w:spacing w:val="-2"/>
          <w:sz w:val="18"/>
        </w:rPr>
        <w:t> </w:t>
      </w:r>
      <w:r>
        <w:rPr>
          <w:sz w:val="18"/>
        </w:rPr>
        <w:t>level.</w:t>
      </w:r>
    </w:p>
    <w:p>
      <w:pPr>
        <w:pStyle w:val="BodyText"/>
        <w:rPr>
          <w:sz w:val="17"/>
        </w:rPr>
      </w:pPr>
    </w:p>
    <w:p>
      <w:pPr>
        <w:pStyle w:val="ListParagraph"/>
        <w:numPr>
          <w:ilvl w:val="0"/>
          <w:numId w:val="50"/>
        </w:numPr>
        <w:tabs>
          <w:tab w:pos="659" w:val="left" w:leader="none"/>
          <w:tab w:pos="660" w:val="left" w:leader="none"/>
        </w:tabs>
        <w:spacing w:line="232" w:lineRule="auto" w:before="0" w:after="0"/>
        <w:ind w:left="180" w:right="38" w:firstLine="0"/>
        <w:jc w:val="left"/>
        <w:rPr>
          <w:sz w:val="18"/>
        </w:rPr>
      </w:pPr>
      <w:r>
        <w:rPr>
          <w:sz w:val="18"/>
        </w:rPr>
        <w:t>The sterling effective exchange rate index had appreciated by 1.3% on the month, and had been 2.6% above the November </w:t>
      </w:r>
      <w:r>
        <w:rPr>
          <w:i/>
          <w:sz w:val="18"/>
        </w:rPr>
        <w:t>Inflation Report </w:t>
      </w:r>
      <w:r>
        <w:rPr>
          <w:sz w:val="18"/>
        </w:rPr>
        <w:t>central projection. Over the month, there had been little change in sterling against the euro, but sterling had appreciated against the dollar and yen. Monetary news had not appeared to explain much of these movements, since global interest rate expectations had for the most part risen in</w:t>
      </w:r>
      <w:r>
        <w:rPr>
          <w:spacing w:val="-21"/>
          <w:sz w:val="18"/>
        </w:rPr>
        <w:t> </w:t>
      </w:r>
      <w:r>
        <w:rPr>
          <w:sz w:val="18"/>
        </w:rPr>
        <w:t>parallel.</w:t>
      </w:r>
    </w:p>
    <w:p>
      <w:pPr>
        <w:pStyle w:val="BodyText"/>
        <w:spacing w:before="2"/>
        <w:rPr>
          <w:sz w:val="20"/>
        </w:rPr>
      </w:pPr>
    </w:p>
    <w:p>
      <w:pPr>
        <w:pStyle w:val="Heading7"/>
        <w:numPr>
          <w:ilvl w:val="0"/>
          <w:numId w:val="51"/>
        </w:numPr>
        <w:tabs>
          <w:tab w:pos="660" w:val="left" w:leader="none"/>
          <w:tab w:pos="661" w:val="left" w:leader="none"/>
        </w:tabs>
        <w:spacing w:line="240" w:lineRule="auto" w:before="1" w:after="0"/>
        <w:ind w:left="660" w:right="0" w:hanging="481"/>
        <w:jc w:val="left"/>
      </w:pPr>
      <w:r>
        <w:rPr>
          <w:color w:val="009391"/>
        </w:rPr>
        <w:t>Demand and</w:t>
      </w:r>
      <w:r>
        <w:rPr>
          <w:color w:val="009391"/>
          <w:spacing w:val="-3"/>
        </w:rPr>
        <w:t> </w:t>
      </w:r>
      <w:r>
        <w:rPr>
          <w:color w:val="009391"/>
        </w:rPr>
        <w:t>output</w:t>
      </w:r>
    </w:p>
    <w:p>
      <w:pPr>
        <w:pStyle w:val="ListParagraph"/>
        <w:numPr>
          <w:ilvl w:val="0"/>
          <w:numId w:val="50"/>
        </w:numPr>
        <w:tabs>
          <w:tab w:pos="659" w:val="left" w:leader="none"/>
          <w:tab w:pos="660" w:val="left" w:leader="none"/>
        </w:tabs>
        <w:spacing w:line="232" w:lineRule="auto" w:before="109" w:after="0"/>
        <w:ind w:left="180" w:right="57" w:firstLine="0"/>
        <w:jc w:val="left"/>
        <w:rPr>
          <w:sz w:val="18"/>
        </w:rPr>
      </w:pPr>
      <w:r>
        <w:rPr>
          <w:sz w:val="18"/>
        </w:rPr>
        <w:t>Quarterly GDP growth at constant market prices had been revised down by 0.1 percentage points in the third quarter to 0.8%. Revisions to previous quarters had reduced growth in 1998 Q4, but stronger growth in the first half of 1999 had left the level of GDP in Q3 little changed.  Domestic demand growth had been revised down by 0.2 percentage points to 0.5% in Q3. This had been partly offset by the contribution made by net trade, which had been revised up from 0.2 to 0.3 percentage points. GDP in Q3 had been 1.9% higher than the same quarter a year earlier, revised up from 1.8%. Revisions to previous quarters had changed the pattern of annual GDP growth slightly, leaving the trough in 1998 Q4 and 1999 Q1</w:t>
      </w:r>
      <w:r>
        <w:rPr>
          <w:spacing w:val="-3"/>
          <w:sz w:val="18"/>
        </w:rPr>
        <w:t> </w:t>
      </w:r>
      <w:r>
        <w:rPr>
          <w:sz w:val="18"/>
        </w:rPr>
        <w:t>shallower.</w:t>
      </w:r>
    </w:p>
    <w:p>
      <w:pPr>
        <w:pStyle w:val="BodyText"/>
        <w:spacing w:before="7"/>
        <w:rPr>
          <w:sz w:val="16"/>
        </w:rPr>
      </w:pPr>
    </w:p>
    <w:p>
      <w:pPr>
        <w:pStyle w:val="ListParagraph"/>
        <w:numPr>
          <w:ilvl w:val="0"/>
          <w:numId w:val="50"/>
        </w:numPr>
        <w:tabs>
          <w:tab w:pos="659" w:val="left" w:leader="none"/>
          <w:tab w:pos="660" w:val="left" w:leader="none"/>
        </w:tabs>
        <w:spacing w:line="232" w:lineRule="auto" w:before="0" w:after="0"/>
        <w:ind w:left="180" w:right="47" w:firstLine="0"/>
        <w:jc w:val="left"/>
        <w:rPr>
          <w:sz w:val="18"/>
        </w:rPr>
      </w:pPr>
      <w:r>
        <w:rPr>
          <w:sz w:val="18"/>
        </w:rPr>
        <w:t>Quarterly growth of household consumption expenditure (including non-profit institutions serving households) had been unchanged at 0.6% in Q3. However, revisions to previous quarters back to 1998 Q1 had reduced the level of consumption in Q3 by 0.6%. Much of the downward revision in 1999 Q1 and Q2 had reflected changes in the seasonal pattern of expenditure on cars (which had been significantly affected by the introduction of the new registration month in March 1999). Quarterly growth in investment in Q3 had been revised down by 0.1 percentage points to 0.1%, but upward revisions to previous quarters, mainly to investment by the ‘other services’ sector, had increased the level of investment in Q3. Growth in investment in the services sector had slowed during 1999, and manufacturing investment continued to fall in Q3. Government consumption expenditure growth had been revised</w:t>
      </w:r>
      <w:r>
        <w:rPr>
          <w:spacing w:val="-5"/>
          <w:sz w:val="18"/>
        </w:rPr>
        <w:t> </w:t>
      </w:r>
      <w:r>
        <w:rPr>
          <w:sz w:val="18"/>
        </w:rPr>
        <w:t>upwards</w:t>
      </w:r>
      <w:r>
        <w:rPr>
          <w:spacing w:val="-5"/>
          <w:sz w:val="18"/>
        </w:rPr>
        <w:t> </w:t>
      </w:r>
      <w:r>
        <w:rPr>
          <w:sz w:val="18"/>
        </w:rPr>
        <w:t>to</w:t>
      </w:r>
      <w:r>
        <w:rPr>
          <w:spacing w:val="-5"/>
          <w:sz w:val="18"/>
        </w:rPr>
        <w:t> </w:t>
      </w:r>
      <w:r>
        <w:rPr>
          <w:sz w:val="18"/>
        </w:rPr>
        <w:t>0.7%</w:t>
      </w:r>
      <w:r>
        <w:rPr>
          <w:spacing w:val="-5"/>
          <w:sz w:val="18"/>
        </w:rPr>
        <w:t> </w:t>
      </w:r>
      <w:r>
        <w:rPr>
          <w:sz w:val="18"/>
        </w:rPr>
        <w:t>in</w:t>
      </w:r>
      <w:r>
        <w:rPr>
          <w:spacing w:val="-5"/>
          <w:sz w:val="18"/>
        </w:rPr>
        <w:t> </w:t>
      </w:r>
      <w:r>
        <w:rPr>
          <w:sz w:val="18"/>
        </w:rPr>
        <w:t>Q3,</w:t>
      </w:r>
      <w:r>
        <w:rPr>
          <w:spacing w:val="-5"/>
          <w:sz w:val="18"/>
        </w:rPr>
        <w:t> </w:t>
      </w:r>
      <w:r>
        <w:rPr>
          <w:sz w:val="18"/>
        </w:rPr>
        <w:t>but</w:t>
      </w:r>
      <w:r>
        <w:rPr>
          <w:spacing w:val="-5"/>
          <w:sz w:val="18"/>
        </w:rPr>
        <w:t> </w:t>
      </w:r>
      <w:r>
        <w:rPr>
          <w:sz w:val="18"/>
        </w:rPr>
        <w:t>downward</w:t>
      </w:r>
      <w:r>
        <w:rPr>
          <w:spacing w:val="-5"/>
          <w:sz w:val="18"/>
        </w:rPr>
        <w:t> </w:t>
      </w:r>
      <w:r>
        <w:rPr>
          <w:sz w:val="18"/>
        </w:rPr>
        <w:t>revisions</w:t>
      </w:r>
      <w:r>
        <w:rPr>
          <w:spacing w:val="-5"/>
          <w:sz w:val="18"/>
        </w:rPr>
        <w:t> </w:t>
      </w:r>
      <w:r>
        <w:rPr>
          <w:sz w:val="18"/>
        </w:rPr>
        <w:t>to</w:t>
      </w:r>
      <w:r>
        <w:rPr>
          <w:spacing w:val="-5"/>
          <w:sz w:val="18"/>
        </w:rPr>
        <w:t> </w:t>
      </w:r>
      <w:r>
        <w:rPr>
          <w:sz w:val="18"/>
        </w:rPr>
        <w:t>previous quarters had left the level 0.3%</w:t>
      </w:r>
      <w:r>
        <w:rPr>
          <w:spacing w:val="-9"/>
          <w:sz w:val="18"/>
        </w:rPr>
        <w:t> </w:t>
      </w:r>
      <w:r>
        <w:rPr>
          <w:sz w:val="18"/>
        </w:rPr>
        <w:t>lower.</w:t>
      </w:r>
    </w:p>
    <w:p>
      <w:pPr>
        <w:pStyle w:val="BodyText"/>
        <w:spacing w:before="3"/>
        <w:rPr>
          <w:sz w:val="16"/>
        </w:rPr>
      </w:pPr>
    </w:p>
    <w:p>
      <w:pPr>
        <w:pStyle w:val="ListParagraph"/>
        <w:numPr>
          <w:ilvl w:val="0"/>
          <w:numId w:val="50"/>
        </w:numPr>
        <w:tabs>
          <w:tab w:pos="659" w:val="left" w:leader="none"/>
          <w:tab w:pos="660" w:val="left" w:leader="none"/>
        </w:tabs>
        <w:spacing w:line="232" w:lineRule="auto" w:before="0" w:after="0"/>
        <w:ind w:left="180" w:right="38" w:firstLine="0"/>
        <w:jc w:val="left"/>
        <w:rPr>
          <w:sz w:val="18"/>
        </w:rPr>
      </w:pPr>
      <w:r>
        <w:rPr>
          <w:sz w:val="18"/>
        </w:rPr>
        <w:t>Final domestic demand in Q3 had been slightly weaker than domestic</w:t>
      </w:r>
      <w:r>
        <w:rPr>
          <w:spacing w:val="-7"/>
          <w:sz w:val="18"/>
        </w:rPr>
        <w:t> </w:t>
      </w:r>
      <w:r>
        <w:rPr>
          <w:sz w:val="18"/>
        </w:rPr>
        <w:t>demand</w:t>
      </w:r>
      <w:r>
        <w:rPr>
          <w:spacing w:val="-6"/>
          <w:sz w:val="18"/>
        </w:rPr>
        <w:t> </w:t>
      </w:r>
      <w:r>
        <w:rPr>
          <w:sz w:val="18"/>
        </w:rPr>
        <w:t>growth</w:t>
      </w:r>
      <w:r>
        <w:rPr>
          <w:spacing w:val="-6"/>
          <w:sz w:val="18"/>
        </w:rPr>
        <w:t> </w:t>
      </w:r>
      <w:r>
        <w:rPr>
          <w:sz w:val="18"/>
        </w:rPr>
        <w:t>because</w:t>
      </w:r>
      <w:r>
        <w:rPr>
          <w:spacing w:val="-6"/>
          <w:sz w:val="18"/>
        </w:rPr>
        <w:t> </w:t>
      </w:r>
      <w:r>
        <w:rPr>
          <w:sz w:val="18"/>
        </w:rPr>
        <w:t>the</w:t>
      </w:r>
      <w:r>
        <w:rPr>
          <w:spacing w:val="-7"/>
          <w:sz w:val="18"/>
        </w:rPr>
        <w:t> </w:t>
      </w:r>
      <w:r>
        <w:rPr>
          <w:sz w:val="18"/>
        </w:rPr>
        <w:t>change</w:t>
      </w:r>
      <w:r>
        <w:rPr>
          <w:spacing w:val="-6"/>
          <w:sz w:val="18"/>
        </w:rPr>
        <w:t> </w:t>
      </w:r>
      <w:r>
        <w:rPr>
          <w:sz w:val="18"/>
        </w:rPr>
        <w:t>in</w:t>
      </w:r>
      <w:r>
        <w:rPr>
          <w:spacing w:val="-6"/>
          <w:sz w:val="18"/>
        </w:rPr>
        <w:t> </w:t>
      </w:r>
      <w:r>
        <w:rPr>
          <w:sz w:val="18"/>
        </w:rPr>
        <w:t>inventories</w:t>
      </w:r>
      <w:r>
        <w:rPr>
          <w:spacing w:val="-6"/>
          <w:sz w:val="18"/>
        </w:rPr>
        <w:t> </w:t>
      </w:r>
      <w:r>
        <w:rPr>
          <w:sz w:val="18"/>
        </w:rPr>
        <w:t>(revised up slightly) had contributed 0.1 percentage points to quarterly GDP growth. Revisions to previous quarters reduced the amount of destocking in 1998. Excluding the alignment</w:t>
      </w:r>
      <w:r>
        <w:rPr>
          <w:spacing w:val="-18"/>
          <w:sz w:val="18"/>
        </w:rPr>
        <w:t> </w:t>
      </w:r>
      <w:r>
        <w:rPr>
          <w:sz w:val="18"/>
        </w:rPr>
        <w:t>adjustment,</w:t>
      </w:r>
    </w:p>
    <w:p>
      <w:pPr>
        <w:pStyle w:val="BodyText"/>
        <w:spacing w:before="7"/>
        <w:rPr>
          <w:sz w:val="19"/>
        </w:rPr>
      </w:pPr>
      <w:r>
        <w:rPr/>
        <w:br w:type="column"/>
      </w:r>
      <w:r>
        <w:rPr>
          <w:sz w:val="19"/>
        </w:rPr>
      </w:r>
    </w:p>
    <w:p>
      <w:pPr>
        <w:pStyle w:val="BodyText"/>
        <w:spacing w:line="232" w:lineRule="auto" w:before="1"/>
        <w:ind w:left="180" w:right="165"/>
      </w:pPr>
      <w:r>
        <w:rPr/>
        <w:t>inventories had risen by £230 million in Q3. The revisions made little difference to the pattern of inventories as a proportion of output.</w:t>
      </w:r>
    </w:p>
    <w:p>
      <w:pPr>
        <w:pStyle w:val="BodyText"/>
        <w:spacing w:before="2"/>
        <w:rPr>
          <w:sz w:val="17"/>
        </w:rPr>
      </w:pPr>
    </w:p>
    <w:p>
      <w:pPr>
        <w:pStyle w:val="ListParagraph"/>
        <w:numPr>
          <w:ilvl w:val="0"/>
          <w:numId w:val="50"/>
        </w:numPr>
        <w:tabs>
          <w:tab w:pos="659" w:val="left" w:leader="none"/>
          <w:tab w:pos="660" w:val="left" w:leader="none"/>
        </w:tabs>
        <w:spacing w:line="232" w:lineRule="auto" w:before="0" w:after="0"/>
        <w:ind w:left="180" w:right="276" w:firstLine="0"/>
        <w:jc w:val="left"/>
        <w:rPr>
          <w:sz w:val="18"/>
        </w:rPr>
      </w:pPr>
      <w:r>
        <w:rPr>
          <w:sz w:val="18"/>
        </w:rPr>
        <w:t>The deficit on trade in goods and services had narrowed in Q3 to £2.9 billion. Revisions to 1998 data had reduced the overall current</w:t>
      </w:r>
      <w:r>
        <w:rPr>
          <w:spacing w:val="-5"/>
          <w:sz w:val="18"/>
        </w:rPr>
        <w:t> </w:t>
      </w:r>
      <w:r>
        <w:rPr>
          <w:sz w:val="18"/>
        </w:rPr>
        <w:t>account</w:t>
      </w:r>
      <w:r>
        <w:rPr>
          <w:spacing w:val="-4"/>
          <w:sz w:val="18"/>
        </w:rPr>
        <w:t> </w:t>
      </w:r>
      <w:r>
        <w:rPr>
          <w:sz w:val="18"/>
        </w:rPr>
        <w:t>balance</w:t>
      </w:r>
      <w:r>
        <w:rPr>
          <w:spacing w:val="-4"/>
          <w:sz w:val="18"/>
        </w:rPr>
        <w:t> </w:t>
      </w:r>
      <w:r>
        <w:rPr>
          <w:sz w:val="18"/>
        </w:rPr>
        <w:t>for</w:t>
      </w:r>
      <w:r>
        <w:rPr>
          <w:spacing w:val="-5"/>
          <w:sz w:val="18"/>
        </w:rPr>
        <w:t> </w:t>
      </w:r>
      <w:r>
        <w:rPr>
          <w:sz w:val="18"/>
        </w:rPr>
        <w:t>the</w:t>
      </w:r>
      <w:r>
        <w:rPr>
          <w:spacing w:val="-4"/>
          <w:sz w:val="18"/>
        </w:rPr>
        <w:t> </w:t>
      </w:r>
      <w:r>
        <w:rPr>
          <w:sz w:val="18"/>
        </w:rPr>
        <w:t>year</w:t>
      </w:r>
      <w:r>
        <w:rPr>
          <w:spacing w:val="-4"/>
          <w:sz w:val="18"/>
        </w:rPr>
        <w:t> </w:t>
      </w:r>
      <w:r>
        <w:rPr>
          <w:sz w:val="18"/>
        </w:rPr>
        <w:t>to</w:t>
      </w:r>
      <w:r>
        <w:rPr>
          <w:spacing w:val="-5"/>
          <w:sz w:val="18"/>
        </w:rPr>
        <w:t> </w:t>
      </w:r>
      <w:r>
        <w:rPr>
          <w:sz w:val="18"/>
        </w:rPr>
        <w:t>a</w:t>
      </w:r>
      <w:r>
        <w:rPr>
          <w:spacing w:val="-4"/>
          <w:sz w:val="18"/>
        </w:rPr>
        <w:t> </w:t>
      </w:r>
      <w:r>
        <w:rPr>
          <w:sz w:val="18"/>
        </w:rPr>
        <w:t>£0.5</w:t>
      </w:r>
      <w:r>
        <w:rPr>
          <w:spacing w:val="-4"/>
          <w:sz w:val="18"/>
        </w:rPr>
        <w:t> </w:t>
      </w:r>
      <w:r>
        <w:rPr>
          <w:sz w:val="18"/>
        </w:rPr>
        <w:t>billion</w:t>
      </w:r>
      <w:r>
        <w:rPr>
          <w:spacing w:val="-5"/>
          <w:sz w:val="18"/>
        </w:rPr>
        <w:t> </w:t>
      </w:r>
      <w:r>
        <w:rPr>
          <w:sz w:val="18"/>
        </w:rPr>
        <w:t>deficit</w:t>
      </w:r>
      <w:r>
        <w:rPr>
          <w:spacing w:val="-4"/>
          <w:sz w:val="18"/>
        </w:rPr>
        <w:t> </w:t>
      </w:r>
      <w:r>
        <w:rPr>
          <w:sz w:val="18"/>
        </w:rPr>
        <w:t>from</w:t>
      </w:r>
      <w:r>
        <w:rPr>
          <w:spacing w:val="-4"/>
          <w:sz w:val="18"/>
        </w:rPr>
        <w:t> </w:t>
      </w:r>
      <w:r>
        <w:rPr>
          <w:sz w:val="18"/>
        </w:rPr>
        <w:t>a surplus of £0.1 billion. Both import and export volumes growth had been strong in Q3 at 4.5% and 6.0% respectively. Monthly goods data had shown that export volumes had fallen 2.4% in October, while import volumes had remained high. Exports to non-EU countries had bounced back slightly in</w:t>
      </w:r>
      <w:r>
        <w:rPr>
          <w:spacing w:val="-21"/>
          <w:sz w:val="18"/>
        </w:rPr>
        <w:t> </w:t>
      </w:r>
      <w:r>
        <w:rPr>
          <w:sz w:val="18"/>
        </w:rPr>
        <w:t>November.</w:t>
      </w:r>
    </w:p>
    <w:p>
      <w:pPr>
        <w:pStyle w:val="BodyText"/>
        <w:spacing w:before="9"/>
        <w:rPr>
          <w:sz w:val="16"/>
        </w:rPr>
      </w:pPr>
    </w:p>
    <w:p>
      <w:pPr>
        <w:pStyle w:val="ListParagraph"/>
        <w:numPr>
          <w:ilvl w:val="0"/>
          <w:numId w:val="50"/>
        </w:numPr>
        <w:tabs>
          <w:tab w:pos="659" w:val="left" w:leader="none"/>
          <w:tab w:pos="660" w:val="left" w:leader="none"/>
        </w:tabs>
        <w:spacing w:line="232" w:lineRule="auto" w:before="1" w:after="0"/>
        <w:ind w:left="180" w:right="245" w:firstLine="0"/>
        <w:jc w:val="left"/>
        <w:rPr>
          <w:sz w:val="18"/>
        </w:rPr>
      </w:pPr>
      <w:r>
        <w:rPr>
          <w:sz w:val="18"/>
        </w:rPr>
        <w:t>Within the household sector, real post tax income had fallen by 2.0% in Q3, but there had been considerable volatility in recent quarters reflecting sharp changes in dividend income. The household saving ratio had fallen to 4.5% as a result of the fall in income. Growth in the gross operating surplus of corporations had been revised up in Q3 to 3.5%. The level of the gross operating surplus in Q3 had been revised up by 5.7%. Net borrowing by P</w:t>
      </w:r>
      <w:r>
        <w:rPr>
          <w:sz w:val="14"/>
        </w:rPr>
        <w:t>NFC</w:t>
      </w:r>
      <w:r>
        <w:rPr>
          <w:sz w:val="18"/>
        </w:rPr>
        <w:t>s had increased as a percentage of GDP in Q3 compared with a year</w:t>
      </w:r>
      <w:r>
        <w:rPr>
          <w:spacing w:val="-3"/>
          <w:sz w:val="18"/>
        </w:rPr>
        <w:t> </w:t>
      </w:r>
      <w:r>
        <w:rPr>
          <w:sz w:val="18"/>
        </w:rPr>
        <w:t>ago.</w:t>
      </w:r>
    </w:p>
    <w:p>
      <w:pPr>
        <w:pStyle w:val="BodyText"/>
        <w:spacing w:before="9"/>
        <w:rPr>
          <w:sz w:val="16"/>
        </w:rPr>
      </w:pPr>
    </w:p>
    <w:p>
      <w:pPr>
        <w:pStyle w:val="ListParagraph"/>
        <w:numPr>
          <w:ilvl w:val="0"/>
          <w:numId w:val="50"/>
        </w:numPr>
        <w:tabs>
          <w:tab w:pos="659" w:val="left" w:leader="none"/>
          <w:tab w:pos="660" w:val="left" w:leader="none"/>
        </w:tabs>
        <w:spacing w:line="232" w:lineRule="auto" w:before="0" w:after="0"/>
        <w:ind w:left="180" w:right="160" w:firstLine="0"/>
        <w:jc w:val="left"/>
        <w:rPr>
          <w:sz w:val="18"/>
        </w:rPr>
      </w:pPr>
      <w:r>
        <w:rPr>
          <w:sz w:val="18"/>
        </w:rPr>
        <w:t>Retail sales volume growth had increased by 0.2% in November, following an upwardly-revised 0.8% rise in October. The three-month on three-month growth rate had continued to slow. The</w:t>
      </w:r>
      <w:r>
        <w:rPr>
          <w:spacing w:val="-6"/>
          <w:sz w:val="18"/>
        </w:rPr>
        <w:t> </w:t>
      </w:r>
      <w:r>
        <w:rPr>
          <w:sz w:val="18"/>
        </w:rPr>
        <w:t>CBI</w:t>
      </w:r>
      <w:r>
        <w:rPr>
          <w:spacing w:val="-5"/>
          <w:sz w:val="18"/>
        </w:rPr>
        <w:t> </w:t>
      </w:r>
      <w:r>
        <w:rPr>
          <w:sz w:val="18"/>
        </w:rPr>
        <w:t>distributive</w:t>
      </w:r>
      <w:r>
        <w:rPr>
          <w:spacing w:val="-5"/>
          <w:sz w:val="18"/>
        </w:rPr>
        <w:t> </w:t>
      </w:r>
      <w:r>
        <w:rPr>
          <w:sz w:val="18"/>
        </w:rPr>
        <w:t>trades</w:t>
      </w:r>
      <w:r>
        <w:rPr>
          <w:spacing w:val="-5"/>
          <w:sz w:val="18"/>
        </w:rPr>
        <w:t> </w:t>
      </w:r>
      <w:r>
        <w:rPr>
          <w:sz w:val="18"/>
        </w:rPr>
        <w:t>survey</w:t>
      </w:r>
      <w:r>
        <w:rPr>
          <w:spacing w:val="-5"/>
          <w:sz w:val="18"/>
        </w:rPr>
        <w:t> </w:t>
      </w:r>
      <w:r>
        <w:rPr>
          <w:sz w:val="18"/>
        </w:rPr>
        <w:t>had</w:t>
      </w:r>
      <w:r>
        <w:rPr>
          <w:spacing w:val="-5"/>
          <w:sz w:val="18"/>
        </w:rPr>
        <w:t> </w:t>
      </w:r>
      <w:r>
        <w:rPr>
          <w:sz w:val="18"/>
        </w:rPr>
        <w:t>shown</w:t>
      </w:r>
      <w:r>
        <w:rPr>
          <w:spacing w:val="-6"/>
          <w:sz w:val="18"/>
        </w:rPr>
        <w:t> </w:t>
      </w:r>
      <w:r>
        <w:rPr>
          <w:sz w:val="18"/>
        </w:rPr>
        <w:t>a</w:t>
      </w:r>
      <w:r>
        <w:rPr>
          <w:spacing w:val="-5"/>
          <w:sz w:val="18"/>
        </w:rPr>
        <w:t> </w:t>
      </w:r>
      <w:r>
        <w:rPr>
          <w:sz w:val="18"/>
        </w:rPr>
        <w:t>positive</w:t>
      </w:r>
      <w:r>
        <w:rPr>
          <w:spacing w:val="-5"/>
          <w:sz w:val="18"/>
        </w:rPr>
        <w:t> </w:t>
      </w:r>
      <w:r>
        <w:rPr>
          <w:sz w:val="18"/>
        </w:rPr>
        <w:t>net</w:t>
      </w:r>
      <w:r>
        <w:rPr>
          <w:spacing w:val="-5"/>
          <w:sz w:val="18"/>
        </w:rPr>
        <w:t> </w:t>
      </w:r>
      <w:r>
        <w:rPr>
          <w:sz w:val="18"/>
        </w:rPr>
        <w:t>balance of 41% of retailers reporting increased sales volumes in December, and a balance of 21% expecting volumes to rise in January. Consumer confidence remained high: the GfK measure rose</w:t>
      </w:r>
      <w:r>
        <w:rPr>
          <w:spacing w:val="-30"/>
          <w:sz w:val="18"/>
        </w:rPr>
        <w:t> </w:t>
      </w:r>
      <w:r>
        <w:rPr>
          <w:sz w:val="18"/>
        </w:rPr>
        <w:t>by</w:t>
      </w:r>
    </w:p>
    <w:p>
      <w:pPr>
        <w:pStyle w:val="BodyText"/>
        <w:spacing w:line="232" w:lineRule="auto"/>
        <w:ind w:left="180" w:right="156"/>
      </w:pPr>
      <w:r>
        <w:rPr/>
        <w:t>3 points to a net balance of +1.7 in December. Figures from the Society of Motor Manufacturers and Traders had shown total new car registrations in December 12.2% up on a year ago, although this comparison had been affected by the new registration month.</w:t>
      </w:r>
    </w:p>
    <w:p>
      <w:pPr>
        <w:pStyle w:val="BodyText"/>
        <w:spacing w:line="232" w:lineRule="auto"/>
        <w:ind w:left="180" w:right="391"/>
      </w:pPr>
      <w:r>
        <w:rPr/>
        <w:t>Registrations for the whole of 1999 had been 2.2% lower than in 1998.</w:t>
      </w:r>
    </w:p>
    <w:p>
      <w:pPr>
        <w:pStyle w:val="BodyText"/>
        <w:spacing w:before="5"/>
        <w:rPr>
          <w:sz w:val="16"/>
        </w:rPr>
      </w:pPr>
    </w:p>
    <w:p>
      <w:pPr>
        <w:pStyle w:val="ListParagraph"/>
        <w:numPr>
          <w:ilvl w:val="0"/>
          <w:numId w:val="52"/>
        </w:numPr>
        <w:tabs>
          <w:tab w:pos="659" w:val="left" w:leader="none"/>
          <w:tab w:pos="660" w:val="left" w:leader="none"/>
        </w:tabs>
        <w:spacing w:line="232" w:lineRule="auto" w:before="1" w:after="0"/>
        <w:ind w:left="180" w:right="185" w:firstLine="0"/>
        <w:jc w:val="left"/>
        <w:rPr>
          <w:sz w:val="18"/>
        </w:rPr>
      </w:pPr>
      <w:r>
        <w:rPr>
          <w:sz w:val="18"/>
        </w:rPr>
        <w:t>The Nationwide measure of annual house price inflation had remained unchanged in December at 13.3%. The Halifax measure had increased to 13.6%, the highest annual growth rate since August 1989. The monthly growth rate of the Halifax index had been 2.6% in December, but this followed a fall in November. Housing transactions, measured by the number of particulars delivered, had increased in December, but remained well below the levels seen in the late 1980s. Data from the Royal Institute of Chartered</w:t>
      </w:r>
      <w:r>
        <w:rPr>
          <w:spacing w:val="-6"/>
          <w:sz w:val="18"/>
        </w:rPr>
        <w:t> </w:t>
      </w:r>
      <w:r>
        <w:rPr>
          <w:sz w:val="18"/>
        </w:rPr>
        <w:t>Surveyors</w:t>
      </w:r>
      <w:r>
        <w:rPr>
          <w:spacing w:val="-6"/>
          <w:sz w:val="18"/>
        </w:rPr>
        <w:t> </w:t>
      </w:r>
      <w:r>
        <w:rPr>
          <w:sz w:val="18"/>
        </w:rPr>
        <w:t>had</w:t>
      </w:r>
      <w:r>
        <w:rPr>
          <w:spacing w:val="-6"/>
          <w:sz w:val="18"/>
        </w:rPr>
        <w:t> </w:t>
      </w:r>
      <w:r>
        <w:rPr>
          <w:sz w:val="18"/>
        </w:rPr>
        <w:t>shown</w:t>
      </w:r>
      <w:r>
        <w:rPr>
          <w:spacing w:val="-5"/>
          <w:sz w:val="18"/>
        </w:rPr>
        <w:t> </w:t>
      </w:r>
      <w:r>
        <w:rPr>
          <w:sz w:val="18"/>
        </w:rPr>
        <w:t>a</w:t>
      </w:r>
      <w:r>
        <w:rPr>
          <w:spacing w:val="-6"/>
          <w:sz w:val="18"/>
        </w:rPr>
        <w:t> </w:t>
      </w:r>
      <w:r>
        <w:rPr>
          <w:sz w:val="18"/>
        </w:rPr>
        <w:t>fall</w:t>
      </w:r>
      <w:r>
        <w:rPr>
          <w:spacing w:val="-6"/>
          <w:sz w:val="18"/>
        </w:rPr>
        <w:t> </w:t>
      </w:r>
      <w:r>
        <w:rPr>
          <w:sz w:val="18"/>
        </w:rPr>
        <w:t>in</w:t>
      </w:r>
      <w:r>
        <w:rPr>
          <w:spacing w:val="-6"/>
          <w:sz w:val="18"/>
        </w:rPr>
        <w:t> </w:t>
      </w:r>
      <w:r>
        <w:rPr>
          <w:sz w:val="18"/>
        </w:rPr>
        <w:t>the</w:t>
      </w:r>
      <w:r>
        <w:rPr>
          <w:spacing w:val="-5"/>
          <w:sz w:val="18"/>
        </w:rPr>
        <w:t> </w:t>
      </w:r>
      <w:r>
        <w:rPr>
          <w:sz w:val="18"/>
        </w:rPr>
        <w:t>seasonally-adjusted</w:t>
      </w:r>
      <w:r>
        <w:rPr>
          <w:spacing w:val="-6"/>
          <w:sz w:val="18"/>
        </w:rPr>
        <w:t> </w:t>
      </w:r>
      <w:r>
        <w:rPr>
          <w:sz w:val="18"/>
        </w:rPr>
        <w:t>net balance of estate agents reporting price rises in the three months to December. The sales balance had indicated a fall in the number of transactions.</w:t>
      </w:r>
    </w:p>
    <w:p>
      <w:pPr>
        <w:pStyle w:val="BodyText"/>
        <w:spacing w:before="6"/>
        <w:rPr>
          <w:sz w:val="16"/>
        </w:rPr>
      </w:pPr>
    </w:p>
    <w:p>
      <w:pPr>
        <w:pStyle w:val="ListParagraph"/>
        <w:numPr>
          <w:ilvl w:val="0"/>
          <w:numId w:val="52"/>
        </w:numPr>
        <w:tabs>
          <w:tab w:pos="660" w:val="left" w:leader="none"/>
        </w:tabs>
        <w:spacing w:line="232" w:lineRule="auto" w:before="0" w:after="0"/>
        <w:ind w:left="180" w:right="300" w:firstLine="0"/>
        <w:jc w:val="both"/>
        <w:rPr>
          <w:sz w:val="18"/>
        </w:rPr>
      </w:pPr>
      <w:r>
        <w:rPr>
          <w:sz w:val="18"/>
        </w:rPr>
        <w:t>Data on economic activity in the fourth quarter of 1999 had remained strong in general. The Chartered Institute of Purchasing and Supply (C</w:t>
      </w:r>
      <w:r>
        <w:rPr>
          <w:sz w:val="14"/>
        </w:rPr>
        <w:t>IPS</w:t>
      </w:r>
      <w:r>
        <w:rPr>
          <w:sz w:val="18"/>
        </w:rPr>
        <w:t>) manufacturing activity index had increased</w:t>
      </w:r>
      <w:r>
        <w:rPr>
          <w:spacing w:val="-32"/>
          <w:sz w:val="18"/>
        </w:rPr>
        <w:t> </w:t>
      </w:r>
      <w:r>
        <w:rPr>
          <w:sz w:val="18"/>
        </w:rPr>
        <w:t>to</w:t>
      </w:r>
    </w:p>
    <w:p>
      <w:pPr>
        <w:pStyle w:val="BodyText"/>
        <w:spacing w:line="232" w:lineRule="auto"/>
        <w:ind w:left="180" w:right="162"/>
      </w:pPr>
      <w:r>
        <w:rPr/>
        <w:t>56.1 in December, from 54.7 in the previous month, although the output balance had been broadly flat over the last six months. The CBI monthly industrial trends survey showed a slight strengthening of orders and output expectations. The C</w:t>
      </w:r>
      <w:r>
        <w:rPr>
          <w:sz w:val="14"/>
        </w:rPr>
        <w:t>IPS </w:t>
      </w:r>
      <w:r>
        <w:rPr/>
        <w:t>construction index rose to 58.2 in December, and although the C</w:t>
      </w:r>
      <w:r>
        <w:rPr>
          <w:sz w:val="14"/>
        </w:rPr>
        <w:t>IPS </w:t>
      </w:r>
      <w:r>
        <w:rPr/>
        <w:t>services index had fallen to 58.3 in December it continued to indicate</w:t>
      </w:r>
      <w:r>
        <w:rPr>
          <w:spacing w:val="-24"/>
        </w:rPr>
        <w:t> </w:t>
      </w:r>
      <w:r>
        <w:rPr/>
        <w:t>growth.</w:t>
      </w:r>
    </w:p>
    <w:p>
      <w:pPr>
        <w:pStyle w:val="BodyText"/>
        <w:spacing w:before="1"/>
        <w:rPr>
          <w:sz w:val="20"/>
        </w:rPr>
      </w:pPr>
    </w:p>
    <w:p>
      <w:pPr>
        <w:pStyle w:val="Heading7"/>
        <w:numPr>
          <w:ilvl w:val="0"/>
          <w:numId w:val="51"/>
        </w:numPr>
        <w:tabs>
          <w:tab w:pos="659" w:val="left" w:leader="none"/>
          <w:tab w:pos="661" w:val="left" w:leader="none"/>
        </w:tabs>
        <w:spacing w:line="240" w:lineRule="auto" w:before="0" w:after="0"/>
        <w:ind w:left="660" w:right="0" w:hanging="481"/>
        <w:jc w:val="left"/>
      </w:pPr>
      <w:r>
        <w:rPr>
          <w:color w:val="009391"/>
        </w:rPr>
        <w:t>The labour</w:t>
      </w:r>
      <w:r>
        <w:rPr>
          <w:color w:val="009391"/>
          <w:spacing w:val="-3"/>
        </w:rPr>
        <w:t> </w:t>
      </w:r>
      <w:r>
        <w:rPr>
          <w:color w:val="009391"/>
        </w:rPr>
        <w:t>market</w:t>
      </w:r>
    </w:p>
    <w:p>
      <w:pPr>
        <w:pStyle w:val="ListParagraph"/>
        <w:numPr>
          <w:ilvl w:val="0"/>
          <w:numId w:val="52"/>
        </w:numPr>
        <w:tabs>
          <w:tab w:pos="659" w:val="left" w:leader="none"/>
          <w:tab w:pos="660" w:val="left" w:leader="none"/>
        </w:tabs>
        <w:spacing w:line="232" w:lineRule="auto" w:before="110" w:after="0"/>
        <w:ind w:left="180" w:right="215" w:firstLine="0"/>
        <w:jc w:val="left"/>
        <w:rPr>
          <w:sz w:val="18"/>
        </w:rPr>
      </w:pPr>
      <w:r>
        <w:rPr>
          <w:sz w:val="18"/>
        </w:rPr>
        <w:t>Employment growth had been more subdued than it had seemed from the previous two months’ data. LFS employment had increased by 66,000 (0.2%) in the three months to October compared to the previous three months. Workforce jobs had fallen by 48,000 during Q3. Both the slower LFS employment growth (by comparison with previous, overlapping, LFS data) and the decline in workforce jobs had been driven by a large fall</w:t>
      </w:r>
      <w:r>
        <w:rPr>
          <w:spacing w:val="-28"/>
          <w:sz w:val="18"/>
        </w:rPr>
        <w:t> </w:t>
      </w:r>
      <w:r>
        <w:rPr>
          <w:sz w:val="18"/>
        </w:rPr>
        <w:t>in</w:t>
      </w:r>
    </w:p>
    <w:p>
      <w:pPr>
        <w:pStyle w:val="BodyText"/>
        <w:spacing w:line="232" w:lineRule="auto"/>
        <w:ind w:left="180" w:right="165"/>
      </w:pPr>
      <w:r>
        <w:rPr/>
        <w:t>self-employment. Workforce jobs, however, were generally more volatile than LFS employment. Most of the increase in LFS employment had been in full-time employment, which rose by</w:t>
      </w:r>
    </w:p>
    <w:p>
      <w:pPr>
        <w:spacing w:after="0" w:line="232" w:lineRule="auto"/>
        <w:sectPr>
          <w:type w:val="continuous"/>
          <w:pgSz w:w="11900" w:h="16840"/>
          <w:pgMar w:top="1220" w:bottom="280" w:left="620" w:right="640"/>
          <w:cols w:num="2" w:equalWidth="0">
            <w:col w:w="5128" w:space="262"/>
            <w:col w:w="5250"/>
          </w:cols>
        </w:sectPr>
      </w:pPr>
    </w:p>
    <w:p>
      <w:pPr>
        <w:pStyle w:val="BodyText"/>
        <w:rPr>
          <w:sz w:val="20"/>
        </w:rPr>
      </w:pPr>
    </w:p>
    <w:p>
      <w:pPr>
        <w:spacing w:after="0"/>
        <w:rPr>
          <w:sz w:val="20"/>
        </w:rPr>
        <w:sectPr>
          <w:pgSz w:w="11900" w:h="16840"/>
          <w:pgMar w:header="566" w:footer="597" w:top="760" w:bottom="780" w:left="620" w:right="640"/>
        </w:sectPr>
      </w:pPr>
    </w:p>
    <w:p>
      <w:pPr>
        <w:pStyle w:val="BodyText"/>
        <w:spacing w:before="7"/>
        <w:rPr>
          <w:sz w:val="19"/>
        </w:rPr>
      </w:pPr>
    </w:p>
    <w:p>
      <w:pPr>
        <w:pStyle w:val="BodyText"/>
        <w:spacing w:line="232" w:lineRule="auto" w:before="1"/>
        <w:ind w:left="170" w:right="61"/>
      </w:pPr>
      <w:r>
        <w:rPr/>
        <w:t>62,000 (0.3%). Part-time employment had risen by 4,000 (0.1%). As a result, employment growth in full-time equivalent terms had also increased. Total hours worked had fallen by 0.3% in the three months to October compared with the previous three months, and average hours had fallen.</w:t>
      </w:r>
    </w:p>
    <w:p>
      <w:pPr>
        <w:pStyle w:val="BodyText"/>
        <w:spacing w:before="6"/>
        <w:rPr>
          <w:sz w:val="20"/>
        </w:rPr>
      </w:pPr>
    </w:p>
    <w:p>
      <w:pPr>
        <w:pStyle w:val="ListParagraph"/>
        <w:numPr>
          <w:ilvl w:val="0"/>
          <w:numId w:val="52"/>
        </w:numPr>
        <w:tabs>
          <w:tab w:pos="649" w:val="left" w:leader="none"/>
          <w:tab w:pos="650" w:val="left" w:leader="none"/>
        </w:tabs>
        <w:spacing w:line="232" w:lineRule="auto" w:before="0" w:after="0"/>
        <w:ind w:left="170" w:right="46" w:firstLine="0"/>
        <w:jc w:val="left"/>
        <w:rPr>
          <w:sz w:val="18"/>
        </w:rPr>
      </w:pPr>
      <w:r>
        <w:rPr>
          <w:sz w:val="18"/>
        </w:rPr>
        <w:t>Workforce jobs had been revised following the annual benchmarking exercise to make the data consistent with the most recent Annual Employment Survey. The impact of these revisions on the data, however, had been relatively small. Annual productivity</w:t>
      </w:r>
      <w:r>
        <w:rPr>
          <w:spacing w:val="-8"/>
          <w:sz w:val="18"/>
        </w:rPr>
        <w:t> </w:t>
      </w:r>
      <w:r>
        <w:rPr>
          <w:sz w:val="18"/>
        </w:rPr>
        <w:t>growth,</w:t>
      </w:r>
      <w:r>
        <w:rPr>
          <w:spacing w:val="-7"/>
          <w:sz w:val="18"/>
        </w:rPr>
        <w:t> </w:t>
      </w:r>
      <w:r>
        <w:rPr>
          <w:sz w:val="18"/>
        </w:rPr>
        <w:t>calculated</w:t>
      </w:r>
      <w:r>
        <w:rPr>
          <w:spacing w:val="-7"/>
          <w:sz w:val="18"/>
        </w:rPr>
        <w:t> </w:t>
      </w:r>
      <w:r>
        <w:rPr>
          <w:sz w:val="18"/>
        </w:rPr>
        <w:t>using</w:t>
      </w:r>
      <w:r>
        <w:rPr>
          <w:spacing w:val="-8"/>
          <w:sz w:val="18"/>
        </w:rPr>
        <w:t> </w:t>
      </w:r>
      <w:r>
        <w:rPr>
          <w:sz w:val="18"/>
        </w:rPr>
        <w:t>workforce</w:t>
      </w:r>
      <w:r>
        <w:rPr>
          <w:spacing w:val="-7"/>
          <w:sz w:val="18"/>
        </w:rPr>
        <w:t> </w:t>
      </w:r>
      <w:r>
        <w:rPr>
          <w:sz w:val="18"/>
        </w:rPr>
        <w:t>jobs,</w:t>
      </w:r>
      <w:r>
        <w:rPr>
          <w:spacing w:val="-7"/>
          <w:sz w:val="18"/>
        </w:rPr>
        <w:t> </w:t>
      </w:r>
      <w:r>
        <w:rPr>
          <w:sz w:val="18"/>
        </w:rPr>
        <w:t>had</w:t>
      </w:r>
      <w:r>
        <w:rPr>
          <w:spacing w:val="-8"/>
          <w:sz w:val="18"/>
        </w:rPr>
        <w:t> </w:t>
      </w:r>
      <w:r>
        <w:rPr>
          <w:sz w:val="18"/>
        </w:rPr>
        <w:t>increased</w:t>
      </w:r>
    </w:p>
    <w:p>
      <w:pPr>
        <w:pStyle w:val="BodyText"/>
        <w:spacing w:line="198" w:lineRule="exact"/>
        <w:ind w:left="170"/>
      </w:pPr>
      <w:r>
        <w:rPr/>
        <w:t>0.5 percentage points in Q3, to 1.2%.</w:t>
      </w:r>
    </w:p>
    <w:p>
      <w:pPr>
        <w:pStyle w:val="BodyText"/>
        <w:spacing w:before="8"/>
        <w:rPr>
          <w:sz w:val="20"/>
        </w:rPr>
      </w:pPr>
    </w:p>
    <w:p>
      <w:pPr>
        <w:pStyle w:val="ListParagraph"/>
        <w:numPr>
          <w:ilvl w:val="0"/>
          <w:numId w:val="52"/>
        </w:numPr>
        <w:tabs>
          <w:tab w:pos="649" w:val="left" w:leader="none"/>
          <w:tab w:pos="650" w:val="left" w:leader="none"/>
        </w:tabs>
        <w:spacing w:line="232" w:lineRule="auto" w:before="0" w:after="0"/>
        <w:ind w:left="169" w:right="38" w:firstLine="0"/>
        <w:jc w:val="left"/>
        <w:rPr>
          <w:sz w:val="18"/>
        </w:rPr>
      </w:pPr>
      <w:r>
        <w:rPr>
          <w:sz w:val="18"/>
        </w:rPr>
        <w:t>Survey data confirmed the weaker picture on employment growth. The C</w:t>
      </w:r>
      <w:r>
        <w:rPr>
          <w:sz w:val="14"/>
        </w:rPr>
        <w:t>IPS </w:t>
      </w:r>
      <w:r>
        <w:rPr>
          <w:sz w:val="18"/>
        </w:rPr>
        <w:t>manufacturing survey in December had shown manufacturing employment falling again, after two months of stability. In the C</w:t>
      </w:r>
      <w:r>
        <w:rPr>
          <w:sz w:val="14"/>
        </w:rPr>
        <w:t>IPS </w:t>
      </w:r>
      <w:r>
        <w:rPr>
          <w:sz w:val="18"/>
        </w:rPr>
        <w:t>services and construction surveys employment had continued to grow, but more slowly than in recent months. The Manpower survey for Q4 had indicated a slowdown in employment growth in all</w:t>
      </w:r>
      <w:r>
        <w:rPr>
          <w:spacing w:val="-4"/>
          <w:sz w:val="18"/>
        </w:rPr>
        <w:t> </w:t>
      </w:r>
      <w:r>
        <w:rPr>
          <w:sz w:val="18"/>
        </w:rPr>
        <w:t>sectors.</w:t>
      </w:r>
    </w:p>
    <w:p>
      <w:pPr>
        <w:pStyle w:val="BodyText"/>
        <w:spacing w:before="4"/>
        <w:rPr>
          <w:sz w:val="20"/>
        </w:rPr>
      </w:pPr>
    </w:p>
    <w:p>
      <w:pPr>
        <w:pStyle w:val="ListParagraph"/>
        <w:numPr>
          <w:ilvl w:val="0"/>
          <w:numId w:val="52"/>
        </w:numPr>
        <w:tabs>
          <w:tab w:pos="649" w:val="left" w:leader="none"/>
          <w:tab w:pos="650" w:val="left" w:leader="none"/>
        </w:tabs>
        <w:spacing w:line="232" w:lineRule="auto" w:before="0" w:after="0"/>
        <w:ind w:left="169" w:right="51" w:firstLine="0"/>
        <w:jc w:val="left"/>
        <w:rPr>
          <w:sz w:val="18"/>
        </w:rPr>
      </w:pPr>
      <w:r>
        <w:rPr>
          <w:sz w:val="18"/>
        </w:rPr>
        <w:t>Despite the weaker employment growth, skill shortages persisted. The Recruitment and Employment Confederation (REC) survey in December had shown that shortages of agency staff had increased again. Similarly, the Bank’s Agents had reported that skills shortages persisted and, in some areas, had worsened. New vacancies reported to jobcentres had also fallen in November, while outflows (including placings) had risen, although both flows were volatile.</w:t>
      </w:r>
    </w:p>
    <w:p>
      <w:pPr>
        <w:pStyle w:val="BodyText"/>
        <w:spacing w:before="4"/>
        <w:rPr>
          <w:sz w:val="20"/>
        </w:rPr>
      </w:pPr>
    </w:p>
    <w:p>
      <w:pPr>
        <w:pStyle w:val="ListParagraph"/>
        <w:numPr>
          <w:ilvl w:val="0"/>
          <w:numId w:val="52"/>
        </w:numPr>
        <w:tabs>
          <w:tab w:pos="649" w:val="left" w:leader="none"/>
          <w:tab w:pos="650" w:val="left" w:leader="none"/>
        </w:tabs>
        <w:spacing w:line="232" w:lineRule="auto" w:before="0" w:after="0"/>
        <w:ind w:left="169" w:right="45" w:firstLine="0"/>
        <w:jc w:val="left"/>
        <w:rPr>
          <w:sz w:val="18"/>
        </w:rPr>
      </w:pPr>
      <w:r>
        <w:rPr>
          <w:sz w:val="18"/>
        </w:rPr>
        <w:t>Unemployment had continued to fall on both the LFS and claimant count measures. LFS unemployment had fallen by 12,000 and the unemployment rate by 0.1 percentage point in the three months to October compared to the previous three months. Claimant count unemployment had fallen by 10,600 in November from the previous month.  Short-term LFS unemployment had fallen a little, while long-term unemployment had risen. Dispersion of unemployment rates across regions had declined slightly in Q3. However, dispersion of unemployment rates at the county and travel-to-work area level suggested that regional data may understate the increase in dispersion in recent</w:t>
      </w:r>
      <w:r>
        <w:rPr>
          <w:spacing w:val="-16"/>
          <w:sz w:val="18"/>
        </w:rPr>
        <w:t> </w:t>
      </w:r>
      <w:r>
        <w:rPr>
          <w:sz w:val="18"/>
        </w:rPr>
        <w:t>years.</w:t>
      </w:r>
    </w:p>
    <w:p>
      <w:pPr>
        <w:pStyle w:val="BodyText"/>
        <w:spacing w:before="5"/>
      </w:pPr>
    </w:p>
    <w:p>
      <w:pPr>
        <w:pStyle w:val="ListParagraph"/>
        <w:numPr>
          <w:ilvl w:val="0"/>
          <w:numId w:val="52"/>
        </w:numPr>
        <w:tabs>
          <w:tab w:pos="649" w:val="left" w:leader="none"/>
          <w:tab w:pos="650" w:val="left" w:leader="none"/>
        </w:tabs>
        <w:spacing w:line="232" w:lineRule="auto" w:before="0" w:after="0"/>
        <w:ind w:left="169" w:right="75" w:firstLine="0"/>
        <w:jc w:val="left"/>
        <w:rPr>
          <w:sz w:val="18"/>
        </w:rPr>
      </w:pPr>
      <w:r>
        <w:rPr>
          <w:sz w:val="18"/>
        </w:rPr>
        <w:t>Inactivity had fallen by 17,000 during this period compared to the previous three months, due mainly to a decline in the number of people who wanted a job, but were either not seeking or not available to start. This reversed the pattern of the previous two quarters.</w:t>
      </w:r>
    </w:p>
    <w:p>
      <w:pPr>
        <w:pStyle w:val="BodyText"/>
        <w:spacing w:before="4"/>
      </w:pPr>
    </w:p>
    <w:p>
      <w:pPr>
        <w:pStyle w:val="ListParagraph"/>
        <w:numPr>
          <w:ilvl w:val="0"/>
          <w:numId w:val="52"/>
        </w:numPr>
        <w:tabs>
          <w:tab w:pos="649" w:val="left" w:leader="none"/>
          <w:tab w:pos="650" w:val="left" w:leader="none"/>
        </w:tabs>
        <w:spacing w:line="203" w:lineRule="exact" w:before="0" w:after="0"/>
        <w:ind w:left="649" w:right="0" w:hanging="481"/>
        <w:jc w:val="left"/>
        <w:rPr>
          <w:sz w:val="18"/>
        </w:rPr>
      </w:pPr>
      <w:r>
        <w:rPr>
          <w:sz w:val="18"/>
        </w:rPr>
        <w:t>Earnings growth had increased in most</w:t>
      </w:r>
      <w:r>
        <w:rPr>
          <w:spacing w:val="-13"/>
          <w:sz w:val="18"/>
        </w:rPr>
        <w:t> </w:t>
      </w:r>
      <w:r>
        <w:rPr>
          <w:sz w:val="18"/>
        </w:rPr>
        <w:t>sectors.</w:t>
      </w:r>
    </w:p>
    <w:p>
      <w:pPr>
        <w:pStyle w:val="BodyText"/>
        <w:spacing w:line="232" w:lineRule="auto" w:before="1"/>
        <w:ind w:left="169" w:right="81"/>
      </w:pPr>
      <w:r>
        <w:rPr/>
        <w:t>Whole-economy headline earnings growth had risen 0.2 percentage points to 4.9% in the year to October. Headline earnings growth in the private sector had risen 0.3 percentage points to 5.1%, while public sector growth had been unchanged at 3.9%. Earnings growth in both manufacturing and services was also</w:t>
      </w:r>
      <w:r>
        <w:rPr>
          <w:spacing w:val="-24"/>
        </w:rPr>
        <w:t> </w:t>
      </w:r>
      <w:r>
        <w:rPr/>
        <w:t>higher.</w:t>
      </w:r>
    </w:p>
    <w:p>
      <w:pPr>
        <w:pStyle w:val="BodyText"/>
        <w:spacing w:line="232" w:lineRule="auto"/>
        <w:ind w:left="169" w:right="463"/>
      </w:pPr>
      <w:r>
        <w:rPr/>
        <w:t>However, the Reward index had again grown by only 3.5% in November.</w:t>
      </w:r>
    </w:p>
    <w:p>
      <w:pPr>
        <w:pStyle w:val="BodyText"/>
        <w:spacing w:before="11"/>
        <w:rPr>
          <w:sz w:val="16"/>
        </w:rPr>
      </w:pPr>
    </w:p>
    <w:p>
      <w:pPr>
        <w:pStyle w:val="ListParagraph"/>
        <w:numPr>
          <w:ilvl w:val="0"/>
          <w:numId w:val="52"/>
        </w:numPr>
        <w:tabs>
          <w:tab w:pos="649" w:val="left" w:leader="none"/>
          <w:tab w:pos="650" w:val="left" w:leader="none"/>
        </w:tabs>
        <w:spacing w:line="232" w:lineRule="auto" w:before="0" w:after="0"/>
        <w:ind w:left="169" w:right="161" w:firstLine="0"/>
        <w:jc w:val="left"/>
        <w:rPr>
          <w:sz w:val="18"/>
        </w:rPr>
      </w:pPr>
      <w:r>
        <w:rPr>
          <w:sz w:val="18"/>
        </w:rPr>
        <w:t>Wages and salaries per head, calculated from the National Accounts, had grown by 4.7% in Q3, the same rate as the Average Earnings Index. Following revisions, growth in unit wage costs had been falling since a peak in 1998 Q4. The FRES/REC survey had indicated that earnings growth for permanent staff supplied by agencies had remained broadly flat in December, while earnings growth for temporary/contract staff had fallen</w:t>
      </w:r>
      <w:r>
        <w:rPr>
          <w:spacing w:val="-2"/>
          <w:sz w:val="18"/>
        </w:rPr>
        <w:t> </w:t>
      </w:r>
      <w:r>
        <w:rPr>
          <w:sz w:val="18"/>
        </w:rPr>
        <w:t>slightly.</w:t>
      </w:r>
    </w:p>
    <w:p>
      <w:pPr>
        <w:pStyle w:val="BodyText"/>
        <w:spacing w:before="10"/>
        <w:rPr>
          <w:sz w:val="16"/>
        </w:rPr>
      </w:pPr>
    </w:p>
    <w:p>
      <w:pPr>
        <w:pStyle w:val="ListParagraph"/>
        <w:numPr>
          <w:ilvl w:val="0"/>
          <w:numId w:val="52"/>
        </w:numPr>
        <w:tabs>
          <w:tab w:pos="649" w:val="left" w:leader="none"/>
          <w:tab w:pos="650" w:val="left" w:leader="none"/>
        </w:tabs>
        <w:spacing w:line="232" w:lineRule="auto" w:before="0" w:after="0"/>
        <w:ind w:left="169" w:right="455" w:firstLine="0"/>
        <w:jc w:val="left"/>
        <w:rPr>
          <w:sz w:val="18"/>
        </w:rPr>
      </w:pPr>
      <w:r>
        <w:rPr>
          <w:sz w:val="18"/>
        </w:rPr>
        <w:t>There was little new information on settlements, as was typical of this time of year. The Bank’s</w:t>
      </w:r>
      <w:r>
        <w:rPr>
          <w:spacing w:val="-23"/>
          <w:sz w:val="18"/>
        </w:rPr>
        <w:t> </w:t>
      </w:r>
      <w:r>
        <w:rPr>
          <w:sz w:val="18"/>
        </w:rPr>
        <w:t>AEI-weighted</w:t>
      </w:r>
    </w:p>
    <w:p>
      <w:pPr>
        <w:pStyle w:val="BodyText"/>
        <w:spacing w:line="232" w:lineRule="auto"/>
        <w:ind w:left="169" w:right="61"/>
      </w:pPr>
      <w:r>
        <w:rPr/>
        <w:t>twelve-month mean had fallen 0.1 percentage point to 3.4% in November. Public sector and private sector settlement means had both fallen slightly.</w:t>
      </w:r>
    </w:p>
    <w:p>
      <w:pPr>
        <w:pStyle w:val="Heading7"/>
        <w:numPr>
          <w:ilvl w:val="0"/>
          <w:numId w:val="51"/>
        </w:numPr>
        <w:tabs>
          <w:tab w:pos="649" w:val="left" w:leader="none"/>
          <w:tab w:pos="651" w:val="left" w:leader="none"/>
        </w:tabs>
        <w:spacing w:line="240" w:lineRule="auto" w:before="212" w:after="0"/>
        <w:ind w:left="650" w:right="0" w:hanging="482"/>
        <w:jc w:val="left"/>
      </w:pPr>
      <w:r>
        <w:rPr>
          <w:color w:val="009391"/>
          <w:spacing w:val="-1"/>
        </w:rPr>
        <w:br w:type="column"/>
      </w:r>
      <w:r>
        <w:rPr>
          <w:color w:val="009391"/>
        </w:rPr>
        <w:t>Prices</w:t>
      </w:r>
    </w:p>
    <w:p>
      <w:pPr>
        <w:pStyle w:val="ListParagraph"/>
        <w:numPr>
          <w:ilvl w:val="0"/>
          <w:numId w:val="52"/>
        </w:numPr>
        <w:tabs>
          <w:tab w:pos="649" w:val="left" w:leader="none"/>
          <w:tab w:pos="650" w:val="left" w:leader="none"/>
        </w:tabs>
        <w:spacing w:line="232" w:lineRule="auto" w:before="109" w:after="0"/>
        <w:ind w:left="169" w:right="469" w:firstLine="0"/>
        <w:jc w:val="left"/>
        <w:rPr>
          <w:sz w:val="18"/>
        </w:rPr>
      </w:pPr>
      <w:r>
        <w:rPr>
          <w:sz w:val="18"/>
        </w:rPr>
        <w:t>Commodity prices had risen in the last month. The Bank oil-inclusive commodity price index had risen by 2.9%</w:t>
      </w:r>
      <w:r>
        <w:rPr>
          <w:spacing w:val="-25"/>
          <w:sz w:val="18"/>
        </w:rPr>
        <w:t> </w:t>
      </w:r>
      <w:r>
        <w:rPr>
          <w:sz w:val="18"/>
        </w:rPr>
        <w:t>in</w:t>
      </w:r>
    </w:p>
    <w:p>
      <w:pPr>
        <w:pStyle w:val="BodyText"/>
        <w:spacing w:line="232" w:lineRule="auto"/>
        <w:ind w:left="169" w:right="170"/>
      </w:pPr>
      <w:r>
        <w:rPr/>
        <w:t>November, more than recovering the fall in October, and taking the annual inflation rate to 16.8%, its highest since this series began in 1990. Most of the increase was accounted for by the rise in the price of crude oil. While the prices of ‘hard’ commodities (fuels and metals) had been rising month-on-month for some time, the prices of ‘soft’ commodities (mainly food) also rose in November. This meant that the Bank oil-exclusive index, which had been broadly flat since the end of 1998, had also risen in November. Oil prices rose only slightly in December but were around 150% higher than a year earlier. There was no evidence to suggest that these price rises were linked to pre-millennium stockpiling, as inventories did not appear to be abnormally</w:t>
      </w:r>
      <w:r>
        <w:rPr>
          <w:spacing w:val="-9"/>
        </w:rPr>
        <w:t> </w:t>
      </w:r>
      <w:r>
        <w:rPr/>
        <w:t>high.</w:t>
      </w:r>
    </w:p>
    <w:p>
      <w:pPr>
        <w:pStyle w:val="BodyText"/>
        <w:spacing w:before="5"/>
        <w:rPr>
          <w:sz w:val="16"/>
        </w:rPr>
      </w:pPr>
    </w:p>
    <w:p>
      <w:pPr>
        <w:pStyle w:val="ListParagraph"/>
        <w:numPr>
          <w:ilvl w:val="0"/>
          <w:numId w:val="52"/>
        </w:numPr>
        <w:tabs>
          <w:tab w:pos="649" w:val="left" w:leader="none"/>
          <w:tab w:pos="650" w:val="left" w:leader="none"/>
        </w:tabs>
        <w:spacing w:line="232" w:lineRule="auto" w:before="0" w:after="0"/>
        <w:ind w:left="169" w:right="177" w:firstLine="0"/>
        <w:jc w:val="left"/>
        <w:rPr>
          <w:sz w:val="18"/>
        </w:rPr>
      </w:pPr>
      <w:r>
        <w:rPr>
          <w:sz w:val="18"/>
        </w:rPr>
        <w:t>Manufacturing input prices had risen by 1.7% in November, in</w:t>
      </w:r>
      <w:r>
        <w:rPr>
          <w:spacing w:val="-6"/>
          <w:sz w:val="18"/>
        </w:rPr>
        <w:t> </w:t>
      </w:r>
      <w:r>
        <w:rPr>
          <w:sz w:val="18"/>
        </w:rPr>
        <w:t>part</w:t>
      </w:r>
      <w:r>
        <w:rPr>
          <w:spacing w:val="-5"/>
          <w:sz w:val="18"/>
        </w:rPr>
        <w:t> </w:t>
      </w:r>
      <w:r>
        <w:rPr>
          <w:sz w:val="18"/>
        </w:rPr>
        <w:t>reflecting</w:t>
      </w:r>
      <w:r>
        <w:rPr>
          <w:spacing w:val="-5"/>
          <w:sz w:val="18"/>
        </w:rPr>
        <w:t> </w:t>
      </w:r>
      <w:r>
        <w:rPr>
          <w:sz w:val="18"/>
        </w:rPr>
        <w:t>higher</w:t>
      </w:r>
      <w:r>
        <w:rPr>
          <w:spacing w:val="-5"/>
          <w:sz w:val="18"/>
        </w:rPr>
        <w:t> </w:t>
      </w:r>
      <w:r>
        <w:rPr>
          <w:sz w:val="18"/>
        </w:rPr>
        <w:t>oil</w:t>
      </w:r>
      <w:r>
        <w:rPr>
          <w:spacing w:val="-5"/>
          <w:sz w:val="18"/>
        </w:rPr>
        <w:t> </w:t>
      </w:r>
      <w:r>
        <w:rPr>
          <w:sz w:val="18"/>
        </w:rPr>
        <w:t>prices,</w:t>
      </w:r>
      <w:r>
        <w:rPr>
          <w:spacing w:val="-5"/>
          <w:sz w:val="18"/>
        </w:rPr>
        <w:t> </w:t>
      </w:r>
      <w:r>
        <w:rPr>
          <w:sz w:val="18"/>
        </w:rPr>
        <w:t>taking</w:t>
      </w:r>
      <w:r>
        <w:rPr>
          <w:spacing w:val="-5"/>
          <w:sz w:val="18"/>
        </w:rPr>
        <w:t> </w:t>
      </w:r>
      <w:r>
        <w:rPr>
          <w:sz w:val="18"/>
        </w:rPr>
        <w:t>the</w:t>
      </w:r>
      <w:r>
        <w:rPr>
          <w:spacing w:val="-5"/>
          <w:sz w:val="18"/>
        </w:rPr>
        <w:t> </w:t>
      </w:r>
      <w:r>
        <w:rPr>
          <w:sz w:val="18"/>
        </w:rPr>
        <w:t>annual</w:t>
      </w:r>
      <w:r>
        <w:rPr>
          <w:spacing w:val="-5"/>
          <w:sz w:val="18"/>
        </w:rPr>
        <w:t> </w:t>
      </w:r>
      <w:r>
        <w:rPr>
          <w:sz w:val="18"/>
        </w:rPr>
        <w:t>inflation</w:t>
      </w:r>
      <w:r>
        <w:rPr>
          <w:spacing w:val="-6"/>
          <w:sz w:val="18"/>
        </w:rPr>
        <w:t> </w:t>
      </w:r>
      <w:r>
        <w:rPr>
          <w:sz w:val="18"/>
        </w:rPr>
        <w:t>rate</w:t>
      </w:r>
      <w:r>
        <w:rPr>
          <w:spacing w:val="-5"/>
          <w:sz w:val="18"/>
        </w:rPr>
        <w:t> </w:t>
      </w:r>
      <w:r>
        <w:rPr>
          <w:sz w:val="18"/>
        </w:rPr>
        <w:t>to 9.1%—its highest since September 1995. The C</w:t>
      </w:r>
      <w:r>
        <w:rPr>
          <w:sz w:val="14"/>
        </w:rPr>
        <w:t>IPS </w:t>
      </w:r>
      <w:r>
        <w:rPr>
          <w:sz w:val="18"/>
        </w:rPr>
        <w:t>input price index had fallen slightly in</w:t>
      </w:r>
      <w:r>
        <w:rPr>
          <w:spacing w:val="-8"/>
          <w:sz w:val="18"/>
        </w:rPr>
        <w:t> </w:t>
      </w:r>
      <w:r>
        <w:rPr>
          <w:sz w:val="18"/>
        </w:rPr>
        <w:t>December.</w:t>
      </w:r>
    </w:p>
    <w:p>
      <w:pPr>
        <w:pStyle w:val="BodyText"/>
        <w:spacing w:before="2"/>
        <w:rPr>
          <w:sz w:val="17"/>
        </w:rPr>
      </w:pPr>
    </w:p>
    <w:p>
      <w:pPr>
        <w:pStyle w:val="ListParagraph"/>
        <w:numPr>
          <w:ilvl w:val="0"/>
          <w:numId w:val="52"/>
        </w:numPr>
        <w:tabs>
          <w:tab w:pos="649" w:val="left" w:leader="none"/>
          <w:tab w:pos="650" w:val="left" w:leader="none"/>
        </w:tabs>
        <w:spacing w:line="232" w:lineRule="auto" w:before="0" w:after="0"/>
        <w:ind w:left="169" w:right="210" w:firstLine="0"/>
        <w:jc w:val="left"/>
        <w:rPr>
          <w:sz w:val="18"/>
        </w:rPr>
      </w:pPr>
      <w:r>
        <w:rPr>
          <w:sz w:val="18"/>
        </w:rPr>
        <w:t>There had been a slight pick-up in output price inflation (PPIY), largely reflecting higher prices of petroleum products. The CBI output price expectation balance, however, had remained well below its long-run</w:t>
      </w:r>
      <w:r>
        <w:rPr>
          <w:spacing w:val="-4"/>
          <w:sz w:val="18"/>
        </w:rPr>
        <w:t> </w:t>
      </w:r>
      <w:r>
        <w:rPr>
          <w:sz w:val="18"/>
        </w:rPr>
        <w:t>average.</w:t>
      </w:r>
    </w:p>
    <w:p>
      <w:pPr>
        <w:pStyle w:val="BodyText"/>
        <w:spacing w:before="1"/>
        <w:rPr>
          <w:sz w:val="17"/>
        </w:rPr>
      </w:pPr>
    </w:p>
    <w:p>
      <w:pPr>
        <w:pStyle w:val="ListParagraph"/>
        <w:numPr>
          <w:ilvl w:val="0"/>
          <w:numId w:val="52"/>
        </w:numPr>
        <w:tabs>
          <w:tab w:pos="649" w:val="left" w:leader="none"/>
          <w:tab w:pos="650" w:val="left" w:leader="none"/>
        </w:tabs>
        <w:spacing w:line="232" w:lineRule="auto" w:before="0" w:after="0"/>
        <w:ind w:left="169" w:right="185" w:firstLine="0"/>
        <w:jc w:val="left"/>
        <w:rPr>
          <w:sz w:val="18"/>
        </w:rPr>
      </w:pPr>
      <w:r>
        <w:rPr>
          <w:sz w:val="18"/>
        </w:rPr>
        <w:t>There had been significant revisions to the National Accounts deflators.  The GDP deflator had risen by 2.4% in the year to 1999 Q3, revised up from 1.8%. This mainly reflected upward revisions to both the government and consumers’ expenditure deflators since the start of 1998. The consumers’ expenditure deflator had risen by 2.4% in the year to Q3, revised up from 1.8%; on the revised data, inflation on this measure eased between Q2 and Q3, in line with RPIX inflation. The retail sales deflator had risen by 0.2% in November, the first rise in 9 months, leading to a slight fall in the annual rate of</w:t>
      </w:r>
      <w:r>
        <w:rPr>
          <w:spacing w:val="-21"/>
          <w:sz w:val="18"/>
        </w:rPr>
        <w:t> </w:t>
      </w:r>
      <w:r>
        <w:rPr>
          <w:sz w:val="18"/>
        </w:rPr>
        <w:t>deflation.</w:t>
      </w:r>
    </w:p>
    <w:p>
      <w:pPr>
        <w:pStyle w:val="BodyText"/>
        <w:spacing w:before="8"/>
        <w:rPr>
          <w:sz w:val="16"/>
        </w:rPr>
      </w:pPr>
    </w:p>
    <w:p>
      <w:pPr>
        <w:pStyle w:val="ListParagraph"/>
        <w:numPr>
          <w:ilvl w:val="0"/>
          <w:numId w:val="52"/>
        </w:numPr>
        <w:tabs>
          <w:tab w:pos="649" w:val="left" w:leader="none"/>
          <w:tab w:pos="650" w:val="left" w:leader="none"/>
        </w:tabs>
        <w:spacing w:line="232" w:lineRule="auto" w:before="0" w:after="0"/>
        <w:ind w:left="169" w:right="745" w:firstLine="0"/>
        <w:jc w:val="left"/>
        <w:rPr>
          <w:sz w:val="18"/>
        </w:rPr>
      </w:pPr>
      <w:r>
        <w:rPr>
          <w:sz w:val="18"/>
        </w:rPr>
        <w:t>RPIX inflation was 2.2% in November, unchanged from October. RPIX service price inflation had remained</w:t>
      </w:r>
      <w:r>
        <w:rPr>
          <w:spacing w:val="-1"/>
          <w:sz w:val="18"/>
        </w:rPr>
        <w:t> </w:t>
      </w:r>
      <w:r>
        <w:rPr>
          <w:sz w:val="18"/>
        </w:rPr>
        <w:t>at</w:t>
      </w:r>
    </w:p>
    <w:p>
      <w:pPr>
        <w:pStyle w:val="BodyText"/>
        <w:spacing w:line="232" w:lineRule="auto"/>
        <w:ind w:left="169" w:right="376"/>
      </w:pPr>
      <w:r>
        <w:rPr/>
        <w:t>3.9%, while RPIX goods price inflation had picked up slightly to 0.5%.</w:t>
      </w:r>
    </w:p>
    <w:p>
      <w:pPr>
        <w:pStyle w:val="BodyText"/>
        <w:spacing w:before="10"/>
        <w:rPr>
          <w:sz w:val="23"/>
        </w:rPr>
      </w:pPr>
    </w:p>
    <w:p>
      <w:pPr>
        <w:pStyle w:val="Heading7"/>
        <w:numPr>
          <w:ilvl w:val="0"/>
          <w:numId w:val="51"/>
        </w:numPr>
        <w:tabs>
          <w:tab w:pos="649" w:val="left" w:leader="none"/>
          <w:tab w:pos="651" w:val="left" w:leader="none"/>
        </w:tabs>
        <w:spacing w:line="240" w:lineRule="auto" w:before="1" w:after="0"/>
        <w:ind w:left="650" w:right="0" w:hanging="482"/>
        <w:jc w:val="left"/>
      </w:pPr>
      <w:r>
        <w:rPr>
          <w:color w:val="009391"/>
        </w:rPr>
        <w:t>Reports by the </w:t>
      </w:r>
      <w:r>
        <w:rPr>
          <w:color w:val="009391"/>
          <w:spacing w:val="-2"/>
        </w:rPr>
        <w:t>Bank’s </w:t>
      </w:r>
      <w:r>
        <w:rPr>
          <w:color w:val="009391"/>
        </w:rPr>
        <w:t>regional</w:t>
      </w:r>
      <w:r>
        <w:rPr>
          <w:color w:val="009391"/>
          <w:spacing w:val="-9"/>
        </w:rPr>
        <w:t> </w:t>
      </w:r>
      <w:r>
        <w:rPr>
          <w:color w:val="009391"/>
        </w:rPr>
        <w:t>Agents</w:t>
      </w:r>
    </w:p>
    <w:p>
      <w:pPr>
        <w:pStyle w:val="ListParagraph"/>
        <w:numPr>
          <w:ilvl w:val="0"/>
          <w:numId w:val="52"/>
        </w:numPr>
        <w:tabs>
          <w:tab w:pos="649" w:val="left" w:leader="none"/>
          <w:tab w:pos="650" w:val="left" w:leader="none"/>
        </w:tabs>
        <w:spacing w:line="232" w:lineRule="auto" w:before="109" w:after="0"/>
        <w:ind w:left="169" w:right="330" w:firstLine="0"/>
        <w:jc w:val="left"/>
        <w:rPr>
          <w:sz w:val="18"/>
        </w:rPr>
      </w:pPr>
      <w:r>
        <w:rPr>
          <w:sz w:val="18"/>
        </w:rPr>
        <w:t>The Bank’s regional Agents reported a continued moderate recovery in manufacturing activity, although volume growth had been stronger than value growth in many cases. There had been little evidence of capacity constraints in manufacturing firms. Service sector output growth had stabilised at a high</w:t>
      </w:r>
      <w:r>
        <w:rPr>
          <w:spacing w:val="-25"/>
          <w:sz w:val="18"/>
        </w:rPr>
        <w:t> </w:t>
      </w:r>
      <w:r>
        <w:rPr>
          <w:sz w:val="18"/>
        </w:rPr>
        <w:t>rate.</w:t>
      </w:r>
    </w:p>
    <w:p>
      <w:pPr>
        <w:pStyle w:val="BodyText"/>
        <w:spacing w:line="232" w:lineRule="auto"/>
        <w:ind w:left="169" w:right="376"/>
      </w:pPr>
      <w:r>
        <w:rPr/>
        <w:t>IT-related activity had been flat approaching the year-end but it was expected to resume strongly in the New Year. There had been some evidence of increased capacity constraints in the service sector, mostly as a result of skill shortages. Construction activity had remained strong overall, but with wide regional variations.</w:t>
      </w:r>
    </w:p>
    <w:p>
      <w:pPr>
        <w:pStyle w:val="BodyText"/>
        <w:spacing w:before="7"/>
        <w:rPr>
          <w:sz w:val="16"/>
        </w:rPr>
      </w:pPr>
    </w:p>
    <w:p>
      <w:pPr>
        <w:pStyle w:val="ListParagraph"/>
        <w:numPr>
          <w:ilvl w:val="0"/>
          <w:numId w:val="52"/>
        </w:numPr>
        <w:tabs>
          <w:tab w:pos="649" w:val="left" w:leader="none"/>
          <w:tab w:pos="650" w:val="left" w:leader="none"/>
        </w:tabs>
        <w:spacing w:line="232" w:lineRule="auto" w:before="0" w:after="0"/>
        <w:ind w:left="169" w:right="305" w:firstLine="0"/>
        <w:jc w:val="left"/>
        <w:rPr>
          <w:sz w:val="18"/>
        </w:rPr>
      </w:pPr>
      <w:r>
        <w:rPr>
          <w:sz w:val="18"/>
        </w:rPr>
        <w:t>Agents reported an improvement in retailers’ year-on-year sales growth in December, with early indications that there had been solid Christmas trading. New car sales had been broadly flat and the used car market had also remained</w:t>
      </w:r>
      <w:r>
        <w:rPr>
          <w:spacing w:val="-15"/>
          <w:sz w:val="18"/>
        </w:rPr>
        <w:t> </w:t>
      </w:r>
      <w:r>
        <w:rPr>
          <w:sz w:val="18"/>
        </w:rPr>
        <w:t>weak.</w:t>
      </w:r>
    </w:p>
    <w:p>
      <w:pPr>
        <w:pStyle w:val="BodyText"/>
        <w:spacing w:before="2"/>
        <w:rPr>
          <w:sz w:val="17"/>
        </w:rPr>
      </w:pPr>
    </w:p>
    <w:p>
      <w:pPr>
        <w:pStyle w:val="ListParagraph"/>
        <w:numPr>
          <w:ilvl w:val="0"/>
          <w:numId w:val="52"/>
        </w:numPr>
        <w:tabs>
          <w:tab w:pos="649" w:val="left" w:leader="none"/>
          <w:tab w:pos="650" w:val="left" w:leader="none"/>
        </w:tabs>
        <w:spacing w:line="232" w:lineRule="auto" w:before="0" w:after="0"/>
        <w:ind w:left="169" w:right="390" w:firstLine="0"/>
        <w:jc w:val="left"/>
        <w:rPr>
          <w:sz w:val="18"/>
        </w:rPr>
      </w:pPr>
      <w:r>
        <w:rPr>
          <w:sz w:val="18"/>
        </w:rPr>
        <w:t>Manufacturers had continued to find it difficult to pass on increases in input prices, and margins had been squeezed further. In the service sector, input price increases remained easier to pass through to consumers. There had been further downward pressure</w:t>
      </w:r>
      <w:r>
        <w:rPr>
          <w:spacing w:val="-5"/>
          <w:sz w:val="18"/>
        </w:rPr>
        <w:t> </w:t>
      </w:r>
      <w:r>
        <w:rPr>
          <w:sz w:val="18"/>
        </w:rPr>
        <w:t>on</w:t>
      </w:r>
      <w:r>
        <w:rPr>
          <w:spacing w:val="-4"/>
          <w:sz w:val="18"/>
        </w:rPr>
        <w:t> </w:t>
      </w:r>
      <w:r>
        <w:rPr>
          <w:sz w:val="18"/>
        </w:rPr>
        <w:t>retail</w:t>
      </w:r>
      <w:r>
        <w:rPr>
          <w:spacing w:val="-5"/>
          <w:sz w:val="18"/>
        </w:rPr>
        <w:t> </w:t>
      </w:r>
      <w:r>
        <w:rPr>
          <w:sz w:val="18"/>
        </w:rPr>
        <w:t>goods</w:t>
      </w:r>
      <w:r>
        <w:rPr>
          <w:spacing w:val="-4"/>
          <w:sz w:val="18"/>
        </w:rPr>
        <w:t> </w:t>
      </w:r>
      <w:r>
        <w:rPr>
          <w:sz w:val="18"/>
        </w:rPr>
        <w:t>prices,</w:t>
      </w:r>
      <w:r>
        <w:rPr>
          <w:spacing w:val="-4"/>
          <w:sz w:val="18"/>
        </w:rPr>
        <w:t> </w:t>
      </w:r>
      <w:r>
        <w:rPr>
          <w:sz w:val="18"/>
        </w:rPr>
        <w:t>particularly</w:t>
      </w:r>
      <w:r>
        <w:rPr>
          <w:spacing w:val="-5"/>
          <w:sz w:val="18"/>
        </w:rPr>
        <w:t> </w:t>
      </w:r>
      <w:r>
        <w:rPr>
          <w:sz w:val="18"/>
        </w:rPr>
        <w:t>food,</w:t>
      </w:r>
      <w:r>
        <w:rPr>
          <w:spacing w:val="-4"/>
          <w:sz w:val="18"/>
        </w:rPr>
        <w:t> </w:t>
      </w:r>
      <w:r>
        <w:rPr>
          <w:sz w:val="18"/>
        </w:rPr>
        <w:t>clothing</w:t>
      </w:r>
      <w:r>
        <w:rPr>
          <w:spacing w:val="-5"/>
          <w:sz w:val="18"/>
        </w:rPr>
        <w:t> </w:t>
      </w:r>
      <w:r>
        <w:rPr>
          <w:sz w:val="18"/>
        </w:rPr>
        <w:t>and</w:t>
      </w:r>
    </w:p>
    <w:p>
      <w:pPr>
        <w:pStyle w:val="BodyText"/>
        <w:spacing w:line="232" w:lineRule="auto"/>
        <w:ind w:left="169" w:right="192"/>
      </w:pPr>
      <w:r>
        <w:rPr/>
        <w:t>electrical goods. Manufacturing pay settlements in early 2000 were expected to be no higher than a year earlier. But stronger pressure had been seen in the service sector, mostly reflecting skill shortages. City bonuses were expected to be much higher than last year.</w:t>
      </w:r>
    </w:p>
    <w:p>
      <w:pPr>
        <w:spacing w:after="0" w:line="232" w:lineRule="auto"/>
        <w:sectPr>
          <w:type w:val="continuous"/>
          <w:pgSz w:w="11900" w:h="16840"/>
          <w:pgMar w:top="1220" w:bottom="280" w:left="620" w:right="640"/>
          <w:cols w:num="2" w:equalWidth="0">
            <w:col w:w="5111" w:space="284"/>
            <w:col w:w="5245"/>
          </w:cols>
        </w:sectPr>
      </w:pPr>
    </w:p>
    <w:p>
      <w:pPr>
        <w:pStyle w:val="BodyText"/>
        <w:rPr>
          <w:sz w:val="20"/>
        </w:rPr>
      </w:pPr>
    </w:p>
    <w:p>
      <w:pPr>
        <w:spacing w:after="0"/>
        <w:rPr>
          <w:sz w:val="20"/>
        </w:rPr>
        <w:sectPr>
          <w:pgSz w:w="11900" w:h="16840"/>
          <w:pgMar w:header="566" w:footer="597" w:top="760" w:bottom="780" w:left="620" w:right="640"/>
        </w:sectPr>
      </w:pPr>
    </w:p>
    <w:p>
      <w:pPr>
        <w:pStyle w:val="Heading7"/>
        <w:numPr>
          <w:ilvl w:val="0"/>
          <w:numId w:val="51"/>
        </w:numPr>
        <w:tabs>
          <w:tab w:pos="661" w:val="left" w:leader="none"/>
        </w:tabs>
        <w:spacing w:line="240" w:lineRule="auto" w:before="212" w:after="0"/>
        <w:ind w:left="660" w:right="0" w:hanging="481"/>
        <w:jc w:val="left"/>
      </w:pPr>
      <w:r>
        <w:rPr>
          <w:color w:val="009391"/>
        </w:rPr>
        <w:t>Market</w:t>
      </w:r>
      <w:r>
        <w:rPr>
          <w:color w:val="009391"/>
          <w:spacing w:val="-2"/>
        </w:rPr>
        <w:t> </w:t>
      </w:r>
      <w:r>
        <w:rPr>
          <w:color w:val="009391"/>
        </w:rPr>
        <w:t>intelligence</w:t>
      </w:r>
    </w:p>
    <w:p>
      <w:pPr>
        <w:pStyle w:val="ListParagraph"/>
        <w:numPr>
          <w:ilvl w:val="0"/>
          <w:numId w:val="52"/>
        </w:numPr>
        <w:tabs>
          <w:tab w:pos="659" w:val="left" w:leader="none"/>
          <w:tab w:pos="660" w:val="left" w:leader="none"/>
        </w:tabs>
        <w:spacing w:line="232" w:lineRule="auto" w:before="129" w:after="0"/>
        <w:ind w:left="180" w:right="38" w:firstLine="0"/>
        <w:jc w:val="left"/>
        <w:rPr>
          <w:sz w:val="18"/>
        </w:rPr>
      </w:pPr>
      <w:r>
        <w:rPr>
          <w:sz w:val="18"/>
        </w:rPr>
        <w:t>Market expectations of official UK interest rates implied by short sterling futures contracts had risen since the previous meeting of the Committee; most of this movement had occurred in early January. A large majority of market participants expected the Committee to increase official interest rates by 25 basis points at its next meeting; a few predicted a 50 basis point rise. Interest rate expectations had also risen sharply in the US and euro area, with futures contracts implying that interest rates in each would be increased by a total of 50 basis points in the first quarter of 2000. The smooth transition to the Year 2000 had reinforced expectations of rate rises, particularly in the US. Data</w:t>
      </w:r>
      <w:r>
        <w:rPr>
          <w:spacing w:val="8"/>
          <w:sz w:val="18"/>
        </w:rPr>
        <w:t> </w:t>
      </w:r>
      <w:r>
        <w:rPr>
          <w:sz w:val="18"/>
        </w:rPr>
        <w:t>releases</w:t>
      </w:r>
    </w:p>
    <w:p>
      <w:pPr>
        <w:pStyle w:val="BodyText"/>
        <w:spacing w:before="7"/>
        <w:rPr>
          <w:sz w:val="19"/>
        </w:rPr>
      </w:pPr>
      <w:r>
        <w:rPr/>
        <w:br w:type="column"/>
      </w:r>
      <w:r>
        <w:rPr>
          <w:sz w:val="19"/>
        </w:rPr>
      </w:r>
    </w:p>
    <w:p>
      <w:pPr>
        <w:pStyle w:val="BodyText"/>
        <w:spacing w:line="232" w:lineRule="auto" w:before="1"/>
        <w:ind w:left="180" w:right="496"/>
      </w:pPr>
      <w:r>
        <w:rPr/>
        <w:t>in the UK, US, and euro area had been interpreted as signalling stronger global economic prospects.</w:t>
      </w:r>
    </w:p>
    <w:p>
      <w:pPr>
        <w:pStyle w:val="BodyText"/>
        <w:spacing w:before="9"/>
        <w:rPr>
          <w:sz w:val="16"/>
        </w:rPr>
      </w:pPr>
    </w:p>
    <w:p>
      <w:pPr>
        <w:pStyle w:val="ListParagraph"/>
        <w:numPr>
          <w:ilvl w:val="0"/>
          <w:numId w:val="52"/>
        </w:numPr>
        <w:tabs>
          <w:tab w:pos="659" w:val="left" w:leader="none"/>
          <w:tab w:pos="660" w:val="left" w:leader="none"/>
        </w:tabs>
        <w:spacing w:line="203" w:lineRule="exact" w:before="0" w:after="0"/>
        <w:ind w:left="659" w:right="0" w:hanging="480"/>
        <w:jc w:val="left"/>
        <w:rPr>
          <w:sz w:val="18"/>
        </w:rPr>
      </w:pPr>
      <w:r>
        <w:rPr>
          <w:sz w:val="18"/>
        </w:rPr>
        <w:t>Sterling had appreciated against the dollar during</w:t>
      </w:r>
      <w:r>
        <w:rPr>
          <w:spacing w:val="-18"/>
          <w:sz w:val="18"/>
        </w:rPr>
        <w:t> </w:t>
      </w:r>
      <w:r>
        <w:rPr>
          <w:sz w:val="18"/>
        </w:rPr>
        <w:t>the</w:t>
      </w:r>
    </w:p>
    <w:p>
      <w:pPr>
        <w:pStyle w:val="BodyText"/>
        <w:spacing w:line="232" w:lineRule="auto" w:before="2"/>
        <w:ind w:left="180" w:right="176"/>
      </w:pPr>
      <w:r>
        <w:rPr/>
        <w:t>month. It had risen less against the euro, although in late December sterling had reached a new high against the euro. Some market participants had commented that they expected the euro to appreciate over the next year. Data releases indicated that the German economy was recovering, and structural reforms in the euro area were in prospect. On balance, market forecasts</w:t>
      </w:r>
      <w:r>
        <w:rPr>
          <w:spacing w:val="-28"/>
        </w:rPr>
        <w:t> </w:t>
      </w:r>
      <w:r>
        <w:rPr/>
        <w:t>for</w:t>
      </w:r>
    </w:p>
    <w:p>
      <w:pPr>
        <w:pStyle w:val="BodyText"/>
        <w:spacing w:line="232" w:lineRule="auto"/>
        <w:ind w:left="180" w:right="366"/>
        <w:jc w:val="both"/>
      </w:pPr>
      <w:r>
        <w:rPr/>
        <w:t>2000 were for the sterling-dollar exchange rate to remain broadly stable, and for the euro to appreciate against both sterling and the dollar.</w:t>
      </w:r>
    </w:p>
    <w:p>
      <w:pPr>
        <w:spacing w:after="0" w:line="232" w:lineRule="auto"/>
        <w:jc w:val="both"/>
        <w:sectPr>
          <w:type w:val="continuous"/>
          <w:pgSz w:w="11900" w:h="16840"/>
          <w:pgMar w:top="1220" w:bottom="280" w:left="620" w:right="640"/>
          <w:cols w:num="2" w:equalWidth="0">
            <w:col w:w="5002" w:space="388"/>
            <w:col w:w="5250"/>
          </w:cols>
        </w:sectPr>
      </w:pPr>
    </w:p>
    <w:p>
      <w:pPr>
        <w:pStyle w:val="BodyText"/>
        <w:rPr>
          <w:sz w:val="20"/>
        </w:rPr>
      </w:pPr>
    </w:p>
    <w:p>
      <w:pPr>
        <w:spacing w:line="357" w:lineRule="auto" w:before="218"/>
        <w:ind w:left="175" w:right="3079" w:firstLine="0"/>
        <w:jc w:val="left"/>
        <w:rPr>
          <w:b/>
          <w:sz w:val="28"/>
        </w:rPr>
      </w:pPr>
      <w:bookmarkStart w:name="January press notice" w:id="91"/>
      <w:bookmarkEnd w:id="91"/>
      <w:r>
        <w:rPr/>
      </w:r>
      <w:bookmarkStart w:name="_bookmark39" w:id="92"/>
      <w:bookmarkEnd w:id="92"/>
      <w:r>
        <w:rPr/>
      </w:r>
      <w:r>
        <w:rPr>
          <w:b/>
          <w:color w:val="009391"/>
          <w:sz w:val="28"/>
        </w:rPr>
        <w:t>Text of Bank of England press notice of 13 January 2000 Bank of England raises interest rates by 0.25% to 5.75%</w:t>
      </w:r>
    </w:p>
    <w:p>
      <w:pPr>
        <w:pStyle w:val="BodyText"/>
        <w:spacing w:before="244"/>
        <w:ind w:left="180"/>
      </w:pPr>
      <w:r>
        <w:rPr/>
        <w:t>The Bank of England’s Monetary Policy Committee today voted to raise the Bank’s repo rate by 0.25% to 5.75%.</w:t>
      </w:r>
    </w:p>
    <w:p>
      <w:pPr>
        <w:pStyle w:val="BodyText"/>
        <w:spacing w:before="2"/>
        <w:rPr>
          <w:sz w:val="17"/>
        </w:rPr>
      </w:pPr>
    </w:p>
    <w:p>
      <w:pPr>
        <w:pStyle w:val="BodyText"/>
        <w:spacing w:line="232" w:lineRule="auto"/>
        <w:ind w:left="179" w:right="226"/>
      </w:pPr>
      <w:r>
        <w:rPr/>
        <w:t>The Committee reviewed monetary and economic developments since its previous meeting. The outlook for world economic activity has strengthened. Prospective growth in domestic demand remains strong: increases in wealth, labour income and household borrowing all suggest that consumer spending will continue to grow robustly. Inflation is currently below the 2</w:t>
      </w:r>
      <w:r>
        <w:rPr>
          <w:position w:val="6"/>
          <w:sz w:val="9"/>
        </w:rPr>
        <w:t>1</w:t>
      </w:r>
      <w:r>
        <w:rPr/>
        <w:t>/</w:t>
      </w:r>
      <w:r>
        <w:rPr>
          <w:sz w:val="9"/>
        </w:rPr>
        <w:t>2</w:t>
      </w:r>
      <w:r>
        <w:rPr/>
        <w:t>% target and is expected to remain so for a while, but it is likely to rise above target further ahead, reflecting developing pressures in the labour market and on productive capacity.</w:t>
      </w:r>
    </w:p>
    <w:p>
      <w:pPr>
        <w:pStyle w:val="BodyText"/>
        <w:spacing w:line="232" w:lineRule="auto"/>
        <w:ind w:left="179" w:right="654"/>
      </w:pPr>
      <w:r>
        <w:rPr/>
        <w:t>Accordingly the Committee concluded that an increase in interest rates of 0.25% to 5.75% was needed to meet the inflation target in the medium term.</w:t>
      </w:r>
    </w:p>
    <w:p>
      <w:pPr>
        <w:pStyle w:val="BodyText"/>
        <w:spacing w:before="6"/>
        <w:rPr>
          <w:sz w:val="16"/>
        </w:rPr>
      </w:pPr>
    </w:p>
    <w:p>
      <w:pPr>
        <w:pStyle w:val="BodyText"/>
        <w:ind w:left="179"/>
      </w:pPr>
      <w:r>
        <w:rPr/>
        <w:t>The minutes of the meeting will be published at 9.30 am on Wednesday 26 January.</w:t>
      </w:r>
    </w:p>
    <w:p>
      <w:pPr>
        <w:spacing w:after="0"/>
        <w:sectPr>
          <w:pgSz w:w="11900" w:h="16840"/>
          <w:pgMar w:header="566" w:footer="597" w:top="760" w:bottom="780" w:left="620" w:right="640"/>
        </w:sectPr>
      </w:pPr>
    </w:p>
    <w:p>
      <w:pPr>
        <w:pStyle w:val="BodyText"/>
        <w:rPr>
          <w:sz w:val="20"/>
        </w:rPr>
      </w:pPr>
    </w:p>
    <w:p>
      <w:pPr>
        <w:pStyle w:val="Heading3"/>
        <w:spacing w:line="357" w:lineRule="auto" w:before="218"/>
        <w:ind w:left="205" w:right="3079"/>
      </w:pPr>
      <w:bookmarkStart w:name="February press notice" w:id="93"/>
      <w:bookmarkEnd w:id="93"/>
      <w:r>
        <w:rPr>
          <w:b w:val="0"/>
        </w:rPr>
      </w:r>
      <w:bookmarkStart w:name="_bookmark40" w:id="94"/>
      <w:bookmarkEnd w:id="94"/>
      <w:r>
        <w:rPr>
          <w:b w:val="0"/>
        </w:rPr>
      </w:r>
      <w:r>
        <w:rPr>
          <w:color w:val="009391"/>
        </w:rPr>
        <w:t>Text of Bank of England press notice of 10 February 2000 Bank of England raises interest rates by 0.25% to 6.0%</w:t>
      </w:r>
    </w:p>
    <w:p>
      <w:pPr>
        <w:pStyle w:val="BodyText"/>
        <w:rPr>
          <w:b/>
          <w:sz w:val="14"/>
        </w:rPr>
      </w:pPr>
    </w:p>
    <w:p>
      <w:pPr>
        <w:pStyle w:val="BodyText"/>
        <w:spacing w:before="93"/>
        <w:ind w:left="210"/>
      </w:pPr>
      <w:r>
        <w:rPr/>
        <w:t>The Bank of England's Monetary Policy Committee today voted to raise the Bank’s repo rate by 0.25% to 6.0%.</w:t>
      </w:r>
    </w:p>
    <w:p>
      <w:pPr>
        <w:pStyle w:val="BodyText"/>
        <w:spacing w:before="8"/>
        <w:rPr>
          <w:sz w:val="16"/>
        </w:rPr>
      </w:pPr>
    </w:p>
    <w:p>
      <w:pPr>
        <w:pStyle w:val="BodyText"/>
        <w:spacing w:line="463" w:lineRule="auto" w:before="1"/>
        <w:ind w:left="210" w:right="862" w:hanging="1"/>
      </w:pPr>
      <w:r>
        <w:rPr/>
        <w:t>The Committee’s latest inflation and output projections will appear in the </w:t>
      </w:r>
      <w:r>
        <w:rPr>
          <w:i/>
        </w:rPr>
        <w:t>Inflation Report </w:t>
      </w:r>
      <w:r>
        <w:rPr/>
        <w:t>to be published on Thursday 17 February. The minutes of the meeting will be published at 9.30 am on Wednesday 23 February.</w:t>
      </w:r>
    </w:p>
    <w:p>
      <w:pPr>
        <w:spacing w:after="0" w:line="463" w:lineRule="auto"/>
        <w:sectPr>
          <w:pgSz w:w="11900" w:h="16840"/>
          <w:pgMar w:header="566" w:footer="597" w:top="760" w:bottom="780" w:left="620" w:right="640"/>
        </w:sectPr>
      </w:pPr>
    </w:p>
    <w:p>
      <w:pPr>
        <w:pStyle w:val="Heading3"/>
        <w:spacing w:before="61"/>
        <w:ind w:left="589"/>
      </w:pPr>
      <w:bookmarkStart w:name="Glossary and other information" w:id="95"/>
      <w:bookmarkEnd w:id="95"/>
      <w:r>
        <w:rPr>
          <w:b w:val="0"/>
        </w:rPr>
      </w:r>
      <w:bookmarkStart w:name="_bookmark41" w:id="96"/>
      <w:bookmarkEnd w:id="96"/>
      <w:r>
        <w:rPr>
          <w:b w:val="0"/>
        </w:rPr>
      </w:r>
      <w:r>
        <w:rPr>
          <w:color w:val="009391"/>
        </w:rPr>
        <w:t>Glossary and other information</w:t>
      </w:r>
    </w:p>
    <w:p>
      <w:pPr>
        <w:pStyle w:val="BodyText"/>
        <w:spacing w:before="8"/>
        <w:rPr>
          <w:b/>
          <w:sz w:val="25"/>
        </w:rPr>
      </w:pPr>
    </w:p>
    <w:p>
      <w:pPr>
        <w:pStyle w:val="Heading5"/>
      </w:pPr>
      <w:r>
        <w:rPr>
          <w:color w:val="0092C7"/>
        </w:rPr>
        <w:t>Glossary of selected data</w:t>
      </w:r>
    </w:p>
    <w:p>
      <w:pPr>
        <w:spacing w:before="121"/>
        <w:ind w:left="589" w:right="0" w:firstLine="0"/>
        <w:jc w:val="left"/>
        <w:rPr>
          <w:sz w:val="19"/>
        </w:rPr>
      </w:pPr>
      <w:r>
        <w:rPr>
          <w:b/>
          <w:sz w:val="19"/>
        </w:rPr>
        <w:t>AEI: </w:t>
      </w:r>
      <w:r>
        <w:rPr>
          <w:sz w:val="19"/>
        </w:rPr>
        <w:t>Average Earnings Index.</w:t>
      </w:r>
    </w:p>
    <w:p>
      <w:pPr>
        <w:spacing w:before="12"/>
        <w:ind w:left="589" w:right="0" w:firstLine="0"/>
        <w:jc w:val="left"/>
        <w:rPr>
          <w:sz w:val="19"/>
        </w:rPr>
      </w:pPr>
      <w:r>
        <w:rPr>
          <w:b/>
          <w:sz w:val="19"/>
        </w:rPr>
        <w:t>DGI: </w:t>
      </w:r>
      <w:r>
        <w:rPr>
          <w:sz w:val="19"/>
        </w:rPr>
        <w:t>domestically generated inflation.</w:t>
      </w:r>
    </w:p>
    <w:p>
      <w:pPr>
        <w:spacing w:line="252" w:lineRule="auto" w:before="11"/>
        <w:ind w:left="809" w:right="398" w:hanging="220"/>
        <w:jc w:val="left"/>
        <w:rPr>
          <w:sz w:val="19"/>
        </w:rPr>
      </w:pPr>
      <w:r>
        <w:rPr>
          <w:b/>
          <w:sz w:val="19"/>
        </w:rPr>
        <w:t>Divisia money</w:t>
      </w:r>
      <w:r>
        <w:rPr>
          <w:sz w:val="19"/>
        </w:rPr>
        <w:t>: a measure of the money stock in which each component is weighted according to an estimate of its likely use for transactions.</w:t>
      </w:r>
    </w:p>
    <w:p>
      <w:pPr>
        <w:spacing w:before="1"/>
        <w:ind w:left="589" w:right="0" w:firstLine="0"/>
        <w:jc w:val="left"/>
        <w:rPr>
          <w:sz w:val="19"/>
        </w:rPr>
      </w:pPr>
      <w:r>
        <w:rPr>
          <w:b/>
          <w:sz w:val="19"/>
        </w:rPr>
        <w:t>ERI: </w:t>
      </w:r>
      <w:r>
        <w:rPr>
          <w:sz w:val="19"/>
        </w:rPr>
        <w:t>exchange rate index.</w:t>
      </w:r>
    </w:p>
    <w:p>
      <w:pPr>
        <w:spacing w:before="12"/>
        <w:ind w:left="589" w:right="0" w:firstLine="0"/>
        <w:jc w:val="left"/>
        <w:rPr>
          <w:sz w:val="19"/>
        </w:rPr>
      </w:pPr>
      <w:r>
        <w:rPr>
          <w:b/>
          <w:sz w:val="19"/>
        </w:rPr>
        <w:t>HICP: </w:t>
      </w:r>
      <w:r>
        <w:rPr>
          <w:sz w:val="19"/>
        </w:rPr>
        <w:t>Harmonised Index of Consumer Prices.</w:t>
      </w:r>
    </w:p>
    <w:p>
      <w:pPr>
        <w:spacing w:before="11"/>
        <w:ind w:left="589" w:right="0" w:firstLine="0"/>
        <w:jc w:val="left"/>
        <w:rPr>
          <w:sz w:val="19"/>
        </w:rPr>
      </w:pPr>
      <w:r>
        <w:rPr>
          <w:b/>
          <w:sz w:val="19"/>
        </w:rPr>
        <w:t>M0</w:t>
      </w:r>
      <w:r>
        <w:rPr>
          <w:sz w:val="19"/>
        </w:rPr>
        <w:t>: notes and coin in circulation outside the Bank of England and bankers’ operational deposits at the Bank.</w:t>
      </w:r>
    </w:p>
    <w:p>
      <w:pPr>
        <w:spacing w:line="252" w:lineRule="auto" w:before="12"/>
        <w:ind w:left="809" w:right="703" w:hanging="220"/>
        <w:jc w:val="left"/>
        <w:rPr>
          <w:sz w:val="19"/>
        </w:rPr>
      </w:pPr>
      <w:r>
        <w:rPr>
          <w:b/>
          <w:sz w:val="19"/>
        </w:rPr>
        <w:t>M4</w:t>
      </w:r>
      <w:r>
        <w:rPr>
          <w:sz w:val="19"/>
        </w:rPr>
        <w:t>: UK non-bank, non building society private sector’s holdings of notes and coin, together with all sterling deposits (including certificates of deposit) held at UK banks and building societies by the non-bank, non building society private sector.</w:t>
      </w:r>
    </w:p>
    <w:p>
      <w:pPr>
        <w:spacing w:line="252" w:lineRule="auto" w:before="2"/>
        <w:ind w:left="809" w:right="1302" w:hanging="220"/>
        <w:jc w:val="left"/>
        <w:rPr>
          <w:sz w:val="19"/>
        </w:rPr>
      </w:pPr>
      <w:r>
        <w:rPr>
          <w:b/>
          <w:sz w:val="19"/>
        </w:rPr>
        <w:t>Reward Index: </w:t>
      </w:r>
      <w:r>
        <w:rPr>
          <w:sz w:val="19"/>
        </w:rPr>
        <w:t>a six-month moving average measure of growth in total pay in the United Kingdom, produced by The Reward Group.</w:t>
      </w:r>
    </w:p>
    <w:p>
      <w:pPr>
        <w:spacing w:before="1"/>
        <w:ind w:left="589" w:right="0" w:firstLine="0"/>
        <w:jc w:val="left"/>
        <w:rPr>
          <w:sz w:val="19"/>
        </w:rPr>
      </w:pPr>
      <w:r>
        <w:rPr>
          <w:b/>
          <w:sz w:val="19"/>
        </w:rPr>
        <w:t>RPI inflation</w:t>
      </w:r>
      <w:r>
        <w:rPr>
          <w:sz w:val="19"/>
        </w:rPr>
        <w:t>: inflation measured by the retail price index.</w:t>
      </w:r>
    </w:p>
    <w:p>
      <w:pPr>
        <w:spacing w:before="11"/>
        <w:ind w:left="589" w:right="0" w:firstLine="0"/>
        <w:jc w:val="left"/>
        <w:rPr>
          <w:sz w:val="19"/>
        </w:rPr>
      </w:pPr>
      <w:r>
        <w:rPr>
          <w:b/>
          <w:sz w:val="19"/>
        </w:rPr>
        <w:t>RPIX inflation</w:t>
      </w:r>
      <w:r>
        <w:rPr>
          <w:sz w:val="19"/>
        </w:rPr>
        <w:t>: inflation measured by the RPI excluding mortgage interest payments.</w:t>
      </w:r>
    </w:p>
    <w:p>
      <w:pPr>
        <w:spacing w:line="252" w:lineRule="auto" w:before="12"/>
        <w:ind w:left="809" w:right="641" w:hanging="220"/>
        <w:jc w:val="left"/>
        <w:rPr>
          <w:sz w:val="19"/>
        </w:rPr>
      </w:pPr>
      <w:r>
        <w:rPr>
          <w:b/>
          <w:sz w:val="19"/>
        </w:rPr>
        <w:t>RPIY inflation</w:t>
      </w:r>
      <w:r>
        <w:rPr>
          <w:sz w:val="19"/>
        </w:rPr>
        <w:t>: inflation measured by the RPI excluding mortgage interest payments and the following indirect taxes: council tax, VAT, duties, car purchase tax and vehicle excise duty, insurance tax and airport tax.</w:t>
      </w:r>
    </w:p>
    <w:p>
      <w:pPr>
        <w:spacing w:before="121"/>
        <w:ind w:left="589" w:right="0" w:firstLine="0"/>
        <w:jc w:val="left"/>
        <w:rPr>
          <w:sz w:val="19"/>
        </w:rPr>
      </w:pPr>
      <w:r>
        <w:rPr>
          <w:b/>
          <w:sz w:val="19"/>
        </w:rPr>
        <w:t>Three-month annualised</w:t>
      </w:r>
      <w:r>
        <w:rPr>
          <w:sz w:val="19"/>
        </w:rPr>
        <w:t>: the percentage change in a series over three months, expressed as an annual rate.</w:t>
      </w:r>
    </w:p>
    <w:p>
      <w:pPr>
        <w:pStyle w:val="BodyText"/>
        <w:spacing w:before="8"/>
      </w:pPr>
    </w:p>
    <w:p>
      <w:pPr>
        <w:pStyle w:val="Heading5"/>
      </w:pPr>
      <w:r>
        <w:rPr>
          <w:color w:val="0092C7"/>
        </w:rPr>
        <w:t>Abbreviations</w:t>
      </w:r>
    </w:p>
    <w:p>
      <w:pPr>
        <w:spacing w:before="81"/>
        <w:ind w:left="589" w:right="0" w:firstLine="0"/>
        <w:jc w:val="left"/>
        <w:rPr>
          <w:sz w:val="19"/>
        </w:rPr>
      </w:pPr>
      <w:r>
        <w:rPr>
          <w:b/>
          <w:sz w:val="19"/>
        </w:rPr>
        <w:t>ACT: </w:t>
      </w:r>
      <w:r>
        <w:rPr>
          <w:sz w:val="19"/>
        </w:rPr>
        <w:t>Advance Corporation Tax.</w:t>
      </w:r>
    </w:p>
    <w:p>
      <w:pPr>
        <w:spacing w:before="11"/>
        <w:ind w:left="589" w:right="0" w:firstLine="0"/>
        <w:jc w:val="left"/>
        <w:rPr>
          <w:sz w:val="19"/>
        </w:rPr>
      </w:pPr>
      <w:r>
        <w:rPr>
          <w:b/>
          <w:sz w:val="19"/>
        </w:rPr>
        <w:t>AEI: </w:t>
      </w:r>
      <w:r>
        <w:rPr>
          <w:sz w:val="19"/>
        </w:rPr>
        <w:t>Average Earnings Index.</w:t>
      </w:r>
    </w:p>
    <w:p>
      <w:pPr>
        <w:spacing w:before="12"/>
        <w:ind w:left="589" w:right="0" w:firstLine="0"/>
        <w:jc w:val="left"/>
        <w:rPr>
          <w:sz w:val="19"/>
        </w:rPr>
      </w:pPr>
      <w:r>
        <w:rPr>
          <w:b/>
          <w:sz w:val="19"/>
        </w:rPr>
        <w:t>BCC: </w:t>
      </w:r>
      <w:r>
        <w:rPr>
          <w:sz w:val="19"/>
        </w:rPr>
        <w:t>British Chambers of Commerce.</w:t>
      </w:r>
    </w:p>
    <w:p>
      <w:pPr>
        <w:spacing w:before="11"/>
        <w:ind w:left="589" w:right="0" w:firstLine="0"/>
        <w:jc w:val="left"/>
        <w:rPr>
          <w:sz w:val="19"/>
        </w:rPr>
      </w:pPr>
      <w:r>
        <w:rPr>
          <w:b/>
          <w:sz w:val="19"/>
        </w:rPr>
        <w:t>CBI: </w:t>
      </w:r>
      <w:r>
        <w:rPr>
          <w:sz w:val="19"/>
        </w:rPr>
        <w:t>Confederation of British Industry.</w:t>
      </w:r>
    </w:p>
    <w:p>
      <w:pPr>
        <w:spacing w:before="12"/>
        <w:ind w:left="589" w:right="0" w:firstLine="0"/>
        <w:jc w:val="left"/>
        <w:rPr>
          <w:sz w:val="19"/>
        </w:rPr>
      </w:pPr>
      <w:r>
        <w:rPr>
          <w:b/>
          <w:sz w:val="19"/>
        </w:rPr>
        <w:t>CIPS: </w:t>
      </w:r>
      <w:r>
        <w:rPr>
          <w:sz w:val="19"/>
        </w:rPr>
        <w:t>Chartered Institute of Purchasing and Supply.</w:t>
      </w:r>
    </w:p>
    <w:p>
      <w:pPr>
        <w:spacing w:before="11"/>
        <w:ind w:left="589" w:right="0" w:firstLine="0"/>
        <w:jc w:val="left"/>
        <w:rPr>
          <w:sz w:val="19"/>
        </w:rPr>
      </w:pPr>
      <w:r>
        <w:rPr>
          <w:b/>
          <w:sz w:val="19"/>
        </w:rPr>
        <w:t>DETR: </w:t>
      </w:r>
      <w:r>
        <w:rPr>
          <w:sz w:val="19"/>
        </w:rPr>
        <w:t>Department of the Environment, Transport and the Regions.</w:t>
      </w:r>
    </w:p>
    <w:p>
      <w:pPr>
        <w:spacing w:before="12"/>
        <w:ind w:left="589" w:right="0" w:firstLine="0"/>
        <w:jc w:val="left"/>
        <w:rPr>
          <w:sz w:val="19"/>
        </w:rPr>
      </w:pPr>
      <w:r>
        <w:rPr>
          <w:b/>
          <w:sz w:val="19"/>
        </w:rPr>
        <w:t>DS: </w:t>
      </w:r>
      <w:r>
        <w:rPr>
          <w:sz w:val="19"/>
        </w:rPr>
        <w:t>Datastream.</w:t>
      </w:r>
    </w:p>
    <w:p>
      <w:pPr>
        <w:spacing w:before="11"/>
        <w:ind w:left="589" w:right="0" w:firstLine="0"/>
        <w:jc w:val="left"/>
        <w:rPr>
          <w:sz w:val="19"/>
        </w:rPr>
      </w:pPr>
      <w:r>
        <w:rPr>
          <w:b/>
          <w:sz w:val="19"/>
        </w:rPr>
        <w:t>FTSE: </w:t>
      </w:r>
      <w:r>
        <w:rPr>
          <w:sz w:val="19"/>
        </w:rPr>
        <w:t>Financial Times Stock Exchange.</w:t>
      </w:r>
    </w:p>
    <w:p>
      <w:pPr>
        <w:spacing w:before="12"/>
        <w:ind w:left="589" w:right="0" w:firstLine="0"/>
        <w:jc w:val="left"/>
        <w:rPr>
          <w:sz w:val="19"/>
        </w:rPr>
      </w:pPr>
      <w:r>
        <w:rPr>
          <w:b/>
          <w:sz w:val="19"/>
        </w:rPr>
        <w:t>GfK: </w:t>
      </w:r>
      <w:r>
        <w:rPr>
          <w:sz w:val="19"/>
        </w:rPr>
        <w:t>Gesellschaft für Konsum, Great Britain Ltd.</w:t>
      </w:r>
    </w:p>
    <w:p>
      <w:pPr>
        <w:spacing w:before="11"/>
        <w:ind w:left="589" w:right="0" w:firstLine="0"/>
        <w:jc w:val="left"/>
        <w:rPr>
          <w:sz w:val="19"/>
        </w:rPr>
      </w:pPr>
      <w:r>
        <w:rPr>
          <w:b/>
          <w:sz w:val="19"/>
        </w:rPr>
        <w:t>IT: </w:t>
      </w:r>
      <w:r>
        <w:rPr>
          <w:sz w:val="19"/>
        </w:rPr>
        <w:t>Information technology.</w:t>
      </w:r>
    </w:p>
    <w:p>
      <w:pPr>
        <w:spacing w:before="12"/>
        <w:ind w:left="589" w:right="0" w:firstLine="0"/>
        <w:jc w:val="left"/>
        <w:rPr>
          <w:sz w:val="19"/>
        </w:rPr>
      </w:pPr>
      <w:r>
        <w:rPr>
          <w:b/>
          <w:sz w:val="19"/>
        </w:rPr>
        <w:t>LIFFE: </w:t>
      </w:r>
      <w:r>
        <w:rPr>
          <w:sz w:val="19"/>
        </w:rPr>
        <w:t>London International Financial Futures and Options Exchange.</w:t>
      </w:r>
    </w:p>
    <w:p>
      <w:pPr>
        <w:spacing w:before="11"/>
        <w:ind w:left="589" w:right="0" w:firstLine="0"/>
        <w:jc w:val="left"/>
        <w:rPr>
          <w:sz w:val="19"/>
        </w:rPr>
      </w:pPr>
      <w:r>
        <w:rPr>
          <w:b/>
          <w:sz w:val="19"/>
        </w:rPr>
        <w:t>LFS: </w:t>
      </w:r>
      <w:r>
        <w:rPr>
          <w:sz w:val="19"/>
        </w:rPr>
        <w:t>Labour Force Survey.</w:t>
      </w:r>
    </w:p>
    <w:p>
      <w:pPr>
        <w:spacing w:before="12"/>
        <w:ind w:left="589" w:right="0" w:firstLine="0"/>
        <w:jc w:val="left"/>
        <w:rPr>
          <w:sz w:val="19"/>
        </w:rPr>
      </w:pPr>
      <w:r>
        <w:rPr>
          <w:b/>
          <w:sz w:val="19"/>
        </w:rPr>
        <w:t>MEW: </w:t>
      </w:r>
      <w:r>
        <w:rPr>
          <w:sz w:val="19"/>
        </w:rPr>
        <w:t>Mortgage equity withdrawal.</w:t>
      </w:r>
    </w:p>
    <w:p>
      <w:pPr>
        <w:spacing w:before="11"/>
        <w:ind w:left="589" w:right="0" w:firstLine="0"/>
        <w:jc w:val="left"/>
        <w:rPr>
          <w:sz w:val="19"/>
        </w:rPr>
      </w:pPr>
      <w:r>
        <w:rPr>
          <w:b/>
          <w:sz w:val="19"/>
        </w:rPr>
        <w:t>MPC:  </w:t>
      </w:r>
      <w:r>
        <w:rPr>
          <w:sz w:val="19"/>
        </w:rPr>
        <w:t>Monetary Policy</w:t>
      </w:r>
      <w:r>
        <w:rPr>
          <w:spacing w:val="-27"/>
          <w:sz w:val="19"/>
        </w:rPr>
        <w:t> </w:t>
      </w:r>
      <w:r>
        <w:rPr>
          <w:sz w:val="19"/>
        </w:rPr>
        <w:t>Committee.</w:t>
      </w:r>
    </w:p>
    <w:p>
      <w:pPr>
        <w:spacing w:line="252" w:lineRule="auto" w:before="12"/>
        <w:ind w:left="589" w:right="4783" w:firstLine="0"/>
        <w:jc w:val="left"/>
        <w:rPr>
          <w:sz w:val="19"/>
        </w:rPr>
      </w:pPr>
      <w:r>
        <w:rPr>
          <w:b/>
          <w:sz w:val="19"/>
        </w:rPr>
        <w:t>NIESR: </w:t>
      </w:r>
      <w:r>
        <w:rPr>
          <w:sz w:val="19"/>
        </w:rPr>
        <w:t>National Institute of Economic and Social Research. </w:t>
      </w:r>
      <w:r>
        <w:rPr>
          <w:b/>
          <w:sz w:val="19"/>
        </w:rPr>
        <w:t>OECD: </w:t>
      </w:r>
      <w:r>
        <w:rPr>
          <w:sz w:val="19"/>
        </w:rPr>
        <w:t>Organisation for Economic Co-operation and Development. </w:t>
      </w:r>
      <w:r>
        <w:rPr>
          <w:b/>
          <w:sz w:val="19"/>
        </w:rPr>
        <w:t>OFCs: </w:t>
      </w:r>
      <w:r>
        <w:rPr>
          <w:sz w:val="19"/>
        </w:rPr>
        <w:t>Other financial</w:t>
      </w:r>
      <w:r>
        <w:rPr>
          <w:spacing w:val="-5"/>
          <w:sz w:val="19"/>
        </w:rPr>
        <w:t> </w:t>
      </w:r>
      <w:r>
        <w:rPr>
          <w:sz w:val="19"/>
        </w:rPr>
        <w:t>corporations.</w:t>
      </w:r>
    </w:p>
    <w:p>
      <w:pPr>
        <w:spacing w:before="2"/>
        <w:ind w:left="589" w:right="0" w:firstLine="0"/>
        <w:jc w:val="left"/>
        <w:rPr>
          <w:sz w:val="19"/>
        </w:rPr>
      </w:pPr>
      <w:r>
        <w:rPr>
          <w:b/>
          <w:sz w:val="19"/>
        </w:rPr>
        <w:t>ONS:  </w:t>
      </w:r>
      <w:r>
        <w:rPr>
          <w:sz w:val="19"/>
        </w:rPr>
        <w:t>Office for National</w:t>
      </w:r>
      <w:r>
        <w:rPr>
          <w:spacing w:val="-32"/>
          <w:sz w:val="19"/>
        </w:rPr>
        <w:t> </w:t>
      </w:r>
      <w:r>
        <w:rPr>
          <w:sz w:val="19"/>
        </w:rPr>
        <w:t>Statistics.</w:t>
      </w:r>
    </w:p>
    <w:p>
      <w:pPr>
        <w:spacing w:before="11"/>
        <w:ind w:left="589" w:right="0" w:firstLine="0"/>
        <w:jc w:val="left"/>
        <w:rPr>
          <w:sz w:val="19"/>
        </w:rPr>
      </w:pPr>
      <w:r>
        <w:rPr>
          <w:b/>
          <w:sz w:val="19"/>
        </w:rPr>
        <w:t>OPEC: </w:t>
      </w:r>
      <w:r>
        <w:rPr>
          <w:sz w:val="19"/>
        </w:rPr>
        <w:t>Organisation of Petroleum Exporting Countries.</w:t>
      </w:r>
    </w:p>
    <w:p>
      <w:pPr>
        <w:spacing w:before="12"/>
        <w:ind w:left="589" w:right="0" w:firstLine="0"/>
        <w:jc w:val="left"/>
        <w:rPr>
          <w:sz w:val="19"/>
        </w:rPr>
      </w:pPr>
      <w:r>
        <w:rPr>
          <w:b/>
          <w:sz w:val="19"/>
        </w:rPr>
        <w:t>PBR: </w:t>
      </w:r>
      <w:r>
        <w:rPr>
          <w:sz w:val="19"/>
        </w:rPr>
        <w:t>Pre-Budget Report.</w:t>
      </w:r>
    </w:p>
    <w:p>
      <w:pPr>
        <w:spacing w:before="11"/>
        <w:ind w:left="589" w:right="0" w:firstLine="0"/>
        <w:jc w:val="left"/>
        <w:rPr>
          <w:sz w:val="19"/>
        </w:rPr>
      </w:pPr>
      <w:r>
        <w:rPr>
          <w:b/>
          <w:sz w:val="19"/>
        </w:rPr>
        <w:t>PNFCs: </w:t>
      </w:r>
      <w:r>
        <w:rPr>
          <w:sz w:val="19"/>
        </w:rPr>
        <w:t>Private non-financial corporations.</w:t>
      </w:r>
    </w:p>
    <w:p>
      <w:pPr>
        <w:spacing w:before="12"/>
        <w:ind w:left="589" w:right="0" w:firstLine="0"/>
        <w:jc w:val="left"/>
        <w:rPr>
          <w:sz w:val="19"/>
        </w:rPr>
      </w:pPr>
      <w:r>
        <w:rPr>
          <w:b/>
          <w:sz w:val="19"/>
        </w:rPr>
        <w:t>REC: </w:t>
      </w:r>
      <w:r>
        <w:rPr>
          <w:sz w:val="19"/>
        </w:rPr>
        <w:t>Recruitment and Employment Confederation.</w:t>
      </w:r>
    </w:p>
    <w:p>
      <w:pPr>
        <w:spacing w:line="249" w:lineRule="auto" w:before="11"/>
        <w:ind w:left="589" w:right="7524" w:firstLine="0"/>
        <w:jc w:val="left"/>
        <w:rPr>
          <w:sz w:val="20"/>
        </w:rPr>
      </w:pPr>
      <w:r>
        <w:rPr>
          <w:b/>
          <w:sz w:val="19"/>
        </w:rPr>
        <w:t>S&amp;P</w:t>
      </w:r>
      <w:r>
        <w:rPr>
          <w:sz w:val="19"/>
        </w:rPr>
        <w:t>:  Standard and Poor’s. </w:t>
      </w:r>
      <w:r>
        <w:rPr>
          <w:b/>
          <w:sz w:val="19"/>
        </w:rPr>
        <w:t>UIP: </w:t>
      </w:r>
      <w:r>
        <w:rPr>
          <w:sz w:val="19"/>
        </w:rPr>
        <w:t>Uncovered interest parity. </w:t>
      </w:r>
      <w:r>
        <w:rPr>
          <w:b/>
          <w:sz w:val="19"/>
        </w:rPr>
        <w:t>WTD: </w:t>
      </w:r>
      <w:r>
        <w:rPr>
          <w:sz w:val="19"/>
        </w:rPr>
        <w:t>Working Time Directive. </w:t>
      </w:r>
      <w:r>
        <w:rPr>
          <w:b/>
          <w:sz w:val="20"/>
        </w:rPr>
        <w:t>Y2K: </w:t>
      </w:r>
      <w:r>
        <w:rPr>
          <w:sz w:val="20"/>
        </w:rPr>
        <w:t>Year</w:t>
      </w:r>
      <w:r>
        <w:rPr>
          <w:spacing w:val="-2"/>
          <w:sz w:val="20"/>
        </w:rPr>
        <w:t> </w:t>
      </w:r>
      <w:r>
        <w:rPr>
          <w:sz w:val="20"/>
        </w:rPr>
        <w:t>2000.</w:t>
      </w:r>
    </w:p>
    <w:p>
      <w:pPr>
        <w:pStyle w:val="Heading5"/>
        <w:spacing w:before="143"/>
      </w:pPr>
      <w:r>
        <w:rPr>
          <w:color w:val="0092C7"/>
        </w:rPr>
        <w:t>Symbols and conventions</w:t>
      </w:r>
    </w:p>
    <w:p>
      <w:pPr>
        <w:spacing w:before="80"/>
        <w:ind w:left="589" w:right="0" w:firstLine="0"/>
        <w:jc w:val="left"/>
        <w:rPr>
          <w:sz w:val="19"/>
        </w:rPr>
      </w:pPr>
      <w:r>
        <w:rPr>
          <w:sz w:val="19"/>
        </w:rPr>
        <w:t>Except where otherwise stated, the source of the data used in charts and tables is the Office for National Statistics (ONS).</w:t>
      </w:r>
    </w:p>
    <w:p>
      <w:pPr>
        <w:spacing w:before="12"/>
        <w:ind w:left="589" w:right="0" w:firstLine="0"/>
        <w:jc w:val="left"/>
        <w:rPr>
          <w:sz w:val="19"/>
        </w:rPr>
      </w:pPr>
      <w:r>
        <w:rPr>
          <w:sz w:val="19"/>
        </w:rPr>
        <w:t>n.a. = not available.</w:t>
      </w:r>
    </w:p>
    <w:p>
      <w:pPr>
        <w:spacing w:before="11"/>
        <w:ind w:left="589" w:right="0" w:firstLine="0"/>
        <w:jc w:val="left"/>
        <w:rPr>
          <w:sz w:val="19"/>
        </w:rPr>
      </w:pPr>
      <w:r>
        <w:rPr>
          <w:sz w:val="19"/>
        </w:rPr>
        <w:t>Because of rounding, the sum of the separate items may sometimes differ from the total shown.</w:t>
      </w:r>
    </w:p>
    <w:p>
      <w:pPr>
        <w:spacing w:line="252" w:lineRule="auto" w:before="12"/>
        <w:ind w:left="589" w:right="2438" w:firstLine="0"/>
        <w:jc w:val="left"/>
        <w:rPr>
          <w:sz w:val="19"/>
        </w:rPr>
      </w:pPr>
      <w:r>
        <w:rPr>
          <w:sz w:val="19"/>
        </w:rPr>
        <w:t>On the horizontal axes of graphs, larger ticks denote the first observation within the relevant period, eg data for the first quarter of the year.</w:t>
      </w:r>
    </w:p>
    <w:p>
      <w:pPr>
        <w:spacing w:before="145"/>
        <w:ind w:left="589" w:right="0" w:firstLine="0"/>
        <w:jc w:val="left"/>
        <w:rPr>
          <w:b/>
          <w:sz w:val="24"/>
        </w:rPr>
      </w:pPr>
      <w:r>
        <w:rPr>
          <w:b/>
          <w:color w:val="0092C7"/>
          <w:sz w:val="24"/>
        </w:rPr>
        <w:t>Other information</w:t>
      </w:r>
    </w:p>
    <w:p>
      <w:pPr>
        <w:spacing w:before="80"/>
        <w:ind w:left="589" w:right="0" w:firstLine="0"/>
        <w:jc w:val="left"/>
        <w:rPr>
          <w:sz w:val="19"/>
        </w:rPr>
      </w:pPr>
      <w:r>
        <w:rPr>
          <w:sz w:val="19"/>
        </w:rPr>
        <w:t>email:</w:t>
      </w:r>
      <w:hyperlink r:id="rId176">
        <w:r>
          <w:rPr>
            <w:sz w:val="19"/>
          </w:rPr>
          <w:t> mapublications@bankofengland.co.uk</w:t>
        </w:r>
      </w:hyperlink>
    </w:p>
    <w:p>
      <w:pPr>
        <w:spacing w:before="12"/>
        <w:ind w:left="589" w:right="0" w:firstLine="0"/>
        <w:jc w:val="left"/>
        <w:rPr>
          <w:sz w:val="19"/>
        </w:rPr>
      </w:pPr>
      <w:r>
        <w:rPr>
          <w:sz w:val="19"/>
        </w:rPr>
        <w:t>This </w:t>
      </w:r>
      <w:r>
        <w:rPr>
          <w:i/>
          <w:sz w:val="19"/>
        </w:rPr>
        <w:t>Report </w:t>
      </w:r>
      <w:r>
        <w:rPr>
          <w:sz w:val="19"/>
        </w:rPr>
        <w:t>is available at:</w:t>
      </w:r>
      <w:hyperlink r:id="rId6">
        <w:r>
          <w:rPr>
            <w:sz w:val="19"/>
          </w:rPr>
          <w:t> www.bankofengland.co.uk/ir.htm</w:t>
        </w:r>
      </w:hyperlink>
    </w:p>
    <w:sectPr>
      <w:headerReference w:type="default" r:id="rId174"/>
      <w:footerReference w:type="default" r:id="rId175"/>
      <w:pgSz w:w="11900" w:h="16840"/>
      <w:pgMar w:header="0" w:footer="0" w:top="800" w:bottom="280" w:left="62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45.330017pt;margin-top:801.141113pt;width:12.7pt;height:10.9pt;mso-position-horizontal-relative:page;mso-position-vertical-relative:page;z-index:-22416384"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0pt;height:10.9pt;mso-position-horizontal-relative:page;mso-position-vertical-relative:page;z-index:-2240768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8</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13pt;width:14pt;height:10.9pt;mso-position-horizontal-relative:page;mso-position-vertical-relative:page;z-index:-2240563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40512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720001pt;margin-top:801.141113pt;width:14.3pt;height:10.9pt;mso-position-horizontal-relative:page;mso-position-vertical-relative:page;z-index:-22404096" type="#_x0000_t202" filled="false" stroked="false">
          <v:textbox inset="0,0,0,0">
            <w:txbxContent>
              <w:p>
                <w:pPr>
                  <w:spacing w:before="13"/>
                  <w:ind w:left="65" w:right="0" w:firstLine="0"/>
                  <w:jc w:val="left"/>
                  <w:rPr>
                    <w:sz w:val="16"/>
                  </w:rPr>
                </w:pPr>
                <w:r>
                  <w:rPr/>
                  <w:fldChar w:fldCharType="begin"/>
                </w:r>
                <w:r>
                  <w:rPr>
                    <w:sz w:val="16"/>
                  </w:rPr>
                  <w:instrText> PAGE </w:instrText>
                </w:r>
                <w:r>
                  <w:rPr/>
                  <w:fldChar w:fldCharType="separate"/>
                </w:r>
                <w:r>
                  <w:rPr/>
                  <w:t>12</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450012pt;margin-top:800.141174pt;width:14pt;height:10.9pt;mso-position-horizontal-relative:page;mso-position-vertical-relative:page;z-index:-2240358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13</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720001pt;margin-top:801.141113pt;width:14pt;height:10.9pt;mso-position-horizontal-relative:page;mso-position-vertical-relative:page;z-index:-224020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14</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450012pt;margin-top:800.141113pt;width:14pt;height:10.9pt;mso-position-horizontal-relative:page;mso-position-vertical-relative:page;z-index:-2240153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15</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720001pt;margin-top:801.141113pt;width:14pt;height:10.9pt;mso-position-horizontal-relative:page;mso-position-vertical-relative:page;z-index:-2240000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16</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450378pt;margin-top:800.141113pt;width:14pt;height:10.9pt;mso-position-horizontal-relative:page;mso-position-vertical-relative:page;z-index:-223994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17</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720001pt;margin-top:801.141113pt;width:14.3pt;height:10.9pt;mso-position-horizontal-relative:page;mso-position-vertical-relative:page;z-index:-2239744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18</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2.25pt;height:10.9pt;mso-position-horizontal-relative:page;mso-position-vertical-relative:page;z-index:-22415872"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450012pt;margin-top:800.141174pt;width:14pt;height:10.9pt;mso-position-horizontal-relative:page;mso-position-vertical-relative:page;z-index:-2239692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pt;margin-top:800.141113pt;width:14pt;height:10.9pt;mso-position-horizontal-relative:page;mso-position-vertical-relative:page;z-index:-22396416" type="#_x0000_t202" filled="false" stroked="false">
          <v:textbox inset="0,0,0,0">
            <w:txbxContent>
              <w:p>
                <w:pPr>
                  <w:spacing w:before="13"/>
                  <w:ind w:left="60" w:right="0" w:firstLine="0"/>
                  <w:jc w:val="left"/>
                  <w:rPr>
                    <w:sz w:val="16"/>
                  </w:rPr>
                </w:pPr>
                <w:r>
                  <w:rPr/>
                  <w:fldChar w:fldCharType="begin"/>
                </w:r>
                <w:r>
                  <w:rPr>
                    <w:color w:val="231F20"/>
                    <w:sz w:val="16"/>
                  </w:rPr>
                  <w:instrText> PAGE </w:instrText>
                </w:r>
                <w:r>
                  <w:rPr/>
                  <w:fldChar w:fldCharType="separate"/>
                </w:r>
                <w:r>
                  <w:rPr/>
                  <w:t>25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3959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26</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13pt;width:14pt;height:10.9pt;mso-position-horizontal-relative:page;mso-position-vertical-relative:page;z-index:-2239334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27</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39283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28</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13pt;width:14pt;height:10.9pt;mso-position-horizontal-relative:page;mso-position-vertical-relative:page;z-index:-2239078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29</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39027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pt;margin-top:800.141113pt;width:14pt;height:10.9pt;mso-position-horizontal-relative:page;mso-position-vertical-relative:page;z-index:-22389760" type="#_x0000_t202" filled="false" stroked="false">
          <v:textbox inset="0,0,0,0">
            <w:txbxContent>
              <w:p>
                <w:pPr>
                  <w:spacing w:before="13"/>
                  <w:ind w:left="60" w:right="0" w:firstLine="0"/>
                  <w:jc w:val="left"/>
                  <w:rPr>
                    <w:sz w:val="16"/>
                  </w:rPr>
                </w:pPr>
                <w:r>
                  <w:rPr/>
                  <w:fldChar w:fldCharType="begin"/>
                </w:r>
                <w:r>
                  <w:rPr>
                    <w:color w:val="231F20"/>
                    <w:sz w:val="16"/>
                  </w:rPr>
                  <w:instrText> PAGE </w:instrText>
                </w:r>
                <w:r>
                  <w:rPr/>
                  <w:fldChar w:fldCharType="separate"/>
                </w:r>
                <w:r>
                  <w:rPr/>
                  <w:t>33</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3892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34</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13pt;width:14pt;height:10.9pt;mso-position-horizontal-relative:page;mso-position-vertical-relative:page;z-index:-2238720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2.25pt;height:10.9pt;mso-position-horizontal-relative:page;mso-position-vertical-relative:page;z-index:-22414336"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3866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36</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13pt;width:14pt;height:10.9pt;mso-position-horizontal-relative:page;mso-position-vertical-relative:page;z-index:-223836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37</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3831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38</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13pt;width:14pt;height:10.9pt;mso-position-horizontal-relative:page;mso-position-vertical-relative:page;z-index:-2238156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39</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381056" type="#_x0000_t202" filled="false" stroked="false">
          <v:textbox inset="0,0,0,0">
            <w:txbxContent>
              <w:p>
                <w:pPr>
                  <w:spacing w:before="13"/>
                  <w:ind w:left="60" w:right="0" w:firstLine="0"/>
                  <w:jc w:val="left"/>
                  <w:rPr>
                    <w:sz w:val="16"/>
                  </w:rPr>
                </w:pPr>
                <w:r>
                  <w:rPr/>
                  <w:fldChar w:fldCharType="begin"/>
                </w:r>
                <w:r>
                  <w:rPr>
                    <w:color w:val="231F20"/>
                    <w:sz w:val="16"/>
                  </w:rPr>
                  <w:instrText> PAGE </w:instrText>
                </w:r>
                <w:r>
                  <w:rPr/>
                  <w:fldChar w:fldCharType="separate"/>
                </w:r>
                <w:r>
                  <w:rPr/>
                  <w:t>40</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13pt;width:14pt;height:10.9pt;mso-position-horizontal-relative:page;mso-position-vertical-relative:page;z-index:-2237900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41</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450001pt;margin-top:801.141113pt;width:14.55pt;height:10.9pt;mso-position-horizontal-relative:page;mso-position-vertical-relative:page;z-index:-22378496" type="#_x0000_t202" filled="false" stroked="false">
          <v:textbox inset="0,0,0,0">
            <w:txbxContent>
              <w:p>
                <w:pPr>
                  <w:spacing w:before="13"/>
                  <w:ind w:left="70" w:right="0" w:firstLine="0"/>
                  <w:jc w:val="left"/>
                  <w:rPr>
                    <w:sz w:val="16"/>
                  </w:rPr>
                </w:pPr>
                <w:r>
                  <w:rPr/>
                  <w:fldChar w:fldCharType="begin"/>
                </w:r>
                <w:r>
                  <w:rPr>
                    <w:sz w:val="16"/>
                  </w:rPr>
                  <w:instrText> PAGE </w:instrText>
                </w:r>
                <w:r>
                  <w:rPr/>
                  <w:fldChar w:fldCharType="separate"/>
                </w:r>
                <w:r>
                  <w:rPr/>
                  <w:t>42</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450012pt;margin-top:800.141113pt;width:14pt;height:10.9pt;mso-position-horizontal-relative:page;mso-position-vertical-relative:page;z-index:-22377984" type="#_x0000_t202" filled="false" stroked="false">
          <v:textbox inset="0,0,0,0">
            <w:txbxContent>
              <w:p>
                <w:pPr>
                  <w:spacing w:before="13"/>
                  <w:ind w:left="60" w:right="0" w:firstLine="0"/>
                  <w:jc w:val="left"/>
                  <w:rPr>
                    <w:sz w:val="16"/>
                  </w:rPr>
                </w:pPr>
                <w:r>
                  <w:rPr/>
                  <w:fldChar w:fldCharType="begin"/>
                </w:r>
                <w:r>
                  <w:rPr>
                    <w:color w:val="231F20"/>
                    <w:sz w:val="16"/>
                  </w:rPr>
                  <w:instrText> PAGE </w:instrText>
                </w:r>
                <w:r>
                  <w:rPr/>
                  <w:fldChar w:fldCharType="separate"/>
                </w:r>
                <w:r>
                  <w:rPr/>
                  <w:t>45</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450001pt;margin-top:801.141113pt;width:14pt;height:10.9pt;mso-position-horizontal-relative:page;mso-position-vertical-relative:page;z-index:-22377472" type="#_x0000_t202" filled="false" stroked="false">
          <v:textbox inset="0,0,0,0">
            <w:txbxContent>
              <w:p>
                <w:pPr>
                  <w:spacing w:before="13"/>
                  <w:ind w:left="60" w:right="0" w:firstLine="0"/>
                  <w:jc w:val="left"/>
                  <w:rPr>
                    <w:sz w:val="16"/>
                  </w:rPr>
                </w:pPr>
                <w:r>
                  <w:rPr/>
                  <w:fldChar w:fldCharType="begin"/>
                </w:r>
                <w:r>
                  <w:rPr>
                    <w:color w:val="231F20"/>
                    <w:sz w:val="16"/>
                  </w:rPr>
                  <w:instrText> PAGE </w:instrText>
                </w:r>
                <w:r>
                  <w:rPr/>
                  <w:fldChar w:fldCharType="separate"/>
                </w:r>
                <w:r>
                  <w:rPr/>
                  <w:t>46</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719971pt;margin-top:800.141113pt;width:14pt;height:10.9pt;mso-position-horizontal-relative:page;mso-position-vertical-relative:page;z-index:-22375424" type="#_x0000_t202" filled="false" stroked="false">
          <v:textbox inset="0,0,0,0">
            <w:txbxContent>
              <w:p>
                <w:pPr>
                  <w:spacing w:before="13"/>
                  <w:ind w:left="60" w:right="0" w:firstLine="0"/>
                  <w:jc w:val="left"/>
                  <w:rPr>
                    <w:sz w:val="16"/>
                  </w:rPr>
                </w:pPr>
                <w:r>
                  <w:rPr/>
                  <w:fldChar w:fldCharType="begin"/>
                </w:r>
                <w:r>
                  <w:rPr>
                    <w:color w:val="231F20"/>
                    <w:sz w:val="16"/>
                  </w:rPr>
                  <w:instrText> PAGE </w:instrText>
                </w:r>
                <w:r>
                  <w:rPr/>
                  <w:fldChar w:fldCharType="separate"/>
                </w:r>
                <w:r>
                  <w:rPr/>
                  <w:t>47</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450001pt;margin-top:801.141113pt;width:14pt;height:10.9pt;mso-position-horizontal-relative:page;mso-position-vertical-relative:page;z-index:-22374912" type="#_x0000_t202" filled="false" stroked="false">
          <v:textbox inset="0,0,0,0">
            <w:txbxContent>
              <w:p>
                <w:pPr>
                  <w:spacing w:before="13"/>
                  <w:ind w:left="60" w:right="0" w:firstLine="0"/>
                  <w:jc w:val="left"/>
                  <w:rPr>
                    <w:sz w:val="16"/>
                  </w:rPr>
                </w:pPr>
                <w:r>
                  <w:rPr/>
                  <w:fldChar w:fldCharType="begin"/>
                </w:r>
                <w:r>
                  <w:rPr>
                    <w:color w:val="231F20"/>
                    <w:sz w:val="16"/>
                  </w:rPr>
                  <w:instrText> PAGE </w:instrText>
                </w:r>
                <w:r>
                  <w:rPr/>
                  <w:fldChar w:fldCharType="separate"/>
                </w:r>
                <w:r>
                  <w:rPr/>
                  <w:t>48</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pt;margin-top:801.141113pt;width:14pt;height:10.9pt;mso-position-horizontal-relative:page;mso-position-vertical-relative:page;z-index:-2237440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61</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4pt;height:10.9pt;mso-position-horizontal-relative:page;mso-position-vertical-relative:page;z-index:-223738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62</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4pt;height:10.9pt;mso-position-horizontal-relative:page;mso-position-vertical-relative:page;z-index:-2237235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64</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pt;margin-top:801.141113pt;width:14pt;height:10.9pt;mso-position-horizontal-relative:page;mso-position-vertical-relative:page;z-index:-2237184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65</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pt;margin-top:801.141113pt;width:14pt;height:10.9pt;mso-position-horizontal-relative:page;mso-position-vertical-relative:page;z-index:-2236979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67</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4pt;height:10.9pt;mso-position-horizontal-relative:page;mso-position-vertical-relative:page;z-index:-2236928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68</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7pt;margin-top:800.141113pt;width:10pt;height:10.9pt;mso-position-horizontal-relative:page;mso-position-vertical-relative:page;z-index:-22413824" type="#_x0000_t202" filled="false" stroked="false">
          <v:textbox inset="0,0,0,0">
            <w:txbxContent>
              <w:p>
                <w:pPr>
                  <w:spacing w:before="13"/>
                  <w:ind w:left="60" w:right="0" w:firstLine="0"/>
                  <w:jc w:val="left"/>
                  <w:rPr>
                    <w:sz w:val="16"/>
                  </w:rPr>
                </w:pPr>
                <w:r>
                  <w:rPr/>
                  <w:fldChar w:fldCharType="begin"/>
                </w:r>
                <w:r>
                  <w:rPr>
                    <w:color w:val="231F20"/>
                    <w:sz w:val="16"/>
                  </w:rPr>
                  <w:instrText> PAGE </w:instrText>
                </w:r>
                <w:r>
                  <w:rPr/>
                  <w:fldChar w:fldCharType="separate"/>
                </w:r>
                <w:r>
                  <w:rPr/>
                  <w:t>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0pt;height:10.9pt;mso-position-horizontal-relative:page;mso-position-vertical-relative:page;z-index:-2241331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6.280029pt;margin-top:800.141113pt;width:10pt;height:10.9pt;mso-position-horizontal-relative:page;mso-position-vertical-relative:page;z-index:-2241126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0pt;height:10.9pt;mso-position-horizontal-relative:page;mso-position-vertical-relative:page;z-index:-2241075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6.280029pt;margin-top:800.141113pt;width:10pt;height:10.9pt;mso-position-horizontal-relative:page;mso-position-vertical-relative:page;z-index:-2240819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41536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w:t>
                </w:r>
                <w:r>
                  <w:rPr>
                    <w:spacing w:val="-27"/>
                    <w:sz w:val="16"/>
                    <w:u w:val="single"/>
                  </w:rPr>
                  <w:t> </w:t>
                </w:r>
                <w:r>
                  <w:rPr>
                    <w:sz w:val="16"/>
                    <w:u w:val="single"/>
                  </w:rPr>
                  <w:t>2000</w:t>
                  <w:tab/>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407168" from="38.25pt,39pt" to="555.25pt,39pt" stroked="true" strokeweight=".125pt" strokecolor="#000000">
          <v:stroke dashstyle="solid"/>
          <w10:wrap type="none"/>
        </v:line>
      </w:pict>
    </w:r>
    <w:r>
      <w:rPr/>
      <w:pict>
        <v:shape style="position:absolute;margin-left:459.75pt;margin-top:29.341093pt;width:95.55pt;height:10.9pt;mso-position-horizontal-relative:page;mso-position-vertical-relative:page;z-index:-22406656"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pt;margin-top:28.841093pt;width:106.45pt;height:10.9pt;mso-position-horizontal-relative:page;mso-position-vertical-relative:page;z-index:-22406144" type="#_x0000_t202" filled="false" stroked="false">
          <v:textbox inset="0,0,0,0">
            <w:txbxContent>
              <w:p>
                <w:pPr>
                  <w:spacing w:before="13"/>
                  <w:ind w:left="20" w:right="0" w:firstLine="0"/>
                  <w:jc w:val="left"/>
                  <w:rPr>
                    <w:sz w:val="16"/>
                  </w:rPr>
                </w:pPr>
                <w:r>
                  <w:rPr>
                    <w:sz w:val="16"/>
                  </w:rPr>
                  <w:t>Inflation Report: February 2000</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341093pt;width:519pt;height:10.9pt;mso-position-horizontal-relative:page;mso-position-vertical-relative:page;z-index:-22404608"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 2000</w:t>
                  <w:tab/>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75pt;margin-top:29.461094pt;width:519pt;height:10.9pt;mso-position-horizontal-relative:page;mso-position-vertical-relative:page;z-index:-22403072" type="#_x0000_t202" filled="false" stroked="false">
          <v:textbox inset="0,0,0,0">
            <w:txbxContent>
              <w:p>
                <w:pPr>
                  <w:tabs>
                    <w:tab w:pos="10359" w:val="left" w:leader="none"/>
                  </w:tabs>
                  <w:spacing w:before="13"/>
                  <w:ind w:left="20" w:right="0" w:firstLine="0"/>
                  <w:jc w:val="left"/>
                  <w:rPr>
                    <w:sz w:val="16"/>
                  </w:rPr>
                </w:pPr>
                <w:r>
                  <w:rPr>
                    <w:spacing w:val="-21"/>
                    <w:sz w:val="16"/>
                    <w:u w:val="single"/>
                  </w:rPr>
                  <w:t> </w:t>
                </w:r>
                <w:r>
                  <w:rPr>
                    <w:sz w:val="16"/>
                    <w:u w:val="single"/>
                  </w:rPr>
                  <w:t>Inflation Report:  February</w:t>
                </w:r>
                <w:r>
                  <w:rPr>
                    <w:spacing w:val="-27"/>
                    <w:sz w:val="16"/>
                    <w:u w:val="single"/>
                  </w:rPr>
                  <w:t> </w:t>
                </w:r>
                <w:r>
                  <w:rPr>
                    <w:sz w:val="16"/>
                    <w:u w:val="single"/>
                  </w:rPr>
                  <w:t>2000</w:t>
                  <w:tab/>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9.899994pt;margin-top:29.461094pt;width:65.6pt;height:10.9pt;mso-position-horizontal-relative:page;mso-position-vertical-relative:page;z-index:-22402560"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720001pt;margin-top:29.461094pt;width:106.4pt;height:10.9pt;mso-position-horizontal-relative:page;mso-position-vertical-relative:page;z-index:-22401024" type="#_x0000_t202" filled="false" stroked="false">
          <v:textbox inset="0,0,0,0">
            <w:txbxContent>
              <w:p>
                <w:pPr>
                  <w:spacing w:before="13"/>
                  <w:ind w:left="20" w:right="0" w:firstLine="0"/>
                  <w:jc w:val="left"/>
                  <w:rPr>
                    <w:sz w:val="16"/>
                  </w:rPr>
                </w:pPr>
                <w:r>
                  <w:rPr>
                    <w:sz w:val="16"/>
                  </w:rPr>
                  <w:t>Inflation Report: February 2000</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9.899994pt;margin-top:29.461094pt;width:65.6pt;height:10.9pt;mso-position-horizontal-relative:page;mso-position-vertical-relative:page;z-index:-22400512"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341093pt;width:519pt;height:10.9pt;mso-position-horizontal-relative:page;mso-position-vertical-relative:page;z-index:-22398976"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 2000</w:t>
                  <w:tab/>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98464" from="38.5pt,39pt" to="555.5pt,39pt" stroked="true" strokeweight=".125pt" strokecolor="#000000">
          <v:stroke dashstyle="solid"/>
          <w10:wrap type="none"/>
        </v:line>
      </w:pict>
    </w:r>
    <w:r>
      <w:rPr/>
      <w:pict>
        <v:shape style="position:absolute;margin-left:489.899994pt;margin-top:29.461094pt;width:65.6pt;height:10.9pt;mso-position-horizontal-relative:page;mso-position-vertical-relative:page;z-index:-22397952"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395392"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 2000</w:t>
                  <w:tab/>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94880" from="38.25pt,39pt" to="555.25pt,39pt" stroked="true" strokeweight=".125pt" strokecolor="#000000">
          <v:stroke dashstyle="solid"/>
          <w10:wrap type="none"/>
        </v:line>
      </w:pict>
    </w:r>
    <w:r>
      <w:rPr/>
      <w:pict>
        <v:line style="position:absolute;mso-position-horizontal-relative:page;mso-position-vertical-relative:page;z-index:-22394368" from="45.279999pt,100pt" to="40.946999pt,100pt" stroked="true" strokeweight=".5pt" strokecolor="#000000">
          <v:stroke dashstyle="solid"/>
          <w10:wrap type="none"/>
        </v:line>
      </w:pict>
    </w:r>
    <w:r>
      <w:rPr/>
      <w:pict>
        <v:shape style="position:absolute;margin-left:493.730011pt;margin-top:29.461094pt;width:61.6pt;height:10.9pt;mso-position-horizontal-relative:page;mso-position-vertical-relative:page;z-index:-22393856" type="#_x0000_t202" filled="false" stroked="false">
          <v:textbox inset="0,0,0,0">
            <w:txbxContent>
              <w:p>
                <w:pPr>
                  <w:spacing w:before="13"/>
                  <w:ind w:left="20" w:right="0" w:firstLine="0"/>
                  <w:jc w:val="left"/>
                  <w:rPr>
                    <w:i/>
                    <w:sz w:val="16"/>
                  </w:rPr>
                </w:pPr>
                <w:r>
                  <w:rPr>
                    <w:i/>
                    <w:sz w:val="16"/>
                  </w:rPr>
                  <w:t>The labour market</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92320" from="38.25pt,39pt" to="555.25pt,39pt" stroked="true" strokeweight=".125pt" strokecolor="#000000">
          <v:stroke dashstyle="solid"/>
          <w10:wrap type="none"/>
        </v:line>
      </w:pict>
    </w:r>
    <w:r>
      <w:rPr/>
      <w:pict>
        <v:shape style="position:absolute;margin-left:493.730011pt;margin-top:29.461094pt;width:61.6pt;height:10.9pt;mso-position-horizontal-relative:page;mso-position-vertical-relative:page;z-index:-22391808" type="#_x0000_t202" filled="false" stroked="false">
          <v:textbox inset="0,0,0,0">
            <w:txbxContent>
              <w:p>
                <w:pPr>
                  <w:spacing w:before="13"/>
                  <w:ind w:left="20" w:right="0" w:firstLine="0"/>
                  <w:jc w:val="left"/>
                  <w:rPr>
                    <w:i/>
                    <w:sz w:val="16"/>
                  </w:rPr>
                </w:pPr>
                <w:r>
                  <w:rPr>
                    <w:i/>
                    <w:sz w:val="16"/>
                  </w:rPr>
                  <w:t>The labour market</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391296"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 2000</w:t>
                  <w:tab/>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341093pt;width:519pt;height:10.9pt;mso-position-horizontal-relative:page;mso-position-vertical-relative:page;z-index:-22388736"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 2000</w:t>
                  <w:tab/>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88224" from="38.25pt,39pt" to="555.25pt,39pt" stroked="true" strokeweight=".125pt" strokecolor="#000000">
          <v:stroke dashstyle="solid"/>
          <w10:wrap type="none"/>
        </v:line>
      </w:pict>
    </w:r>
    <w:r>
      <w:rPr/>
      <w:pict>
        <v:shape style="position:absolute;margin-left:499.950012pt;margin-top:29.341093pt;width:55.35pt;height:10.9pt;mso-position-horizontal-relative:page;mso-position-vertical-relative:page;z-index:-22387712"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86176" from="38.25pt,39pt" to="555.25pt,39pt" stroked="true" strokeweight=".125pt" strokecolor="#000000">
          <v:stroke dashstyle="solid"/>
          <w10:wrap type="none"/>
        </v:line>
      </w:pict>
    </w:r>
    <w:r>
      <w:rPr/>
      <w:pict>
        <v:line style="position:absolute;mso-position-horizontal-relative:page;mso-position-vertical-relative:page;z-index:-22385664" from="47.279999pt,119.278pt" to="42.946999pt,119.278pt" stroked="true" strokeweight=".5pt" strokecolor="#000000">
          <v:stroke dashstyle="solid"/>
          <w10:wrap type="none"/>
        </v:line>
      </w:pict>
    </w:r>
    <w:r>
      <w:rPr/>
      <w:pict>
        <v:line style="position:absolute;mso-position-horizontal-relative:page;mso-position-vertical-relative:page;z-index:-22385152" from="204.780006pt,119.299004pt" to="200.447006pt,119.299004pt" stroked="true" strokeweight=".5pt" strokecolor="#000000">
          <v:stroke dashstyle="solid"/>
          <w10:wrap type="none"/>
        </v:line>
      </w:pict>
    </w:r>
    <w:r>
      <w:rPr/>
      <w:pict>
        <v:shape style="position:absolute;margin-left:499.950012pt;margin-top:29.341093pt;width:55.35pt;height:10.9pt;mso-position-horizontal-relative:page;mso-position-vertical-relative:page;z-index:-22384640"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341093pt;width:519pt;height:10.9pt;mso-position-horizontal-relative:page;mso-position-vertical-relative:page;z-index:-22384128"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 2000</w:t>
                  <w:tab/>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414848"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w:t>
                </w:r>
                <w:r>
                  <w:rPr>
                    <w:spacing w:val="-27"/>
                    <w:sz w:val="16"/>
                    <w:u w:val="single"/>
                  </w:rPr>
                  <w:t> </w:t>
                </w:r>
                <w:r>
                  <w:rPr>
                    <w:sz w:val="16"/>
                    <w:u w:val="single"/>
                  </w:rPr>
                  <w:t>2000</w:t>
                  <w:tab/>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82592" from="38.25pt,39pt" to="555.25pt,39pt" stroked="true" strokeweight=".125pt" strokecolor="#000000">
          <v:stroke dashstyle="solid"/>
          <w10:wrap type="none"/>
        </v:line>
      </w:pict>
    </w:r>
    <w:r>
      <w:rPr/>
      <w:pict>
        <v:shape style="position:absolute;margin-left:499.950012pt;margin-top:29.341093pt;width:55.35pt;height:10.9pt;mso-position-horizontal-relative:page;mso-position-vertical-relative:page;z-index:-22382080"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80544" from="38.25pt,39pt" to="555.25pt,39pt" stroked="true" strokeweight=".125pt" strokecolor="#000000">
          <v:stroke dashstyle="solid"/>
          <w10:wrap type="none"/>
        </v:line>
      </w:pict>
    </w:r>
    <w:r>
      <w:rPr/>
      <w:pict>
        <v:shape style="position:absolute;margin-left:411.779999pt;margin-top:29.461094pt;width:143.5pt;height:10.9pt;mso-position-horizontal-relative:page;mso-position-vertical-relative:page;z-index:-22380032" type="#_x0000_t202" filled="false" stroked="false">
          <v:textbox inset="0,0,0,0">
            <w:txbxContent>
              <w:p>
                <w:pPr>
                  <w:spacing w:before="13"/>
                  <w:ind w:left="20" w:right="0" w:firstLine="0"/>
                  <w:jc w:val="left"/>
                  <w:rPr>
                    <w:sz w:val="16"/>
                  </w:rPr>
                </w:pPr>
                <w:r>
                  <w:rPr>
                    <w:i/>
                    <w:sz w:val="16"/>
                  </w:rPr>
                  <w:t>Monetary policy since the November </w:t>
                </w:r>
                <w:r>
                  <w:rPr>
                    <w:sz w:val="16"/>
                  </w:rPr>
                  <w:t>Report</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5pt;margin-top:29.341093pt;width:519pt;height:10.9pt;mso-position-horizontal-relative:page;mso-position-vertical-relative:page;z-index:-22379520" type="#_x0000_t202" filled="false" stroked="false">
          <v:textbox inset="0,0,0,0">
            <w:txbxContent>
              <w:p>
                <w:pPr>
                  <w:tabs>
                    <w:tab w:pos="10359" w:val="left" w:leader="none"/>
                  </w:tabs>
                  <w:spacing w:before="13"/>
                  <w:ind w:left="20" w:right="0" w:firstLine="0"/>
                  <w:jc w:val="left"/>
                  <w:rPr>
                    <w:sz w:val="16"/>
                  </w:rPr>
                </w:pPr>
                <w:r>
                  <w:rPr>
                    <w:color w:val="231F20"/>
                    <w:spacing w:val="-21"/>
                    <w:sz w:val="16"/>
                    <w:u w:val="single" w:color="231F20"/>
                  </w:rPr>
                  <w:t> </w:t>
                </w:r>
                <w:r>
                  <w:rPr>
                    <w:color w:val="231F20"/>
                    <w:sz w:val="16"/>
                    <w:u w:val="single" w:color="231F20"/>
                  </w:rPr>
                  <w:t>Inflation Report:  February 2000</w:t>
                  <w:tab/>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5pt;margin-top:29.341093pt;width:519pt;height:10.9pt;mso-position-horizontal-relative:page;mso-position-vertical-relative:page;z-index:-22376960" type="#_x0000_t202" filled="false" stroked="false">
          <v:textbox inset="0,0,0,0">
            <w:txbxContent>
              <w:p>
                <w:pPr>
                  <w:tabs>
                    <w:tab w:pos="10359" w:val="left" w:leader="none"/>
                  </w:tabs>
                  <w:spacing w:before="13"/>
                  <w:ind w:left="20" w:right="0" w:firstLine="0"/>
                  <w:jc w:val="left"/>
                  <w:rPr>
                    <w:sz w:val="16"/>
                  </w:rPr>
                </w:pPr>
                <w:r>
                  <w:rPr>
                    <w:color w:val="231F20"/>
                    <w:spacing w:val="-21"/>
                    <w:sz w:val="16"/>
                    <w:u w:val="single" w:color="231F20"/>
                  </w:rPr>
                  <w:t> </w:t>
                </w:r>
                <w:r>
                  <w:rPr>
                    <w:color w:val="231F20"/>
                    <w:sz w:val="16"/>
                    <w:u w:val="single" w:color="231F20"/>
                  </w:rPr>
                  <w:t>Inflation Report:  February 2000</w:t>
                  <w:tab/>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76448" from="38.75pt,39pt" to="555.75pt,39pt" stroked="true" strokeweight=".125pt" strokecolor="#231f20">
          <v:stroke dashstyle="solid"/>
          <w10:wrap type="none"/>
        </v:line>
      </w:pict>
    </w:r>
    <w:r>
      <w:rPr/>
      <w:pict>
        <v:shape style="position:absolute;margin-left:481.730011pt;margin-top:29.341093pt;width:74pt;height:10.9pt;mso-position-horizontal-relative:page;mso-position-vertical-relative:page;z-index:-22375936" type="#_x0000_t202" filled="false" stroked="false">
          <v:textbox inset="0,0,0,0">
            <w:txbxContent>
              <w:p>
                <w:pPr>
                  <w:spacing w:before="13"/>
                  <w:ind w:left="20" w:right="0" w:firstLine="0"/>
                  <w:jc w:val="left"/>
                  <w:rPr>
                    <w:i/>
                    <w:sz w:val="16"/>
                  </w:rPr>
                </w:pPr>
                <w:r>
                  <w:rPr>
                    <w:i/>
                    <w:color w:val="231F20"/>
                    <w:sz w:val="16"/>
                  </w:rPr>
                  <w:t>Prospects for inflation</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373376"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w:t>
                </w:r>
                <w:r>
                  <w:rPr>
                    <w:spacing w:val="-27"/>
                    <w:sz w:val="16"/>
                    <w:u w:val="single"/>
                  </w:rPr>
                  <w:t> </w:t>
                </w:r>
                <w:r>
                  <w:rPr>
                    <w:sz w:val="16"/>
                    <w:u w:val="single"/>
                  </w:rPr>
                  <w:t>2000</w:t>
                  <w:tab/>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372864"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w:t>
                </w:r>
                <w:r>
                  <w:rPr>
                    <w:spacing w:val="-27"/>
                    <w:sz w:val="16"/>
                    <w:u w:val="single"/>
                  </w:rPr>
                  <w:t> </w:t>
                </w:r>
                <w:r>
                  <w:rPr>
                    <w:sz w:val="16"/>
                    <w:u w:val="single"/>
                  </w:rPr>
                  <w:t>2000</w:t>
                  <w:tab/>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71328" from="39pt,38pt" to="556pt,38pt" stroked="true" strokeweight=".125pt" strokecolor="#000000">
          <v:stroke dashstyle="solid"/>
          <w10:wrap type="none"/>
        </v:line>
      </w:pict>
    </w:r>
    <w:r>
      <w:rPr/>
      <w:pict>
        <v:shape style="position:absolute;margin-left:463.809998pt;margin-top:28.461094pt;width:92.2pt;height:10.9pt;mso-position-horizontal-relative:page;mso-position-vertical-relative:page;z-index:-22370816" type="#_x0000_t202" filled="false" stroked="false">
          <v:textbox inset="0,0,0,0">
            <w:txbxContent>
              <w:p>
                <w:pPr>
                  <w:spacing w:before="13"/>
                  <w:ind w:left="20" w:right="0" w:firstLine="0"/>
                  <w:jc w:val="left"/>
                  <w:rPr>
                    <w:i/>
                    <w:sz w:val="16"/>
                  </w:rPr>
                </w:pPr>
                <w:r>
                  <w:rPr>
                    <w:i/>
                    <w:sz w:val="16"/>
                  </w:rPr>
                  <w:t>Monetary Policy Committee</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370304"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w:t>
                </w:r>
                <w:r>
                  <w:rPr>
                    <w:spacing w:val="-27"/>
                    <w:sz w:val="16"/>
                    <w:u w:val="single"/>
                  </w:rPr>
                  <w:t> </w:t>
                </w:r>
                <w:r>
                  <w:rPr>
                    <w:sz w:val="16"/>
                    <w:u w:val="single"/>
                  </w:rPr>
                  <w:t>2000</w:t>
                  <w:tab/>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341093pt;width:519pt;height:10.9pt;mso-position-horizontal-relative:page;mso-position-vertical-relative:page;z-index:-2241280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 2000</w:t>
                  <w:tab/>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412288" from="38.25pt,39pt" to="555.25pt,39pt" stroked="true" strokeweight=".125pt" strokecolor="#000000">
          <v:stroke dashstyle="solid"/>
          <w10:wrap type="none"/>
        </v:line>
      </w:pict>
    </w:r>
    <w:r>
      <w:rPr/>
      <w:pict>
        <v:shape style="position:absolute;margin-left:459.75pt;margin-top:29.341093pt;width:95.55pt;height:10.9pt;mso-position-horizontal-relative:page;mso-position-vertical-relative:page;z-index:-22411776"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410240" from="38.25pt,39pt" to="555.25pt,39pt" stroked="true" strokeweight=".125pt" strokecolor="#000000">
          <v:stroke dashstyle="solid"/>
          <w10:wrap type="none"/>
        </v:line>
      </w:pict>
    </w:r>
    <w:r>
      <w:rPr/>
      <w:pict>
        <v:line style="position:absolute;mso-position-horizontal-relative:page;mso-position-vertical-relative:page;z-index:-22409728" from="203.397995pt,113.021004pt" to="199.063995pt,113.021004pt" stroked="true" strokeweight=".5pt" strokecolor="#000000">
          <v:stroke dashstyle="solid"/>
          <w10:wrap type="none"/>
        </v:line>
      </w:pict>
    </w:r>
    <w:r>
      <w:rPr/>
      <w:pict>
        <v:shape style="position:absolute;margin-left:459.75pt;margin-top:29.341093pt;width:95.55pt;height:10.9pt;mso-position-horizontal-relative:page;mso-position-vertical-relative:page;z-index:-22409216"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341093pt;width:519pt;height:10.9pt;mso-position-horizontal-relative:page;mso-position-vertical-relative:page;z-index:-22408704"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February 2000</w:t>
                  <w:tab/>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6">
    <w:multiLevelType w:val="hybridMultilevel"/>
    <w:lvl w:ilvl="0">
      <w:start w:val="1"/>
      <w:numFmt w:val="decimal"/>
      <w:lvlText w:val="(%1)"/>
      <w:lvlJc w:val="left"/>
      <w:pPr>
        <w:ind w:left="5240" w:hanging="267"/>
        <w:jc w:val="left"/>
      </w:pPr>
      <w:rPr>
        <w:rFonts w:hint="default" w:ascii="Times New Roman" w:hAnsi="Times New Roman" w:eastAsia="Times New Roman" w:cs="Times New Roman"/>
        <w:color w:val="231F20"/>
        <w:w w:val="100"/>
        <w:sz w:val="16"/>
        <w:szCs w:val="16"/>
        <w:lang w:val="en-US" w:eastAsia="en-US" w:bidi="ar-SA"/>
      </w:rPr>
    </w:lvl>
    <w:lvl w:ilvl="1">
      <w:start w:val="0"/>
      <w:numFmt w:val="bullet"/>
      <w:lvlText w:val="•"/>
      <w:lvlJc w:val="left"/>
      <w:pPr>
        <w:ind w:left="5780" w:hanging="267"/>
      </w:pPr>
      <w:rPr>
        <w:rFonts w:hint="default"/>
        <w:lang w:val="en-US" w:eastAsia="en-US" w:bidi="ar-SA"/>
      </w:rPr>
    </w:lvl>
    <w:lvl w:ilvl="2">
      <w:start w:val="0"/>
      <w:numFmt w:val="bullet"/>
      <w:lvlText w:val="•"/>
      <w:lvlJc w:val="left"/>
      <w:pPr>
        <w:ind w:left="6320" w:hanging="267"/>
      </w:pPr>
      <w:rPr>
        <w:rFonts w:hint="default"/>
        <w:lang w:val="en-US" w:eastAsia="en-US" w:bidi="ar-SA"/>
      </w:rPr>
    </w:lvl>
    <w:lvl w:ilvl="3">
      <w:start w:val="0"/>
      <w:numFmt w:val="bullet"/>
      <w:lvlText w:val="•"/>
      <w:lvlJc w:val="left"/>
      <w:pPr>
        <w:ind w:left="6860" w:hanging="267"/>
      </w:pPr>
      <w:rPr>
        <w:rFonts w:hint="default"/>
        <w:lang w:val="en-US" w:eastAsia="en-US" w:bidi="ar-SA"/>
      </w:rPr>
    </w:lvl>
    <w:lvl w:ilvl="4">
      <w:start w:val="0"/>
      <w:numFmt w:val="bullet"/>
      <w:lvlText w:val="•"/>
      <w:lvlJc w:val="left"/>
      <w:pPr>
        <w:ind w:left="7400" w:hanging="267"/>
      </w:pPr>
      <w:rPr>
        <w:rFonts w:hint="default"/>
        <w:lang w:val="en-US" w:eastAsia="en-US" w:bidi="ar-SA"/>
      </w:rPr>
    </w:lvl>
    <w:lvl w:ilvl="5">
      <w:start w:val="0"/>
      <w:numFmt w:val="bullet"/>
      <w:lvlText w:val="•"/>
      <w:lvlJc w:val="left"/>
      <w:pPr>
        <w:ind w:left="7940" w:hanging="267"/>
      </w:pPr>
      <w:rPr>
        <w:rFonts w:hint="default"/>
        <w:lang w:val="en-US" w:eastAsia="en-US" w:bidi="ar-SA"/>
      </w:rPr>
    </w:lvl>
    <w:lvl w:ilvl="6">
      <w:start w:val="0"/>
      <w:numFmt w:val="bullet"/>
      <w:lvlText w:val="•"/>
      <w:lvlJc w:val="left"/>
      <w:pPr>
        <w:ind w:left="8480" w:hanging="267"/>
      </w:pPr>
      <w:rPr>
        <w:rFonts w:hint="default"/>
        <w:lang w:val="en-US" w:eastAsia="en-US" w:bidi="ar-SA"/>
      </w:rPr>
    </w:lvl>
    <w:lvl w:ilvl="7">
      <w:start w:val="0"/>
      <w:numFmt w:val="bullet"/>
      <w:lvlText w:val="•"/>
      <w:lvlJc w:val="left"/>
      <w:pPr>
        <w:ind w:left="9020" w:hanging="267"/>
      </w:pPr>
      <w:rPr>
        <w:rFonts w:hint="default"/>
        <w:lang w:val="en-US" w:eastAsia="en-US" w:bidi="ar-SA"/>
      </w:rPr>
    </w:lvl>
    <w:lvl w:ilvl="8">
      <w:start w:val="0"/>
      <w:numFmt w:val="bullet"/>
      <w:lvlText w:val="•"/>
      <w:lvlJc w:val="left"/>
      <w:pPr>
        <w:ind w:left="9560" w:hanging="267"/>
      </w:pPr>
      <w:rPr>
        <w:rFonts w:hint="default"/>
        <w:lang w:val="en-US" w:eastAsia="en-US" w:bidi="ar-SA"/>
      </w:rPr>
    </w:lvl>
  </w:abstractNum>
  <w:abstractNum w:abstractNumId="51">
    <w:multiLevelType w:val="hybridMultilevel"/>
    <w:lvl w:ilvl="0">
      <w:start w:val="23"/>
      <w:numFmt w:val="decimal"/>
      <w:lvlText w:val="%1"/>
      <w:lvlJc w:val="left"/>
      <w:pPr>
        <w:ind w:left="18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87" w:hanging="480"/>
      </w:pPr>
      <w:rPr>
        <w:rFonts w:hint="default"/>
        <w:lang w:val="en-US" w:eastAsia="en-US" w:bidi="ar-SA"/>
      </w:rPr>
    </w:lvl>
    <w:lvl w:ilvl="2">
      <w:start w:val="0"/>
      <w:numFmt w:val="bullet"/>
      <w:lvlText w:val="•"/>
      <w:lvlJc w:val="left"/>
      <w:pPr>
        <w:ind w:left="1194" w:hanging="480"/>
      </w:pPr>
      <w:rPr>
        <w:rFonts w:hint="default"/>
        <w:lang w:val="en-US" w:eastAsia="en-US" w:bidi="ar-SA"/>
      </w:rPr>
    </w:lvl>
    <w:lvl w:ilvl="3">
      <w:start w:val="0"/>
      <w:numFmt w:val="bullet"/>
      <w:lvlText w:val="•"/>
      <w:lvlJc w:val="left"/>
      <w:pPr>
        <w:ind w:left="1701" w:hanging="480"/>
      </w:pPr>
      <w:rPr>
        <w:rFonts w:hint="default"/>
        <w:lang w:val="en-US" w:eastAsia="en-US" w:bidi="ar-SA"/>
      </w:rPr>
    </w:lvl>
    <w:lvl w:ilvl="4">
      <w:start w:val="0"/>
      <w:numFmt w:val="bullet"/>
      <w:lvlText w:val="•"/>
      <w:lvlJc w:val="left"/>
      <w:pPr>
        <w:ind w:left="2208" w:hanging="480"/>
      </w:pPr>
      <w:rPr>
        <w:rFonts w:hint="default"/>
        <w:lang w:val="en-US" w:eastAsia="en-US" w:bidi="ar-SA"/>
      </w:rPr>
    </w:lvl>
    <w:lvl w:ilvl="5">
      <w:start w:val="0"/>
      <w:numFmt w:val="bullet"/>
      <w:lvlText w:val="•"/>
      <w:lvlJc w:val="left"/>
      <w:pPr>
        <w:ind w:left="2715" w:hanging="480"/>
      </w:pPr>
      <w:rPr>
        <w:rFonts w:hint="default"/>
        <w:lang w:val="en-US" w:eastAsia="en-US" w:bidi="ar-SA"/>
      </w:rPr>
    </w:lvl>
    <w:lvl w:ilvl="6">
      <w:start w:val="0"/>
      <w:numFmt w:val="bullet"/>
      <w:lvlText w:val="•"/>
      <w:lvlJc w:val="left"/>
      <w:pPr>
        <w:ind w:left="3222" w:hanging="480"/>
      </w:pPr>
      <w:rPr>
        <w:rFonts w:hint="default"/>
        <w:lang w:val="en-US" w:eastAsia="en-US" w:bidi="ar-SA"/>
      </w:rPr>
    </w:lvl>
    <w:lvl w:ilvl="7">
      <w:start w:val="0"/>
      <w:numFmt w:val="bullet"/>
      <w:lvlText w:val="•"/>
      <w:lvlJc w:val="left"/>
      <w:pPr>
        <w:ind w:left="3729" w:hanging="480"/>
      </w:pPr>
      <w:rPr>
        <w:rFonts w:hint="default"/>
        <w:lang w:val="en-US" w:eastAsia="en-US" w:bidi="ar-SA"/>
      </w:rPr>
    </w:lvl>
    <w:lvl w:ilvl="8">
      <w:start w:val="0"/>
      <w:numFmt w:val="bullet"/>
      <w:lvlText w:val="•"/>
      <w:lvlJc w:val="left"/>
      <w:pPr>
        <w:ind w:left="4236" w:hanging="480"/>
      </w:pPr>
      <w:rPr>
        <w:rFonts w:hint="default"/>
        <w:lang w:val="en-US" w:eastAsia="en-US" w:bidi="ar-SA"/>
      </w:rPr>
    </w:lvl>
  </w:abstractNum>
  <w:abstractNum w:abstractNumId="50">
    <w:multiLevelType w:val="hybridMultilevel"/>
    <w:lvl w:ilvl="0">
      <w:start w:val="1"/>
      <w:numFmt w:val="upperRoman"/>
      <w:lvlText w:val="%1"/>
      <w:lvlJc w:val="left"/>
      <w:pPr>
        <w:ind w:left="670"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25" w:hanging="481"/>
      </w:pPr>
      <w:rPr>
        <w:rFonts w:hint="default"/>
        <w:lang w:val="en-US" w:eastAsia="en-US" w:bidi="ar-SA"/>
      </w:rPr>
    </w:lvl>
    <w:lvl w:ilvl="2">
      <w:start w:val="0"/>
      <w:numFmt w:val="bullet"/>
      <w:lvlText w:val="•"/>
      <w:lvlJc w:val="left"/>
      <w:pPr>
        <w:ind w:left="1570" w:hanging="481"/>
      </w:pPr>
      <w:rPr>
        <w:rFonts w:hint="default"/>
        <w:lang w:val="en-US" w:eastAsia="en-US" w:bidi="ar-SA"/>
      </w:rPr>
    </w:lvl>
    <w:lvl w:ilvl="3">
      <w:start w:val="0"/>
      <w:numFmt w:val="bullet"/>
      <w:lvlText w:val="•"/>
      <w:lvlJc w:val="left"/>
      <w:pPr>
        <w:ind w:left="2015" w:hanging="481"/>
      </w:pPr>
      <w:rPr>
        <w:rFonts w:hint="default"/>
        <w:lang w:val="en-US" w:eastAsia="en-US" w:bidi="ar-SA"/>
      </w:rPr>
    </w:lvl>
    <w:lvl w:ilvl="4">
      <w:start w:val="0"/>
      <w:numFmt w:val="bullet"/>
      <w:lvlText w:val="•"/>
      <w:lvlJc w:val="left"/>
      <w:pPr>
        <w:ind w:left="2461" w:hanging="481"/>
      </w:pPr>
      <w:rPr>
        <w:rFonts w:hint="default"/>
        <w:lang w:val="en-US" w:eastAsia="en-US" w:bidi="ar-SA"/>
      </w:rPr>
    </w:lvl>
    <w:lvl w:ilvl="5">
      <w:start w:val="0"/>
      <w:numFmt w:val="bullet"/>
      <w:lvlText w:val="•"/>
      <w:lvlJc w:val="left"/>
      <w:pPr>
        <w:ind w:left="2906" w:hanging="481"/>
      </w:pPr>
      <w:rPr>
        <w:rFonts w:hint="default"/>
        <w:lang w:val="en-US" w:eastAsia="en-US" w:bidi="ar-SA"/>
      </w:rPr>
    </w:lvl>
    <w:lvl w:ilvl="6">
      <w:start w:val="0"/>
      <w:numFmt w:val="bullet"/>
      <w:lvlText w:val="•"/>
      <w:lvlJc w:val="left"/>
      <w:pPr>
        <w:ind w:left="3351" w:hanging="481"/>
      </w:pPr>
      <w:rPr>
        <w:rFonts w:hint="default"/>
        <w:lang w:val="en-US" w:eastAsia="en-US" w:bidi="ar-SA"/>
      </w:rPr>
    </w:lvl>
    <w:lvl w:ilvl="7">
      <w:start w:val="0"/>
      <w:numFmt w:val="bullet"/>
      <w:lvlText w:val="•"/>
      <w:lvlJc w:val="left"/>
      <w:pPr>
        <w:ind w:left="3797" w:hanging="481"/>
      </w:pPr>
      <w:rPr>
        <w:rFonts w:hint="default"/>
        <w:lang w:val="en-US" w:eastAsia="en-US" w:bidi="ar-SA"/>
      </w:rPr>
    </w:lvl>
    <w:lvl w:ilvl="8">
      <w:start w:val="0"/>
      <w:numFmt w:val="bullet"/>
      <w:lvlText w:val="•"/>
      <w:lvlJc w:val="left"/>
      <w:pPr>
        <w:ind w:left="4242" w:hanging="481"/>
      </w:pPr>
      <w:rPr>
        <w:rFonts w:hint="default"/>
        <w:lang w:val="en-US" w:eastAsia="en-US" w:bidi="ar-SA"/>
      </w:rPr>
    </w:lvl>
  </w:abstractNum>
  <w:abstractNum w:abstractNumId="49">
    <w:multiLevelType w:val="hybridMultilevel"/>
    <w:lvl w:ilvl="0">
      <w:start w:val="1"/>
      <w:numFmt w:val="decimal"/>
      <w:lvlText w:val="%1"/>
      <w:lvlJc w:val="left"/>
      <w:pPr>
        <w:ind w:left="19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93" w:hanging="480"/>
      </w:pPr>
      <w:rPr>
        <w:rFonts w:hint="default"/>
        <w:lang w:val="en-US" w:eastAsia="en-US" w:bidi="ar-SA"/>
      </w:rPr>
    </w:lvl>
    <w:lvl w:ilvl="2">
      <w:start w:val="0"/>
      <w:numFmt w:val="bullet"/>
      <w:lvlText w:val="•"/>
      <w:lvlJc w:val="left"/>
      <w:pPr>
        <w:ind w:left="1186" w:hanging="480"/>
      </w:pPr>
      <w:rPr>
        <w:rFonts w:hint="default"/>
        <w:lang w:val="en-US" w:eastAsia="en-US" w:bidi="ar-SA"/>
      </w:rPr>
    </w:lvl>
    <w:lvl w:ilvl="3">
      <w:start w:val="0"/>
      <w:numFmt w:val="bullet"/>
      <w:lvlText w:val="•"/>
      <w:lvlJc w:val="left"/>
      <w:pPr>
        <w:ind w:left="1679" w:hanging="480"/>
      </w:pPr>
      <w:rPr>
        <w:rFonts w:hint="default"/>
        <w:lang w:val="en-US" w:eastAsia="en-US" w:bidi="ar-SA"/>
      </w:rPr>
    </w:lvl>
    <w:lvl w:ilvl="4">
      <w:start w:val="0"/>
      <w:numFmt w:val="bullet"/>
      <w:lvlText w:val="•"/>
      <w:lvlJc w:val="left"/>
      <w:pPr>
        <w:ind w:left="2173" w:hanging="480"/>
      </w:pPr>
      <w:rPr>
        <w:rFonts w:hint="default"/>
        <w:lang w:val="en-US" w:eastAsia="en-US" w:bidi="ar-SA"/>
      </w:rPr>
    </w:lvl>
    <w:lvl w:ilvl="5">
      <w:start w:val="0"/>
      <w:numFmt w:val="bullet"/>
      <w:lvlText w:val="•"/>
      <w:lvlJc w:val="left"/>
      <w:pPr>
        <w:ind w:left="2666" w:hanging="480"/>
      </w:pPr>
      <w:rPr>
        <w:rFonts w:hint="default"/>
        <w:lang w:val="en-US" w:eastAsia="en-US" w:bidi="ar-SA"/>
      </w:rPr>
    </w:lvl>
    <w:lvl w:ilvl="6">
      <w:start w:val="0"/>
      <w:numFmt w:val="bullet"/>
      <w:lvlText w:val="•"/>
      <w:lvlJc w:val="left"/>
      <w:pPr>
        <w:ind w:left="3159" w:hanging="480"/>
      </w:pPr>
      <w:rPr>
        <w:rFonts w:hint="default"/>
        <w:lang w:val="en-US" w:eastAsia="en-US" w:bidi="ar-SA"/>
      </w:rPr>
    </w:lvl>
    <w:lvl w:ilvl="7">
      <w:start w:val="0"/>
      <w:numFmt w:val="bullet"/>
      <w:lvlText w:val="•"/>
      <w:lvlJc w:val="left"/>
      <w:pPr>
        <w:ind w:left="3653" w:hanging="480"/>
      </w:pPr>
      <w:rPr>
        <w:rFonts w:hint="default"/>
        <w:lang w:val="en-US" w:eastAsia="en-US" w:bidi="ar-SA"/>
      </w:rPr>
    </w:lvl>
    <w:lvl w:ilvl="8">
      <w:start w:val="0"/>
      <w:numFmt w:val="bullet"/>
      <w:lvlText w:val="•"/>
      <w:lvlJc w:val="left"/>
      <w:pPr>
        <w:ind w:left="4146" w:hanging="480"/>
      </w:pPr>
      <w:rPr>
        <w:rFonts w:hint="default"/>
        <w:lang w:val="en-US" w:eastAsia="en-US" w:bidi="ar-SA"/>
      </w:rPr>
    </w:lvl>
  </w:abstractNum>
  <w:abstractNum w:abstractNumId="48">
    <w:multiLevelType w:val="hybridMultilevel"/>
    <w:lvl w:ilvl="0">
      <w:start w:val="1"/>
      <w:numFmt w:val="decimal"/>
      <w:lvlText w:val="%1"/>
      <w:lvlJc w:val="left"/>
      <w:pPr>
        <w:ind w:left="165"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55" w:hanging="480"/>
      </w:pPr>
      <w:rPr>
        <w:rFonts w:hint="default"/>
        <w:lang w:val="en-US" w:eastAsia="en-US" w:bidi="ar-SA"/>
      </w:rPr>
    </w:lvl>
    <w:lvl w:ilvl="2">
      <w:start w:val="0"/>
      <w:numFmt w:val="bullet"/>
      <w:lvlText w:val="•"/>
      <w:lvlJc w:val="left"/>
      <w:pPr>
        <w:ind w:left="1150" w:hanging="480"/>
      </w:pPr>
      <w:rPr>
        <w:rFonts w:hint="default"/>
        <w:lang w:val="en-US" w:eastAsia="en-US" w:bidi="ar-SA"/>
      </w:rPr>
    </w:lvl>
    <w:lvl w:ilvl="3">
      <w:start w:val="0"/>
      <w:numFmt w:val="bullet"/>
      <w:lvlText w:val="•"/>
      <w:lvlJc w:val="left"/>
      <w:pPr>
        <w:ind w:left="1645" w:hanging="480"/>
      </w:pPr>
      <w:rPr>
        <w:rFonts w:hint="default"/>
        <w:lang w:val="en-US" w:eastAsia="en-US" w:bidi="ar-SA"/>
      </w:rPr>
    </w:lvl>
    <w:lvl w:ilvl="4">
      <w:start w:val="0"/>
      <w:numFmt w:val="bullet"/>
      <w:lvlText w:val="•"/>
      <w:lvlJc w:val="left"/>
      <w:pPr>
        <w:ind w:left="2140" w:hanging="480"/>
      </w:pPr>
      <w:rPr>
        <w:rFonts w:hint="default"/>
        <w:lang w:val="en-US" w:eastAsia="en-US" w:bidi="ar-SA"/>
      </w:rPr>
    </w:lvl>
    <w:lvl w:ilvl="5">
      <w:start w:val="0"/>
      <w:numFmt w:val="bullet"/>
      <w:lvlText w:val="•"/>
      <w:lvlJc w:val="left"/>
      <w:pPr>
        <w:ind w:left="2636" w:hanging="480"/>
      </w:pPr>
      <w:rPr>
        <w:rFonts w:hint="default"/>
        <w:lang w:val="en-US" w:eastAsia="en-US" w:bidi="ar-SA"/>
      </w:rPr>
    </w:lvl>
    <w:lvl w:ilvl="6">
      <w:start w:val="0"/>
      <w:numFmt w:val="bullet"/>
      <w:lvlText w:val="•"/>
      <w:lvlJc w:val="left"/>
      <w:pPr>
        <w:ind w:left="3131" w:hanging="480"/>
      </w:pPr>
      <w:rPr>
        <w:rFonts w:hint="default"/>
        <w:lang w:val="en-US" w:eastAsia="en-US" w:bidi="ar-SA"/>
      </w:rPr>
    </w:lvl>
    <w:lvl w:ilvl="7">
      <w:start w:val="0"/>
      <w:numFmt w:val="bullet"/>
      <w:lvlText w:val="•"/>
      <w:lvlJc w:val="left"/>
      <w:pPr>
        <w:ind w:left="3626" w:hanging="480"/>
      </w:pPr>
      <w:rPr>
        <w:rFonts w:hint="default"/>
        <w:lang w:val="en-US" w:eastAsia="en-US" w:bidi="ar-SA"/>
      </w:rPr>
    </w:lvl>
    <w:lvl w:ilvl="8">
      <w:start w:val="0"/>
      <w:numFmt w:val="bullet"/>
      <w:lvlText w:val="•"/>
      <w:lvlJc w:val="left"/>
      <w:pPr>
        <w:ind w:left="4121" w:hanging="480"/>
      </w:pPr>
      <w:rPr>
        <w:rFonts w:hint="default"/>
        <w:lang w:val="en-US" w:eastAsia="en-US" w:bidi="ar-SA"/>
      </w:rPr>
    </w:lvl>
  </w:abstractNum>
  <w:abstractNum w:abstractNumId="47">
    <w:multiLevelType w:val="hybridMultilevel"/>
    <w:lvl w:ilvl="0">
      <w:start w:val="1"/>
      <w:numFmt w:val="upperRoman"/>
      <w:lvlText w:val="%1"/>
      <w:lvlJc w:val="left"/>
      <w:pPr>
        <w:ind w:left="674"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25" w:hanging="481"/>
      </w:pPr>
      <w:rPr>
        <w:rFonts w:hint="default"/>
        <w:lang w:val="en-US" w:eastAsia="en-US" w:bidi="ar-SA"/>
      </w:rPr>
    </w:lvl>
    <w:lvl w:ilvl="2">
      <w:start w:val="0"/>
      <w:numFmt w:val="bullet"/>
      <w:lvlText w:val="•"/>
      <w:lvlJc w:val="left"/>
      <w:pPr>
        <w:ind w:left="1570" w:hanging="481"/>
      </w:pPr>
      <w:rPr>
        <w:rFonts w:hint="default"/>
        <w:lang w:val="en-US" w:eastAsia="en-US" w:bidi="ar-SA"/>
      </w:rPr>
    </w:lvl>
    <w:lvl w:ilvl="3">
      <w:start w:val="0"/>
      <w:numFmt w:val="bullet"/>
      <w:lvlText w:val="•"/>
      <w:lvlJc w:val="left"/>
      <w:pPr>
        <w:ind w:left="2015" w:hanging="481"/>
      </w:pPr>
      <w:rPr>
        <w:rFonts w:hint="default"/>
        <w:lang w:val="en-US" w:eastAsia="en-US" w:bidi="ar-SA"/>
      </w:rPr>
    </w:lvl>
    <w:lvl w:ilvl="4">
      <w:start w:val="0"/>
      <w:numFmt w:val="bullet"/>
      <w:lvlText w:val="•"/>
      <w:lvlJc w:val="left"/>
      <w:pPr>
        <w:ind w:left="2460" w:hanging="481"/>
      </w:pPr>
      <w:rPr>
        <w:rFonts w:hint="default"/>
        <w:lang w:val="en-US" w:eastAsia="en-US" w:bidi="ar-SA"/>
      </w:rPr>
    </w:lvl>
    <w:lvl w:ilvl="5">
      <w:start w:val="0"/>
      <w:numFmt w:val="bullet"/>
      <w:lvlText w:val="•"/>
      <w:lvlJc w:val="left"/>
      <w:pPr>
        <w:ind w:left="2905" w:hanging="481"/>
      </w:pPr>
      <w:rPr>
        <w:rFonts w:hint="default"/>
        <w:lang w:val="en-US" w:eastAsia="en-US" w:bidi="ar-SA"/>
      </w:rPr>
    </w:lvl>
    <w:lvl w:ilvl="6">
      <w:start w:val="0"/>
      <w:numFmt w:val="bullet"/>
      <w:lvlText w:val="•"/>
      <w:lvlJc w:val="left"/>
      <w:pPr>
        <w:ind w:left="3351" w:hanging="481"/>
      </w:pPr>
      <w:rPr>
        <w:rFonts w:hint="default"/>
        <w:lang w:val="en-US" w:eastAsia="en-US" w:bidi="ar-SA"/>
      </w:rPr>
    </w:lvl>
    <w:lvl w:ilvl="7">
      <w:start w:val="0"/>
      <w:numFmt w:val="bullet"/>
      <w:lvlText w:val="•"/>
      <w:lvlJc w:val="left"/>
      <w:pPr>
        <w:ind w:left="3796" w:hanging="481"/>
      </w:pPr>
      <w:rPr>
        <w:rFonts w:hint="default"/>
        <w:lang w:val="en-US" w:eastAsia="en-US" w:bidi="ar-SA"/>
      </w:rPr>
    </w:lvl>
    <w:lvl w:ilvl="8">
      <w:start w:val="0"/>
      <w:numFmt w:val="bullet"/>
      <w:lvlText w:val="•"/>
      <w:lvlJc w:val="left"/>
      <w:pPr>
        <w:ind w:left="4241" w:hanging="481"/>
      </w:pPr>
      <w:rPr>
        <w:rFonts w:hint="default"/>
        <w:lang w:val="en-US" w:eastAsia="en-US" w:bidi="ar-SA"/>
      </w:rPr>
    </w:lvl>
  </w:abstractNum>
  <w:abstractNum w:abstractNumId="46">
    <w:multiLevelType w:val="hybridMultilevel"/>
    <w:lvl w:ilvl="0">
      <w:start w:val="1"/>
      <w:numFmt w:val="decimal"/>
      <w:lvlText w:val="%1"/>
      <w:lvlJc w:val="left"/>
      <w:pPr>
        <w:ind w:left="194"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93" w:hanging="480"/>
      </w:pPr>
      <w:rPr>
        <w:rFonts w:hint="default"/>
        <w:lang w:val="en-US" w:eastAsia="en-US" w:bidi="ar-SA"/>
      </w:rPr>
    </w:lvl>
    <w:lvl w:ilvl="2">
      <w:start w:val="0"/>
      <w:numFmt w:val="bullet"/>
      <w:lvlText w:val="•"/>
      <w:lvlJc w:val="left"/>
      <w:pPr>
        <w:ind w:left="1186" w:hanging="480"/>
      </w:pPr>
      <w:rPr>
        <w:rFonts w:hint="default"/>
        <w:lang w:val="en-US" w:eastAsia="en-US" w:bidi="ar-SA"/>
      </w:rPr>
    </w:lvl>
    <w:lvl w:ilvl="3">
      <w:start w:val="0"/>
      <w:numFmt w:val="bullet"/>
      <w:lvlText w:val="•"/>
      <w:lvlJc w:val="left"/>
      <w:pPr>
        <w:ind w:left="1679" w:hanging="480"/>
      </w:pPr>
      <w:rPr>
        <w:rFonts w:hint="default"/>
        <w:lang w:val="en-US" w:eastAsia="en-US" w:bidi="ar-SA"/>
      </w:rPr>
    </w:lvl>
    <w:lvl w:ilvl="4">
      <w:start w:val="0"/>
      <w:numFmt w:val="bullet"/>
      <w:lvlText w:val="•"/>
      <w:lvlJc w:val="left"/>
      <w:pPr>
        <w:ind w:left="2172" w:hanging="480"/>
      </w:pPr>
      <w:rPr>
        <w:rFonts w:hint="default"/>
        <w:lang w:val="en-US" w:eastAsia="en-US" w:bidi="ar-SA"/>
      </w:rPr>
    </w:lvl>
    <w:lvl w:ilvl="5">
      <w:start w:val="0"/>
      <w:numFmt w:val="bullet"/>
      <w:lvlText w:val="•"/>
      <w:lvlJc w:val="left"/>
      <w:pPr>
        <w:ind w:left="2665" w:hanging="480"/>
      </w:pPr>
      <w:rPr>
        <w:rFonts w:hint="default"/>
        <w:lang w:val="en-US" w:eastAsia="en-US" w:bidi="ar-SA"/>
      </w:rPr>
    </w:lvl>
    <w:lvl w:ilvl="6">
      <w:start w:val="0"/>
      <w:numFmt w:val="bullet"/>
      <w:lvlText w:val="•"/>
      <w:lvlJc w:val="left"/>
      <w:pPr>
        <w:ind w:left="3159" w:hanging="480"/>
      </w:pPr>
      <w:rPr>
        <w:rFonts w:hint="default"/>
        <w:lang w:val="en-US" w:eastAsia="en-US" w:bidi="ar-SA"/>
      </w:rPr>
    </w:lvl>
    <w:lvl w:ilvl="7">
      <w:start w:val="0"/>
      <w:numFmt w:val="bullet"/>
      <w:lvlText w:val="•"/>
      <w:lvlJc w:val="left"/>
      <w:pPr>
        <w:ind w:left="3652" w:hanging="480"/>
      </w:pPr>
      <w:rPr>
        <w:rFonts w:hint="default"/>
        <w:lang w:val="en-US" w:eastAsia="en-US" w:bidi="ar-SA"/>
      </w:rPr>
    </w:lvl>
    <w:lvl w:ilvl="8">
      <w:start w:val="0"/>
      <w:numFmt w:val="bullet"/>
      <w:lvlText w:val="•"/>
      <w:lvlJc w:val="left"/>
      <w:pPr>
        <w:ind w:left="4145" w:hanging="480"/>
      </w:pPr>
      <w:rPr>
        <w:rFonts w:hint="default"/>
        <w:lang w:val="en-US" w:eastAsia="en-US" w:bidi="ar-SA"/>
      </w:rPr>
    </w:lvl>
  </w:abstractNum>
  <w:abstractNum w:abstractNumId="45">
    <w:multiLevelType w:val="hybridMultilevel"/>
    <w:lvl w:ilvl="0">
      <w:start w:val="31"/>
      <w:numFmt w:val="decimal"/>
      <w:lvlText w:val="%1"/>
      <w:lvlJc w:val="left"/>
      <w:pPr>
        <w:ind w:left="16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54" w:hanging="480"/>
      </w:pPr>
      <w:rPr>
        <w:rFonts w:hint="default"/>
        <w:lang w:val="en-US" w:eastAsia="en-US" w:bidi="ar-SA"/>
      </w:rPr>
    </w:lvl>
    <w:lvl w:ilvl="2">
      <w:start w:val="0"/>
      <w:numFmt w:val="bullet"/>
      <w:lvlText w:val="•"/>
      <w:lvlJc w:val="left"/>
      <w:pPr>
        <w:ind w:left="1149" w:hanging="480"/>
      </w:pPr>
      <w:rPr>
        <w:rFonts w:hint="default"/>
        <w:lang w:val="en-US" w:eastAsia="en-US" w:bidi="ar-SA"/>
      </w:rPr>
    </w:lvl>
    <w:lvl w:ilvl="3">
      <w:start w:val="0"/>
      <w:numFmt w:val="bullet"/>
      <w:lvlText w:val="•"/>
      <w:lvlJc w:val="left"/>
      <w:pPr>
        <w:ind w:left="1644" w:hanging="480"/>
      </w:pPr>
      <w:rPr>
        <w:rFonts w:hint="default"/>
        <w:lang w:val="en-US" w:eastAsia="en-US" w:bidi="ar-SA"/>
      </w:rPr>
    </w:lvl>
    <w:lvl w:ilvl="4">
      <w:start w:val="0"/>
      <w:numFmt w:val="bullet"/>
      <w:lvlText w:val="•"/>
      <w:lvlJc w:val="left"/>
      <w:pPr>
        <w:ind w:left="2138" w:hanging="480"/>
      </w:pPr>
      <w:rPr>
        <w:rFonts w:hint="default"/>
        <w:lang w:val="en-US" w:eastAsia="en-US" w:bidi="ar-SA"/>
      </w:rPr>
    </w:lvl>
    <w:lvl w:ilvl="5">
      <w:start w:val="0"/>
      <w:numFmt w:val="bullet"/>
      <w:lvlText w:val="•"/>
      <w:lvlJc w:val="left"/>
      <w:pPr>
        <w:ind w:left="2633" w:hanging="480"/>
      </w:pPr>
      <w:rPr>
        <w:rFonts w:hint="default"/>
        <w:lang w:val="en-US" w:eastAsia="en-US" w:bidi="ar-SA"/>
      </w:rPr>
    </w:lvl>
    <w:lvl w:ilvl="6">
      <w:start w:val="0"/>
      <w:numFmt w:val="bullet"/>
      <w:lvlText w:val="•"/>
      <w:lvlJc w:val="left"/>
      <w:pPr>
        <w:ind w:left="3128" w:hanging="480"/>
      </w:pPr>
      <w:rPr>
        <w:rFonts w:hint="default"/>
        <w:lang w:val="en-US" w:eastAsia="en-US" w:bidi="ar-SA"/>
      </w:rPr>
    </w:lvl>
    <w:lvl w:ilvl="7">
      <w:start w:val="0"/>
      <w:numFmt w:val="bullet"/>
      <w:lvlText w:val="•"/>
      <w:lvlJc w:val="left"/>
      <w:pPr>
        <w:ind w:left="3622" w:hanging="480"/>
      </w:pPr>
      <w:rPr>
        <w:rFonts w:hint="default"/>
        <w:lang w:val="en-US" w:eastAsia="en-US" w:bidi="ar-SA"/>
      </w:rPr>
    </w:lvl>
    <w:lvl w:ilvl="8">
      <w:start w:val="0"/>
      <w:numFmt w:val="bullet"/>
      <w:lvlText w:val="•"/>
      <w:lvlJc w:val="left"/>
      <w:pPr>
        <w:ind w:left="4117" w:hanging="480"/>
      </w:pPr>
      <w:rPr>
        <w:rFonts w:hint="default"/>
        <w:lang w:val="en-US" w:eastAsia="en-US" w:bidi="ar-SA"/>
      </w:rPr>
    </w:lvl>
  </w:abstractNum>
  <w:abstractNum w:abstractNumId="44">
    <w:multiLevelType w:val="hybridMultilevel"/>
    <w:lvl w:ilvl="0">
      <w:start w:val="1"/>
      <w:numFmt w:val="decimal"/>
      <w:lvlText w:val="%1"/>
      <w:lvlJc w:val="left"/>
      <w:pPr>
        <w:ind w:left="194"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92" w:hanging="480"/>
      </w:pPr>
      <w:rPr>
        <w:rFonts w:hint="default"/>
        <w:lang w:val="en-US" w:eastAsia="en-US" w:bidi="ar-SA"/>
      </w:rPr>
    </w:lvl>
    <w:lvl w:ilvl="2">
      <w:start w:val="0"/>
      <w:numFmt w:val="bullet"/>
      <w:lvlText w:val="•"/>
      <w:lvlJc w:val="left"/>
      <w:pPr>
        <w:ind w:left="1185" w:hanging="480"/>
      </w:pPr>
      <w:rPr>
        <w:rFonts w:hint="default"/>
        <w:lang w:val="en-US" w:eastAsia="en-US" w:bidi="ar-SA"/>
      </w:rPr>
    </w:lvl>
    <w:lvl w:ilvl="3">
      <w:start w:val="0"/>
      <w:numFmt w:val="bullet"/>
      <w:lvlText w:val="•"/>
      <w:lvlJc w:val="left"/>
      <w:pPr>
        <w:ind w:left="1678" w:hanging="480"/>
      </w:pPr>
      <w:rPr>
        <w:rFonts w:hint="default"/>
        <w:lang w:val="en-US" w:eastAsia="en-US" w:bidi="ar-SA"/>
      </w:rPr>
    </w:lvl>
    <w:lvl w:ilvl="4">
      <w:start w:val="0"/>
      <w:numFmt w:val="bullet"/>
      <w:lvlText w:val="•"/>
      <w:lvlJc w:val="left"/>
      <w:pPr>
        <w:ind w:left="2170" w:hanging="480"/>
      </w:pPr>
      <w:rPr>
        <w:rFonts w:hint="default"/>
        <w:lang w:val="en-US" w:eastAsia="en-US" w:bidi="ar-SA"/>
      </w:rPr>
    </w:lvl>
    <w:lvl w:ilvl="5">
      <w:start w:val="0"/>
      <w:numFmt w:val="bullet"/>
      <w:lvlText w:val="•"/>
      <w:lvlJc w:val="left"/>
      <w:pPr>
        <w:ind w:left="2663" w:hanging="480"/>
      </w:pPr>
      <w:rPr>
        <w:rFonts w:hint="default"/>
        <w:lang w:val="en-US" w:eastAsia="en-US" w:bidi="ar-SA"/>
      </w:rPr>
    </w:lvl>
    <w:lvl w:ilvl="6">
      <w:start w:val="0"/>
      <w:numFmt w:val="bullet"/>
      <w:lvlText w:val="•"/>
      <w:lvlJc w:val="left"/>
      <w:pPr>
        <w:ind w:left="3156" w:hanging="480"/>
      </w:pPr>
      <w:rPr>
        <w:rFonts w:hint="default"/>
        <w:lang w:val="en-US" w:eastAsia="en-US" w:bidi="ar-SA"/>
      </w:rPr>
    </w:lvl>
    <w:lvl w:ilvl="7">
      <w:start w:val="0"/>
      <w:numFmt w:val="bullet"/>
      <w:lvlText w:val="•"/>
      <w:lvlJc w:val="left"/>
      <w:pPr>
        <w:ind w:left="3648" w:hanging="480"/>
      </w:pPr>
      <w:rPr>
        <w:rFonts w:hint="default"/>
        <w:lang w:val="en-US" w:eastAsia="en-US" w:bidi="ar-SA"/>
      </w:rPr>
    </w:lvl>
    <w:lvl w:ilvl="8">
      <w:start w:val="0"/>
      <w:numFmt w:val="bullet"/>
      <w:lvlText w:val="•"/>
      <w:lvlJc w:val="left"/>
      <w:pPr>
        <w:ind w:left="4141" w:hanging="480"/>
      </w:pPr>
      <w:rPr>
        <w:rFonts w:hint="default"/>
        <w:lang w:val="en-US" w:eastAsia="en-US" w:bidi="ar-SA"/>
      </w:rPr>
    </w:lvl>
  </w:abstractNum>
  <w:abstractNum w:abstractNumId="43">
    <w:multiLevelType w:val="hybridMultilevel"/>
    <w:lvl w:ilvl="0">
      <w:start w:val="1"/>
      <w:numFmt w:val="upperRoman"/>
      <w:lvlText w:val="%1"/>
      <w:lvlJc w:val="left"/>
      <w:pPr>
        <w:ind w:left="670"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25" w:hanging="481"/>
      </w:pPr>
      <w:rPr>
        <w:rFonts w:hint="default"/>
        <w:lang w:val="en-US" w:eastAsia="en-US" w:bidi="ar-SA"/>
      </w:rPr>
    </w:lvl>
    <w:lvl w:ilvl="2">
      <w:start w:val="0"/>
      <w:numFmt w:val="bullet"/>
      <w:lvlText w:val="•"/>
      <w:lvlJc w:val="left"/>
      <w:pPr>
        <w:ind w:left="1571" w:hanging="481"/>
      </w:pPr>
      <w:rPr>
        <w:rFonts w:hint="default"/>
        <w:lang w:val="en-US" w:eastAsia="en-US" w:bidi="ar-SA"/>
      </w:rPr>
    </w:lvl>
    <w:lvl w:ilvl="3">
      <w:start w:val="0"/>
      <w:numFmt w:val="bullet"/>
      <w:lvlText w:val="•"/>
      <w:lvlJc w:val="left"/>
      <w:pPr>
        <w:ind w:left="2017" w:hanging="481"/>
      </w:pPr>
      <w:rPr>
        <w:rFonts w:hint="default"/>
        <w:lang w:val="en-US" w:eastAsia="en-US" w:bidi="ar-SA"/>
      </w:rPr>
    </w:lvl>
    <w:lvl w:ilvl="4">
      <w:start w:val="0"/>
      <w:numFmt w:val="bullet"/>
      <w:lvlText w:val="•"/>
      <w:lvlJc w:val="left"/>
      <w:pPr>
        <w:ind w:left="2463" w:hanging="481"/>
      </w:pPr>
      <w:rPr>
        <w:rFonts w:hint="default"/>
        <w:lang w:val="en-US" w:eastAsia="en-US" w:bidi="ar-SA"/>
      </w:rPr>
    </w:lvl>
    <w:lvl w:ilvl="5">
      <w:start w:val="0"/>
      <w:numFmt w:val="bullet"/>
      <w:lvlText w:val="•"/>
      <w:lvlJc w:val="left"/>
      <w:pPr>
        <w:ind w:left="2908" w:hanging="481"/>
      </w:pPr>
      <w:rPr>
        <w:rFonts w:hint="default"/>
        <w:lang w:val="en-US" w:eastAsia="en-US" w:bidi="ar-SA"/>
      </w:rPr>
    </w:lvl>
    <w:lvl w:ilvl="6">
      <w:start w:val="0"/>
      <w:numFmt w:val="bullet"/>
      <w:lvlText w:val="•"/>
      <w:lvlJc w:val="left"/>
      <w:pPr>
        <w:ind w:left="3354" w:hanging="481"/>
      </w:pPr>
      <w:rPr>
        <w:rFonts w:hint="default"/>
        <w:lang w:val="en-US" w:eastAsia="en-US" w:bidi="ar-SA"/>
      </w:rPr>
    </w:lvl>
    <w:lvl w:ilvl="7">
      <w:start w:val="0"/>
      <w:numFmt w:val="bullet"/>
      <w:lvlText w:val="•"/>
      <w:lvlJc w:val="left"/>
      <w:pPr>
        <w:ind w:left="3800" w:hanging="481"/>
      </w:pPr>
      <w:rPr>
        <w:rFonts w:hint="default"/>
        <w:lang w:val="en-US" w:eastAsia="en-US" w:bidi="ar-SA"/>
      </w:rPr>
    </w:lvl>
    <w:lvl w:ilvl="8">
      <w:start w:val="0"/>
      <w:numFmt w:val="bullet"/>
      <w:lvlText w:val="•"/>
      <w:lvlJc w:val="left"/>
      <w:pPr>
        <w:ind w:left="4246" w:hanging="481"/>
      </w:pPr>
      <w:rPr>
        <w:rFonts w:hint="default"/>
        <w:lang w:val="en-US" w:eastAsia="en-US" w:bidi="ar-SA"/>
      </w:rPr>
    </w:lvl>
  </w:abstractNum>
  <w:abstractNum w:abstractNumId="42">
    <w:multiLevelType w:val="hybridMultilevel"/>
    <w:lvl w:ilvl="0">
      <w:start w:val="1"/>
      <w:numFmt w:val="decimal"/>
      <w:lvlText w:val="%1"/>
      <w:lvlJc w:val="left"/>
      <w:pPr>
        <w:ind w:left="190" w:hanging="480"/>
        <w:jc w:val="left"/>
      </w:pPr>
      <w:rPr>
        <w:rFonts w:hint="default" w:ascii="Times New Roman" w:hAnsi="Times New Roman" w:eastAsia="Times New Roman" w:cs="Times New Roman"/>
        <w:spacing w:val="-1"/>
        <w:w w:val="100"/>
        <w:sz w:val="18"/>
        <w:szCs w:val="18"/>
        <w:lang w:val="en-US" w:eastAsia="en-US" w:bidi="ar-SA"/>
      </w:rPr>
    </w:lvl>
    <w:lvl w:ilvl="1">
      <w:start w:val="1"/>
      <w:numFmt w:val="decimal"/>
      <w:lvlText w:val="%1.%2."/>
      <w:lvlJc w:val="left"/>
      <w:pPr>
        <w:ind w:left="180" w:hanging="450"/>
        <w:jc w:val="left"/>
      </w:pPr>
      <w:rPr>
        <w:rFonts w:hint="default" w:ascii="Times New Roman" w:hAnsi="Times New Roman" w:eastAsia="Times New Roman" w:cs="Times New Roman"/>
        <w:spacing w:val="-1"/>
        <w:w w:val="100"/>
        <w:sz w:val="18"/>
        <w:szCs w:val="18"/>
        <w:lang w:val="en-US" w:eastAsia="en-US" w:bidi="ar-SA"/>
      </w:rPr>
    </w:lvl>
    <w:lvl w:ilvl="2">
      <w:start w:val="0"/>
      <w:numFmt w:val="bullet"/>
      <w:lvlText w:val="•"/>
      <w:lvlJc w:val="left"/>
      <w:pPr>
        <w:ind w:left="747" w:hanging="450"/>
      </w:pPr>
      <w:rPr>
        <w:rFonts w:hint="default"/>
        <w:lang w:val="en-US" w:eastAsia="en-US" w:bidi="ar-SA"/>
      </w:rPr>
    </w:lvl>
    <w:lvl w:ilvl="3">
      <w:start w:val="0"/>
      <w:numFmt w:val="bullet"/>
      <w:lvlText w:val="•"/>
      <w:lvlJc w:val="left"/>
      <w:pPr>
        <w:ind w:left="1294" w:hanging="450"/>
      </w:pPr>
      <w:rPr>
        <w:rFonts w:hint="default"/>
        <w:lang w:val="en-US" w:eastAsia="en-US" w:bidi="ar-SA"/>
      </w:rPr>
    </w:lvl>
    <w:lvl w:ilvl="4">
      <w:start w:val="0"/>
      <w:numFmt w:val="bullet"/>
      <w:lvlText w:val="•"/>
      <w:lvlJc w:val="left"/>
      <w:pPr>
        <w:ind w:left="1842" w:hanging="450"/>
      </w:pPr>
      <w:rPr>
        <w:rFonts w:hint="default"/>
        <w:lang w:val="en-US" w:eastAsia="en-US" w:bidi="ar-SA"/>
      </w:rPr>
    </w:lvl>
    <w:lvl w:ilvl="5">
      <w:start w:val="0"/>
      <w:numFmt w:val="bullet"/>
      <w:lvlText w:val="•"/>
      <w:lvlJc w:val="left"/>
      <w:pPr>
        <w:ind w:left="2389" w:hanging="450"/>
      </w:pPr>
      <w:rPr>
        <w:rFonts w:hint="default"/>
        <w:lang w:val="en-US" w:eastAsia="en-US" w:bidi="ar-SA"/>
      </w:rPr>
    </w:lvl>
    <w:lvl w:ilvl="6">
      <w:start w:val="0"/>
      <w:numFmt w:val="bullet"/>
      <w:lvlText w:val="•"/>
      <w:lvlJc w:val="left"/>
      <w:pPr>
        <w:ind w:left="2937" w:hanging="450"/>
      </w:pPr>
      <w:rPr>
        <w:rFonts w:hint="default"/>
        <w:lang w:val="en-US" w:eastAsia="en-US" w:bidi="ar-SA"/>
      </w:rPr>
    </w:lvl>
    <w:lvl w:ilvl="7">
      <w:start w:val="0"/>
      <w:numFmt w:val="bullet"/>
      <w:lvlText w:val="•"/>
      <w:lvlJc w:val="left"/>
      <w:pPr>
        <w:ind w:left="3484" w:hanging="450"/>
      </w:pPr>
      <w:rPr>
        <w:rFonts w:hint="default"/>
        <w:lang w:val="en-US" w:eastAsia="en-US" w:bidi="ar-SA"/>
      </w:rPr>
    </w:lvl>
    <w:lvl w:ilvl="8">
      <w:start w:val="0"/>
      <w:numFmt w:val="bullet"/>
      <w:lvlText w:val="•"/>
      <w:lvlJc w:val="left"/>
      <w:pPr>
        <w:ind w:left="4032" w:hanging="450"/>
      </w:pPr>
      <w:rPr>
        <w:rFonts w:hint="default"/>
        <w:lang w:val="en-US" w:eastAsia="en-US" w:bidi="ar-SA"/>
      </w:rPr>
    </w:lvl>
  </w:abstractNum>
  <w:abstractNum w:abstractNumId="41">
    <w:multiLevelType w:val="hybridMultilevel"/>
    <w:lvl w:ilvl="0">
      <w:start w:val="32"/>
      <w:numFmt w:val="decimal"/>
      <w:lvlText w:val="%1"/>
      <w:lvlJc w:val="left"/>
      <w:pPr>
        <w:ind w:left="20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705" w:hanging="480"/>
      </w:pPr>
      <w:rPr>
        <w:rFonts w:hint="default"/>
        <w:lang w:val="en-US" w:eastAsia="en-US" w:bidi="ar-SA"/>
      </w:rPr>
    </w:lvl>
    <w:lvl w:ilvl="2">
      <w:start w:val="0"/>
      <w:numFmt w:val="bullet"/>
      <w:lvlText w:val="•"/>
      <w:lvlJc w:val="left"/>
      <w:pPr>
        <w:ind w:left="1210" w:hanging="480"/>
      </w:pPr>
      <w:rPr>
        <w:rFonts w:hint="default"/>
        <w:lang w:val="en-US" w:eastAsia="en-US" w:bidi="ar-SA"/>
      </w:rPr>
    </w:lvl>
    <w:lvl w:ilvl="3">
      <w:start w:val="0"/>
      <w:numFmt w:val="bullet"/>
      <w:lvlText w:val="•"/>
      <w:lvlJc w:val="left"/>
      <w:pPr>
        <w:ind w:left="1715" w:hanging="480"/>
      </w:pPr>
      <w:rPr>
        <w:rFonts w:hint="default"/>
        <w:lang w:val="en-US" w:eastAsia="en-US" w:bidi="ar-SA"/>
      </w:rPr>
    </w:lvl>
    <w:lvl w:ilvl="4">
      <w:start w:val="0"/>
      <w:numFmt w:val="bullet"/>
      <w:lvlText w:val="•"/>
      <w:lvlJc w:val="left"/>
      <w:pPr>
        <w:ind w:left="2221" w:hanging="480"/>
      </w:pPr>
      <w:rPr>
        <w:rFonts w:hint="default"/>
        <w:lang w:val="en-US" w:eastAsia="en-US" w:bidi="ar-SA"/>
      </w:rPr>
    </w:lvl>
    <w:lvl w:ilvl="5">
      <w:start w:val="0"/>
      <w:numFmt w:val="bullet"/>
      <w:lvlText w:val="•"/>
      <w:lvlJc w:val="left"/>
      <w:pPr>
        <w:ind w:left="2726" w:hanging="480"/>
      </w:pPr>
      <w:rPr>
        <w:rFonts w:hint="default"/>
        <w:lang w:val="en-US" w:eastAsia="en-US" w:bidi="ar-SA"/>
      </w:rPr>
    </w:lvl>
    <w:lvl w:ilvl="6">
      <w:start w:val="0"/>
      <w:numFmt w:val="bullet"/>
      <w:lvlText w:val="•"/>
      <w:lvlJc w:val="left"/>
      <w:pPr>
        <w:ind w:left="3231" w:hanging="480"/>
      </w:pPr>
      <w:rPr>
        <w:rFonts w:hint="default"/>
        <w:lang w:val="en-US" w:eastAsia="en-US" w:bidi="ar-SA"/>
      </w:rPr>
    </w:lvl>
    <w:lvl w:ilvl="7">
      <w:start w:val="0"/>
      <w:numFmt w:val="bullet"/>
      <w:lvlText w:val="•"/>
      <w:lvlJc w:val="left"/>
      <w:pPr>
        <w:ind w:left="3736" w:hanging="480"/>
      </w:pPr>
      <w:rPr>
        <w:rFonts w:hint="default"/>
        <w:lang w:val="en-US" w:eastAsia="en-US" w:bidi="ar-SA"/>
      </w:rPr>
    </w:lvl>
    <w:lvl w:ilvl="8">
      <w:start w:val="0"/>
      <w:numFmt w:val="bullet"/>
      <w:lvlText w:val="•"/>
      <w:lvlJc w:val="left"/>
      <w:pPr>
        <w:ind w:left="4242" w:hanging="480"/>
      </w:pPr>
      <w:rPr>
        <w:rFonts w:hint="default"/>
        <w:lang w:val="en-US" w:eastAsia="en-US" w:bidi="ar-SA"/>
      </w:rPr>
    </w:lvl>
  </w:abstractNum>
  <w:abstractNum w:abstractNumId="40">
    <w:multiLevelType w:val="hybridMultilevel"/>
    <w:lvl w:ilvl="0">
      <w:start w:val="1"/>
      <w:numFmt w:val="decimal"/>
      <w:lvlText w:val="%1"/>
      <w:lvlJc w:val="left"/>
      <w:pPr>
        <w:ind w:left="18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4" w:hanging="480"/>
      </w:pPr>
      <w:rPr>
        <w:rFonts w:hint="default"/>
        <w:lang w:val="en-US" w:eastAsia="en-US" w:bidi="ar-SA"/>
      </w:rPr>
    </w:lvl>
    <w:lvl w:ilvl="2">
      <w:start w:val="0"/>
      <w:numFmt w:val="bullet"/>
      <w:lvlText w:val="•"/>
      <w:lvlJc w:val="left"/>
      <w:pPr>
        <w:ind w:left="1169" w:hanging="480"/>
      </w:pPr>
      <w:rPr>
        <w:rFonts w:hint="default"/>
        <w:lang w:val="en-US" w:eastAsia="en-US" w:bidi="ar-SA"/>
      </w:rPr>
    </w:lvl>
    <w:lvl w:ilvl="3">
      <w:start w:val="0"/>
      <w:numFmt w:val="bullet"/>
      <w:lvlText w:val="•"/>
      <w:lvlJc w:val="left"/>
      <w:pPr>
        <w:ind w:left="1664" w:hanging="480"/>
      </w:pPr>
      <w:rPr>
        <w:rFonts w:hint="default"/>
        <w:lang w:val="en-US" w:eastAsia="en-US" w:bidi="ar-SA"/>
      </w:rPr>
    </w:lvl>
    <w:lvl w:ilvl="4">
      <w:start w:val="0"/>
      <w:numFmt w:val="bullet"/>
      <w:lvlText w:val="•"/>
      <w:lvlJc w:val="left"/>
      <w:pPr>
        <w:ind w:left="2158" w:hanging="480"/>
      </w:pPr>
      <w:rPr>
        <w:rFonts w:hint="default"/>
        <w:lang w:val="en-US" w:eastAsia="en-US" w:bidi="ar-SA"/>
      </w:rPr>
    </w:lvl>
    <w:lvl w:ilvl="5">
      <w:start w:val="0"/>
      <w:numFmt w:val="bullet"/>
      <w:lvlText w:val="•"/>
      <w:lvlJc w:val="left"/>
      <w:pPr>
        <w:ind w:left="2653" w:hanging="480"/>
      </w:pPr>
      <w:rPr>
        <w:rFonts w:hint="default"/>
        <w:lang w:val="en-US" w:eastAsia="en-US" w:bidi="ar-SA"/>
      </w:rPr>
    </w:lvl>
    <w:lvl w:ilvl="6">
      <w:start w:val="0"/>
      <w:numFmt w:val="bullet"/>
      <w:lvlText w:val="•"/>
      <w:lvlJc w:val="left"/>
      <w:pPr>
        <w:ind w:left="3148" w:hanging="480"/>
      </w:pPr>
      <w:rPr>
        <w:rFonts w:hint="default"/>
        <w:lang w:val="en-US" w:eastAsia="en-US" w:bidi="ar-SA"/>
      </w:rPr>
    </w:lvl>
    <w:lvl w:ilvl="7">
      <w:start w:val="0"/>
      <w:numFmt w:val="bullet"/>
      <w:lvlText w:val="•"/>
      <w:lvlJc w:val="left"/>
      <w:pPr>
        <w:ind w:left="3643" w:hanging="480"/>
      </w:pPr>
      <w:rPr>
        <w:rFonts w:hint="default"/>
        <w:lang w:val="en-US" w:eastAsia="en-US" w:bidi="ar-SA"/>
      </w:rPr>
    </w:lvl>
    <w:lvl w:ilvl="8">
      <w:start w:val="0"/>
      <w:numFmt w:val="bullet"/>
      <w:lvlText w:val="•"/>
      <w:lvlJc w:val="left"/>
      <w:pPr>
        <w:ind w:left="4137" w:hanging="480"/>
      </w:pPr>
      <w:rPr>
        <w:rFonts w:hint="default"/>
        <w:lang w:val="en-US" w:eastAsia="en-US" w:bidi="ar-SA"/>
      </w:rPr>
    </w:lvl>
  </w:abstractNum>
  <w:abstractNum w:abstractNumId="39">
    <w:multiLevelType w:val="hybridMultilevel"/>
    <w:lvl w:ilvl="0">
      <w:start w:val="0"/>
      <w:numFmt w:val="bullet"/>
      <w:lvlText w:val=""/>
      <w:lvlJc w:val="left"/>
      <w:pPr>
        <w:ind w:left="682" w:hanging="480"/>
      </w:pPr>
      <w:rPr>
        <w:rFonts w:hint="default" w:ascii="Wingdings" w:hAnsi="Wingdings" w:eastAsia="Wingdings" w:cs="Wingdings"/>
        <w:color w:val="006CB4"/>
        <w:sz w:val="22"/>
        <w:szCs w:val="22"/>
        <w:lang w:val="en-US" w:eastAsia="en-US" w:bidi="ar-SA"/>
      </w:rPr>
    </w:lvl>
    <w:lvl w:ilvl="1">
      <w:start w:val="0"/>
      <w:numFmt w:val="bullet"/>
      <w:lvlText w:val="•"/>
      <w:lvlJc w:val="left"/>
      <w:pPr>
        <w:ind w:left="1676" w:hanging="480"/>
      </w:pPr>
      <w:rPr>
        <w:rFonts w:hint="default"/>
        <w:lang w:val="en-US" w:eastAsia="en-US" w:bidi="ar-SA"/>
      </w:rPr>
    </w:lvl>
    <w:lvl w:ilvl="2">
      <w:start w:val="0"/>
      <w:numFmt w:val="bullet"/>
      <w:lvlText w:val="•"/>
      <w:lvlJc w:val="left"/>
      <w:pPr>
        <w:ind w:left="2672" w:hanging="480"/>
      </w:pPr>
      <w:rPr>
        <w:rFonts w:hint="default"/>
        <w:lang w:val="en-US" w:eastAsia="en-US" w:bidi="ar-SA"/>
      </w:rPr>
    </w:lvl>
    <w:lvl w:ilvl="3">
      <w:start w:val="0"/>
      <w:numFmt w:val="bullet"/>
      <w:lvlText w:val="•"/>
      <w:lvlJc w:val="left"/>
      <w:pPr>
        <w:ind w:left="3668" w:hanging="480"/>
      </w:pPr>
      <w:rPr>
        <w:rFonts w:hint="default"/>
        <w:lang w:val="en-US" w:eastAsia="en-US" w:bidi="ar-SA"/>
      </w:rPr>
    </w:lvl>
    <w:lvl w:ilvl="4">
      <w:start w:val="0"/>
      <w:numFmt w:val="bullet"/>
      <w:lvlText w:val="•"/>
      <w:lvlJc w:val="left"/>
      <w:pPr>
        <w:ind w:left="4664" w:hanging="480"/>
      </w:pPr>
      <w:rPr>
        <w:rFonts w:hint="default"/>
        <w:lang w:val="en-US" w:eastAsia="en-US" w:bidi="ar-SA"/>
      </w:rPr>
    </w:lvl>
    <w:lvl w:ilvl="5">
      <w:start w:val="0"/>
      <w:numFmt w:val="bullet"/>
      <w:lvlText w:val="•"/>
      <w:lvlJc w:val="left"/>
      <w:pPr>
        <w:ind w:left="5660" w:hanging="480"/>
      </w:pPr>
      <w:rPr>
        <w:rFonts w:hint="default"/>
        <w:lang w:val="en-US" w:eastAsia="en-US" w:bidi="ar-SA"/>
      </w:rPr>
    </w:lvl>
    <w:lvl w:ilvl="6">
      <w:start w:val="0"/>
      <w:numFmt w:val="bullet"/>
      <w:lvlText w:val="•"/>
      <w:lvlJc w:val="left"/>
      <w:pPr>
        <w:ind w:left="6656" w:hanging="480"/>
      </w:pPr>
      <w:rPr>
        <w:rFonts w:hint="default"/>
        <w:lang w:val="en-US" w:eastAsia="en-US" w:bidi="ar-SA"/>
      </w:rPr>
    </w:lvl>
    <w:lvl w:ilvl="7">
      <w:start w:val="0"/>
      <w:numFmt w:val="bullet"/>
      <w:lvlText w:val="•"/>
      <w:lvlJc w:val="left"/>
      <w:pPr>
        <w:ind w:left="7652" w:hanging="480"/>
      </w:pPr>
      <w:rPr>
        <w:rFonts w:hint="default"/>
        <w:lang w:val="en-US" w:eastAsia="en-US" w:bidi="ar-SA"/>
      </w:rPr>
    </w:lvl>
    <w:lvl w:ilvl="8">
      <w:start w:val="0"/>
      <w:numFmt w:val="bullet"/>
      <w:lvlText w:val="•"/>
      <w:lvlJc w:val="left"/>
      <w:pPr>
        <w:ind w:left="8648" w:hanging="480"/>
      </w:pPr>
      <w:rPr>
        <w:rFonts w:hint="default"/>
        <w:lang w:val="en-US" w:eastAsia="en-US" w:bidi="ar-SA"/>
      </w:rPr>
    </w:lvl>
  </w:abstractNum>
  <w:abstractNum w:abstractNumId="38">
    <w:multiLevelType w:val="hybridMultilevel"/>
    <w:lvl w:ilvl="0">
      <w:start w:val="1"/>
      <w:numFmt w:val="lowerLetter"/>
      <w:lvlText w:val="(%1)"/>
      <w:lvlJc w:val="left"/>
      <w:pPr>
        <w:ind w:left="439" w:hanging="240"/>
        <w:jc w:val="left"/>
      </w:pPr>
      <w:rPr>
        <w:rFonts w:hint="default" w:ascii="Times New Roman" w:hAnsi="Times New Roman" w:eastAsia="Times New Roman" w:cs="Times New Roman"/>
        <w:color w:val="231F20"/>
        <w:spacing w:val="-14"/>
        <w:w w:val="100"/>
        <w:sz w:val="12"/>
        <w:szCs w:val="12"/>
        <w:lang w:val="en-US" w:eastAsia="en-US" w:bidi="ar-SA"/>
      </w:rPr>
    </w:lvl>
    <w:lvl w:ilvl="1">
      <w:start w:val="0"/>
      <w:numFmt w:val="bullet"/>
      <w:lvlText w:val="•"/>
      <w:lvlJc w:val="left"/>
      <w:pPr>
        <w:ind w:left="835" w:hanging="240"/>
      </w:pPr>
      <w:rPr>
        <w:rFonts w:hint="default"/>
        <w:lang w:val="en-US" w:eastAsia="en-US" w:bidi="ar-SA"/>
      </w:rPr>
    </w:lvl>
    <w:lvl w:ilvl="2">
      <w:start w:val="0"/>
      <w:numFmt w:val="bullet"/>
      <w:lvlText w:val="•"/>
      <w:lvlJc w:val="left"/>
      <w:pPr>
        <w:ind w:left="1231" w:hanging="240"/>
      </w:pPr>
      <w:rPr>
        <w:rFonts w:hint="default"/>
        <w:lang w:val="en-US" w:eastAsia="en-US" w:bidi="ar-SA"/>
      </w:rPr>
    </w:lvl>
    <w:lvl w:ilvl="3">
      <w:start w:val="0"/>
      <w:numFmt w:val="bullet"/>
      <w:lvlText w:val="•"/>
      <w:lvlJc w:val="left"/>
      <w:pPr>
        <w:ind w:left="1627" w:hanging="240"/>
      </w:pPr>
      <w:rPr>
        <w:rFonts w:hint="default"/>
        <w:lang w:val="en-US" w:eastAsia="en-US" w:bidi="ar-SA"/>
      </w:rPr>
    </w:lvl>
    <w:lvl w:ilvl="4">
      <w:start w:val="0"/>
      <w:numFmt w:val="bullet"/>
      <w:lvlText w:val="•"/>
      <w:lvlJc w:val="left"/>
      <w:pPr>
        <w:ind w:left="2023" w:hanging="240"/>
      </w:pPr>
      <w:rPr>
        <w:rFonts w:hint="default"/>
        <w:lang w:val="en-US" w:eastAsia="en-US" w:bidi="ar-SA"/>
      </w:rPr>
    </w:lvl>
    <w:lvl w:ilvl="5">
      <w:start w:val="0"/>
      <w:numFmt w:val="bullet"/>
      <w:lvlText w:val="•"/>
      <w:lvlJc w:val="left"/>
      <w:pPr>
        <w:ind w:left="2419" w:hanging="240"/>
      </w:pPr>
      <w:rPr>
        <w:rFonts w:hint="default"/>
        <w:lang w:val="en-US" w:eastAsia="en-US" w:bidi="ar-SA"/>
      </w:rPr>
    </w:lvl>
    <w:lvl w:ilvl="6">
      <w:start w:val="0"/>
      <w:numFmt w:val="bullet"/>
      <w:lvlText w:val="•"/>
      <w:lvlJc w:val="left"/>
      <w:pPr>
        <w:ind w:left="2815" w:hanging="240"/>
      </w:pPr>
      <w:rPr>
        <w:rFonts w:hint="default"/>
        <w:lang w:val="en-US" w:eastAsia="en-US" w:bidi="ar-SA"/>
      </w:rPr>
    </w:lvl>
    <w:lvl w:ilvl="7">
      <w:start w:val="0"/>
      <w:numFmt w:val="bullet"/>
      <w:lvlText w:val="•"/>
      <w:lvlJc w:val="left"/>
      <w:pPr>
        <w:ind w:left="3210" w:hanging="240"/>
      </w:pPr>
      <w:rPr>
        <w:rFonts w:hint="default"/>
        <w:lang w:val="en-US" w:eastAsia="en-US" w:bidi="ar-SA"/>
      </w:rPr>
    </w:lvl>
    <w:lvl w:ilvl="8">
      <w:start w:val="0"/>
      <w:numFmt w:val="bullet"/>
      <w:lvlText w:val="•"/>
      <w:lvlJc w:val="left"/>
      <w:pPr>
        <w:ind w:left="3606" w:hanging="240"/>
      </w:pPr>
      <w:rPr>
        <w:rFonts w:hint="default"/>
        <w:lang w:val="en-US" w:eastAsia="en-US" w:bidi="ar-SA"/>
      </w:rPr>
    </w:lvl>
  </w:abstractNum>
  <w:abstractNum w:abstractNumId="37">
    <w:multiLevelType w:val="hybridMultilevel"/>
    <w:lvl w:ilvl="0">
      <w:start w:val="1"/>
      <w:numFmt w:val="lowerLetter"/>
      <w:lvlText w:val="(%1)"/>
      <w:lvlJc w:val="left"/>
      <w:pPr>
        <w:ind w:left="460" w:hanging="241"/>
        <w:jc w:val="left"/>
      </w:pPr>
      <w:rPr>
        <w:rFonts w:hint="default" w:ascii="Times New Roman" w:hAnsi="Times New Roman" w:eastAsia="Times New Roman" w:cs="Times New Roman"/>
        <w:color w:val="231F20"/>
        <w:spacing w:val="-18"/>
        <w:w w:val="100"/>
        <w:sz w:val="16"/>
        <w:szCs w:val="16"/>
        <w:lang w:val="en-US" w:eastAsia="en-US" w:bidi="ar-SA"/>
      </w:rPr>
    </w:lvl>
    <w:lvl w:ilvl="1">
      <w:start w:val="0"/>
      <w:numFmt w:val="bullet"/>
      <w:lvlText w:val="•"/>
      <w:lvlJc w:val="left"/>
      <w:pPr>
        <w:ind w:left="1478" w:hanging="241"/>
      </w:pPr>
      <w:rPr>
        <w:rFonts w:hint="default"/>
        <w:lang w:val="en-US" w:eastAsia="en-US" w:bidi="ar-SA"/>
      </w:rPr>
    </w:lvl>
    <w:lvl w:ilvl="2">
      <w:start w:val="0"/>
      <w:numFmt w:val="bullet"/>
      <w:lvlText w:val="•"/>
      <w:lvlJc w:val="left"/>
      <w:pPr>
        <w:ind w:left="2496" w:hanging="241"/>
      </w:pPr>
      <w:rPr>
        <w:rFonts w:hint="default"/>
        <w:lang w:val="en-US" w:eastAsia="en-US" w:bidi="ar-SA"/>
      </w:rPr>
    </w:lvl>
    <w:lvl w:ilvl="3">
      <w:start w:val="0"/>
      <w:numFmt w:val="bullet"/>
      <w:lvlText w:val="•"/>
      <w:lvlJc w:val="left"/>
      <w:pPr>
        <w:ind w:left="3514" w:hanging="241"/>
      </w:pPr>
      <w:rPr>
        <w:rFonts w:hint="default"/>
        <w:lang w:val="en-US" w:eastAsia="en-US" w:bidi="ar-SA"/>
      </w:rPr>
    </w:lvl>
    <w:lvl w:ilvl="4">
      <w:start w:val="0"/>
      <w:numFmt w:val="bullet"/>
      <w:lvlText w:val="•"/>
      <w:lvlJc w:val="left"/>
      <w:pPr>
        <w:ind w:left="4532" w:hanging="241"/>
      </w:pPr>
      <w:rPr>
        <w:rFonts w:hint="default"/>
        <w:lang w:val="en-US" w:eastAsia="en-US" w:bidi="ar-SA"/>
      </w:rPr>
    </w:lvl>
    <w:lvl w:ilvl="5">
      <w:start w:val="0"/>
      <w:numFmt w:val="bullet"/>
      <w:lvlText w:val="•"/>
      <w:lvlJc w:val="left"/>
      <w:pPr>
        <w:ind w:left="5550" w:hanging="241"/>
      </w:pPr>
      <w:rPr>
        <w:rFonts w:hint="default"/>
        <w:lang w:val="en-US" w:eastAsia="en-US" w:bidi="ar-SA"/>
      </w:rPr>
    </w:lvl>
    <w:lvl w:ilvl="6">
      <w:start w:val="0"/>
      <w:numFmt w:val="bullet"/>
      <w:lvlText w:val="•"/>
      <w:lvlJc w:val="left"/>
      <w:pPr>
        <w:ind w:left="6568" w:hanging="241"/>
      </w:pPr>
      <w:rPr>
        <w:rFonts w:hint="default"/>
        <w:lang w:val="en-US" w:eastAsia="en-US" w:bidi="ar-SA"/>
      </w:rPr>
    </w:lvl>
    <w:lvl w:ilvl="7">
      <w:start w:val="0"/>
      <w:numFmt w:val="bullet"/>
      <w:lvlText w:val="•"/>
      <w:lvlJc w:val="left"/>
      <w:pPr>
        <w:ind w:left="7586" w:hanging="241"/>
      </w:pPr>
      <w:rPr>
        <w:rFonts w:hint="default"/>
        <w:lang w:val="en-US" w:eastAsia="en-US" w:bidi="ar-SA"/>
      </w:rPr>
    </w:lvl>
    <w:lvl w:ilvl="8">
      <w:start w:val="0"/>
      <w:numFmt w:val="bullet"/>
      <w:lvlText w:val="•"/>
      <w:lvlJc w:val="left"/>
      <w:pPr>
        <w:ind w:left="8604" w:hanging="241"/>
      </w:pPr>
      <w:rPr>
        <w:rFonts w:hint="default"/>
        <w:lang w:val="en-US" w:eastAsia="en-US" w:bidi="ar-SA"/>
      </w:rPr>
    </w:lvl>
  </w:abstractNum>
  <w:abstractNum w:abstractNumId="35">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0" w:hanging="240"/>
      </w:pPr>
      <w:rPr>
        <w:rFonts w:hint="default"/>
        <w:lang w:val="en-US" w:eastAsia="en-US" w:bidi="ar-SA"/>
      </w:rPr>
    </w:lvl>
    <w:lvl w:ilvl="2">
      <w:start w:val="0"/>
      <w:numFmt w:val="bullet"/>
      <w:lvlText w:val="•"/>
      <w:lvlJc w:val="left"/>
      <w:pPr>
        <w:ind w:left="1060" w:hanging="240"/>
      </w:pPr>
      <w:rPr>
        <w:rFonts w:hint="default"/>
        <w:lang w:val="en-US" w:eastAsia="en-US" w:bidi="ar-SA"/>
      </w:rPr>
    </w:lvl>
    <w:lvl w:ilvl="3">
      <w:start w:val="0"/>
      <w:numFmt w:val="bullet"/>
      <w:lvlText w:val="•"/>
      <w:lvlJc w:val="left"/>
      <w:pPr>
        <w:ind w:left="1380" w:hanging="240"/>
      </w:pPr>
      <w:rPr>
        <w:rFonts w:hint="default"/>
        <w:lang w:val="en-US" w:eastAsia="en-US" w:bidi="ar-SA"/>
      </w:rPr>
    </w:lvl>
    <w:lvl w:ilvl="4">
      <w:start w:val="0"/>
      <w:numFmt w:val="bullet"/>
      <w:lvlText w:val="•"/>
      <w:lvlJc w:val="left"/>
      <w:pPr>
        <w:ind w:left="1701" w:hanging="240"/>
      </w:pPr>
      <w:rPr>
        <w:rFonts w:hint="default"/>
        <w:lang w:val="en-US" w:eastAsia="en-US" w:bidi="ar-SA"/>
      </w:rPr>
    </w:lvl>
    <w:lvl w:ilvl="5">
      <w:start w:val="0"/>
      <w:numFmt w:val="bullet"/>
      <w:lvlText w:val="•"/>
      <w:lvlJc w:val="left"/>
      <w:pPr>
        <w:ind w:left="2021" w:hanging="240"/>
      </w:pPr>
      <w:rPr>
        <w:rFonts w:hint="default"/>
        <w:lang w:val="en-US" w:eastAsia="en-US" w:bidi="ar-SA"/>
      </w:rPr>
    </w:lvl>
    <w:lvl w:ilvl="6">
      <w:start w:val="0"/>
      <w:numFmt w:val="bullet"/>
      <w:lvlText w:val="•"/>
      <w:lvlJc w:val="left"/>
      <w:pPr>
        <w:ind w:left="2341" w:hanging="240"/>
      </w:pPr>
      <w:rPr>
        <w:rFonts w:hint="default"/>
        <w:lang w:val="en-US" w:eastAsia="en-US" w:bidi="ar-SA"/>
      </w:rPr>
    </w:lvl>
    <w:lvl w:ilvl="7">
      <w:start w:val="0"/>
      <w:numFmt w:val="bullet"/>
      <w:lvlText w:val="•"/>
      <w:lvlJc w:val="left"/>
      <w:pPr>
        <w:ind w:left="2661" w:hanging="240"/>
      </w:pPr>
      <w:rPr>
        <w:rFonts w:hint="default"/>
        <w:lang w:val="en-US" w:eastAsia="en-US" w:bidi="ar-SA"/>
      </w:rPr>
    </w:lvl>
    <w:lvl w:ilvl="8">
      <w:start w:val="0"/>
      <w:numFmt w:val="bullet"/>
      <w:lvlText w:val="•"/>
      <w:lvlJc w:val="left"/>
      <w:pPr>
        <w:ind w:left="2982" w:hanging="240"/>
      </w:pPr>
      <w:rPr>
        <w:rFonts w:hint="default"/>
        <w:lang w:val="en-US" w:eastAsia="en-US" w:bidi="ar-SA"/>
      </w:rPr>
    </w:lvl>
  </w:abstractNum>
  <w:abstractNum w:abstractNumId="34">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66" w:hanging="240"/>
      </w:pPr>
      <w:rPr>
        <w:rFonts w:hint="default"/>
        <w:lang w:val="en-US" w:eastAsia="en-US" w:bidi="ar-SA"/>
      </w:rPr>
    </w:lvl>
    <w:lvl w:ilvl="2">
      <w:start w:val="0"/>
      <w:numFmt w:val="bullet"/>
      <w:lvlText w:val="•"/>
      <w:lvlJc w:val="left"/>
      <w:pPr>
        <w:ind w:left="1112" w:hanging="240"/>
      </w:pPr>
      <w:rPr>
        <w:rFonts w:hint="default"/>
        <w:lang w:val="en-US" w:eastAsia="en-US" w:bidi="ar-SA"/>
      </w:rPr>
    </w:lvl>
    <w:lvl w:ilvl="3">
      <w:start w:val="0"/>
      <w:numFmt w:val="bullet"/>
      <w:lvlText w:val="•"/>
      <w:lvlJc w:val="left"/>
      <w:pPr>
        <w:ind w:left="1458" w:hanging="240"/>
      </w:pPr>
      <w:rPr>
        <w:rFonts w:hint="default"/>
        <w:lang w:val="en-US" w:eastAsia="en-US" w:bidi="ar-SA"/>
      </w:rPr>
    </w:lvl>
    <w:lvl w:ilvl="4">
      <w:start w:val="0"/>
      <w:numFmt w:val="bullet"/>
      <w:lvlText w:val="•"/>
      <w:lvlJc w:val="left"/>
      <w:pPr>
        <w:ind w:left="1804" w:hanging="240"/>
      </w:pPr>
      <w:rPr>
        <w:rFonts w:hint="default"/>
        <w:lang w:val="en-US" w:eastAsia="en-US" w:bidi="ar-SA"/>
      </w:rPr>
    </w:lvl>
    <w:lvl w:ilvl="5">
      <w:start w:val="0"/>
      <w:numFmt w:val="bullet"/>
      <w:lvlText w:val="•"/>
      <w:lvlJc w:val="left"/>
      <w:pPr>
        <w:ind w:left="2150" w:hanging="240"/>
      </w:pPr>
      <w:rPr>
        <w:rFonts w:hint="default"/>
        <w:lang w:val="en-US" w:eastAsia="en-US" w:bidi="ar-SA"/>
      </w:rPr>
    </w:lvl>
    <w:lvl w:ilvl="6">
      <w:start w:val="0"/>
      <w:numFmt w:val="bullet"/>
      <w:lvlText w:val="•"/>
      <w:lvlJc w:val="left"/>
      <w:pPr>
        <w:ind w:left="2496" w:hanging="240"/>
      </w:pPr>
      <w:rPr>
        <w:rFonts w:hint="default"/>
        <w:lang w:val="en-US" w:eastAsia="en-US" w:bidi="ar-SA"/>
      </w:rPr>
    </w:lvl>
    <w:lvl w:ilvl="7">
      <w:start w:val="0"/>
      <w:numFmt w:val="bullet"/>
      <w:lvlText w:val="•"/>
      <w:lvlJc w:val="left"/>
      <w:pPr>
        <w:ind w:left="2843" w:hanging="240"/>
      </w:pPr>
      <w:rPr>
        <w:rFonts w:hint="default"/>
        <w:lang w:val="en-US" w:eastAsia="en-US" w:bidi="ar-SA"/>
      </w:rPr>
    </w:lvl>
    <w:lvl w:ilvl="8">
      <w:start w:val="0"/>
      <w:numFmt w:val="bullet"/>
      <w:lvlText w:val="•"/>
      <w:lvlJc w:val="left"/>
      <w:pPr>
        <w:ind w:left="3189" w:hanging="240"/>
      </w:pPr>
      <w:rPr>
        <w:rFonts w:hint="default"/>
        <w:lang w:val="en-US" w:eastAsia="en-US" w:bidi="ar-SA"/>
      </w:rPr>
    </w:lvl>
  </w:abstractNum>
  <w:abstractNum w:abstractNumId="33">
    <w:multiLevelType w:val="hybridMultilevel"/>
    <w:lvl w:ilvl="0">
      <w:start w:val="1"/>
      <w:numFmt w:val="lowerLetter"/>
      <w:lvlText w:val="(%1)"/>
      <w:lvlJc w:val="left"/>
      <w:pPr>
        <w:ind w:left="451" w:hanging="240"/>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471" w:hanging="241"/>
        <w:jc w:val="left"/>
      </w:pPr>
      <w:rPr>
        <w:rFonts w:hint="default" w:ascii="Times New Roman" w:hAnsi="Times New Roman" w:eastAsia="Times New Roman" w:cs="Times New Roman"/>
        <w:w w:val="100"/>
        <w:sz w:val="16"/>
        <w:szCs w:val="16"/>
        <w:lang w:val="en-US" w:eastAsia="en-US" w:bidi="ar-SA"/>
      </w:rPr>
    </w:lvl>
    <w:lvl w:ilvl="2">
      <w:start w:val="0"/>
      <w:numFmt w:val="bullet"/>
      <w:lvlText w:val="•"/>
      <w:lvlJc w:val="left"/>
      <w:pPr>
        <w:ind w:left="329" w:hanging="241"/>
      </w:pPr>
      <w:rPr>
        <w:rFonts w:hint="default"/>
        <w:lang w:val="en-US" w:eastAsia="en-US" w:bidi="ar-SA"/>
      </w:rPr>
    </w:lvl>
    <w:lvl w:ilvl="3">
      <w:start w:val="0"/>
      <w:numFmt w:val="bullet"/>
      <w:lvlText w:val="•"/>
      <w:lvlJc w:val="left"/>
      <w:pPr>
        <w:ind w:left="178" w:hanging="241"/>
      </w:pPr>
      <w:rPr>
        <w:rFonts w:hint="default"/>
        <w:lang w:val="en-US" w:eastAsia="en-US" w:bidi="ar-SA"/>
      </w:rPr>
    </w:lvl>
    <w:lvl w:ilvl="4">
      <w:start w:val="0"/>
      <w:numFmt w:val="bullet"/>
      <w:lvlText w:val="•"/>
      <w:lvlJc w:val="left"/>
      <w:pPr>
        <w:ind w:left="28" w:hanging="241"/>
      </w:pPr>
      <w:rPr>
        <w:rFonts w:hint="default"/>
        <w:lang w:val="en-US" w:eastAsia="en-US" w:bidi="ar-SA"/>
      </w:rPr>
    </w:lvl>
    <w:lvl w:ilvl="5">
      <w:start w:val="0"/>
      <w:numFmt w:val="bullet"/>
      <w:lvlText w:val="•"/>
      <w:lvlJc w:val="left"/>
      <w:pPr>
        <w:ind w:left="-123" w:hanging="241"/>
      </w:pPr>
      <w:rPr>
        <w:rFonts w:hint="default"/>
        <w:lang w:val="en-US" w:eastAsia="en-US" w:bidi="ar-SA"/>
      </w:rPr>
    </w:lvl>
    <w:lvl w:ilvl="6">
      <w:start w:val="0"/>
      <w:numFmt w:val="bullet"/>
      <w:lvlText w:val="•"/>
      <w:lvlJc w:val="left"/>
      <w:pPr>
        <w:ind w:left="-274" w:hanging="241"/>
      </w:pPr>
      <w:rPr>
        <w:rFonts w:hint="default"/>
        <w:lang w:val="en-US" w:eastAsia="en-US" w:bidi="ar-SA"/>
      </w:rPr>
    </w:lvl>
    <w:lvl w:ilvl="7">
      <w:start w:val="0"/>
      <w:numFmt w:val="bullet"/>
      <w:lvlText w:val="•"/>
      <w:lvlJc w:val="left"/>
      <w:pPr>
        <w:ind w:left="-424" w:hanging="241"/>
      </w:pPr>
      <w:rPr>
        <w:rFonts w:hint="default"/>
        <w:lang w:val="en-US" w:eastAsia="en-US" w:bidi="ar-SA"/>
      </w:rPr>
    </w:lvl>
    <w:lvl w:ilvl="8">
      <w:start w:val="0"/>
      <w:numFmt w:val="bullet"/>
      <w:lvlText w:val="•"/>
      <w:lvlJc w:val="left"/>
      <w:pPr>
        <w:ind w:left="-575" w:hanging="241"/>
      </w:pPr>
      <w:rPr>
        <w:rFonts w:hint="default"/>
        <w:lang w:val="en-US" w:eastAsia="en-US" w:bidi="ar-SA"/>
      </w:rPr>
    </w:lvl>
  </w:abstractNum>
  <w:abstractNum w:abstractNumId="32">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4" w:hanging="240"/>
      </w:pPr>
      <w:rPr>
        <w:rFonts w:hint="default"/>
        <w:lang w:val="en-US" w:eastAsia="en-US" w:bidi="ar-SA"/>
      </w:rPr>
    </w:lvl>
    <w:lvl w:ilvl="2">
      <w:start w:val="0"/>
      <w:numFmt w:val="bullet"/>
      <w:lvlText w:val="•"/>
      <w:lvlJc w:val="left"/>
      <w:pPr>
        <w:ind w:left="1229" w:hanging="240"/>
      </w:pPr>
      <w:rPr>
        <w:rFonts w:hint="default"/>
        <w:lang w:val="en-US" w:eastAsia="en-US" w:bidi="ar-SA"/>
      </w:rPr>
    </w:lvl>
    <w:lvl w:ilvl="3">
      <w:start w:val="0"/>
      <w:numFmt w:val="bullet"/>
      <w:lvlText w:val="•"/>
      <w:lvlJc w:val="left"/>
      <w:pPr>
        <w:ind w:left="1634" w:hanging="240"/>
      </w:pPr>
      <w:rPr>
        <w:rFonts w:hint="default"/>
        <w:lang w:val="en-US" w:eastAsia="en-US" w:bidi="ar-SA"/>
      </w:rPr>
    </w:lvl>
    <w:lvl w:ilvl="4">
      <w:start w:val="0"/>
      <w:numFmt w:val="bullet"/>
      <w:lvlText w:val="•"/>
      <w:lvlJc w:val="left"/>
      <w:pPr>
        <w:ind w:left="2039" w:hanging="240"/>
      </w:pPr>
      <w:rPr>
        <w:rFonts w:hint="default"/>
        <w:lang w:val="en-US" w:eastAsia="en-US" w:bidi="ar-SA"/>
      </w:rPr>
    </w:lvl>
    <w:lvl w:ilvl="5">
      <w:start w:val="0"/>
      <w:numFmt w:val="bullet"/>
      <w:lvlText w:val="•"/>
      <w:lvlJc w:val="left"/>
      <w:pPr>
        <w:ind w:left="2444" w:hanging="240"/>
      </w:pPr>
      <w:rPr>
        <w:rFonts w:hint="default"/>
        <w:lang w:val="en-US" w:eastAsia="en-US" w:bidi="ar-SA"/>
      </w:rPr>
    </w:lvl>
    <w:lvl w:ilvl="6">
      <w:start w:val="0"/>
      <w:numFmt w:val="bullet"/>
      <w:lvlText w:val="•"/>
      <w:lvlJc w:val="left"/>
      <w:pPr>
        <w:ind w:left="2849" w:hanging="240"/>
      </w:pPr>
      <w:rPr>
        <w:rFonts w:hint="default"/>
        <w:lang w:val="en-US" w:eastAsia="en-US" w:bidi="ar-SA"/>
      </w:rPr>
    </w:lvl>
    <w:lvl w:ilvl="7">
      <w:start w:val="0"/>
      <w:numFmt w:val="bullet"/>
      <w:lvlText w:val="•"/>
      <w:lvlJc w:val="left"/>
      <w:pPr>
        <w:ind w:left="3254" w:hanging="240"/>
      </w:pPr>
      <w:rPr>
        <w:rFonts w:hint="default"/>
        <w:lang w:val="en-US" w:eastAsia="en-US" w:bidi="ar-SA"/>
      </w:rPr>
    </w:lvl>
    <w:lvl w:ilvl="8">
      <w:start w:val="0"/>
      <w:numFmt w:val="bullet"/>
      <w:lvlText w:val="•"/>
      <w:lvlJc w:val="left"/>
      <w:pPr>
        <w:ind w:left="3659" w:hanging="240"/>
      </w:pPr>
      <w:rPr>
        <w:rFonts w:hint="default"/>
        <w:lang w:val="en-US" w:eastAsia="en-US" w:bidi="ar-SA"/>
      </w:rPr>
    </w:lvl>
  </w:abstractNum>
  <w:abstractNum w:abstractNumId="31">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3" w:hanging="240"/>
      </w:pPr>
      <w:rPr>
        <w:rFonts w:hint="default"/>
        <w:lang w:val="en-US" w:eastAsia="en-US" w:bidi="ar-SA"/>
      </w:rPr>
    </w:lvl>
    <w:lvl w:ilvl="2">
      <w:start w:val="0"/>
      <w:numFmt w:val="bullet"/>
      <w:lvlText w:val="•"/>
      <w:lvlJc w:val="left"/>
      <w:pPr>
        <w:ind w:left="1206" w:hanging="240"/>
      </w:pPr>
      <w:rPr>
        <w:rFonts w:hint="default"/>
        <w:lang w:val="en-US" w:eastAsia="en-US" w:bidi="ar-SA"/>
      </w:rPr>
    </w:lvl>
    <w:lvl w:ilvl="3">
      <w:start w:val="0"/>
      <w:numFmt w:val="bullet"/>
      <w:lvlText w:val="•"/>
      <w:lvlJc w:val="left"/>
      <w:pPr>
        <w:ind w:left="1609" w:hanging="240"/>
      </w:pPr>
      <w:rPr>
        <w:rFonts w:hint="default"/>
        <w:lang w:val="en-US" w:eastAsia="en-US" w:bidi="ar-SA"/>
      </w:rPr>
    </w:lvl>
    <w:lvl w:ilvl="4">
      <w:start w:val="0"/>
      <w:numFmt w:val="bullet"/>
      <w:lvlText w:val="•"/>
      <w:lvlJc w:val="left"/>
      <w:pPr>
        <w:ind w:left="2012" w:hanging="240"/>
      </w:pPr>
      <w:rPr>
        <w:rFonts w:hint="default"/>
        <w:lang w:val="en-US" w:eastAsia="en-US" w:bidi="ar-SA"/>
      </w:rPr>
    </w:lvl>
    <w:lvl w:ilvl="5">
      <w:start w:val="0"/>
      <w:numFmt w:val="bullet"/>
      <w:lvlText w:val="•"/>
      <w:lvlJc w:val="left"/>
      <w:pPr>
        <w:ind w:left="2415" w:hanging="240"/>
      </w:pPr>
      <w:rPr>
        <w:rFonts w:hint="default"/>
        <w:lang w:val="en-US" w:eastAsia="en-US" w:bidi="ar-SA"/>
      </w:rPr>
    </w:lvl>
    <w:lvl w:ilvl="6">
      <w:start w:val="0"/>
      <w:numFmt w:val="bullet"/>
      <w:lvlText w:val="•"/>
      <w:lvlJc w:val="left"/>
      <w:pPr>
        <w:ind w:left="2818" w:hanging="240"/>
      </w:pPr>
      <w:rPr>
        <w:rFonts w:hint="default"/>
        <w:lang w:val="en-US" w:eastAsia="en-US" w:bidi="ar-SA"/>
      </w:rPr>
    </w:lvl>
    <w:lvl w:ilvl="7">
      <w:start w:val="0"/>
      <w:numFmt w:val="bullet"/>
      <w:lvlText w:val="•"/>
      <w:lvlJc w:val="left"/>
      <w:pPr>
        <w:ind w:left="3221" w:hanging="240"/>
      </w:pPr>
      <w:rPr>
        <w:rFonts w:hint="default"/>
        <w:lang w:val="en-US" w:eastAsia="en-US" w:bidi="ar-SA"/>
      </w:rPr>
    </w:lvl>
    <w:lvl w:ilvl="8">
      <w:start w:val="0"/>
      <w:numFmt w:val="bullet"/>
      <w:lvlText w:val="•"/>
      <w:lvlJc w:val="left"/>
      <w:pPr>
        <w:ind w:left="3624" w:hanging="240"/>
      </w:pPr>
      <w:rPr>
        <w:rFonts w:hint="default"/>
        <w:lang w:val="en-US" w:eastAsia="en-US" w:bidi="ar-SA"/>
      </w:rPr>
    </w:lvl>
  </w:abstractNum>
  <w:abstractNum w:abstractNumId="30">
    <w:multiLevelType w:val="hybridMultilevel"/>
    <w:lvl w:ilvl="0">
      <w:start w:val="1"/>
      <w:numFmt w:val="lowerLetter"/>
      <w:lvlText w:val="(%1)"/>
      <w:lvlJc w:val="left"/>
      <w:pPr>
        <w:ind w:left="450"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9" w:hanging="240"/>
      </w:pPr>
      <w:rPr>
        <w:rFonts w:hint="default"/>
        <w:lang w:val="en-US" w:eastAsia="en-US" w:bidi="ar-SA"/>
      </w:rPr>
    </w:lvl>
    <w:lvl w:ilvl="2">
      <w:start w:val="0"/>
      <w:numFmt w:val="bullet"/>
      <w:lvlText w:val="•"/>
      <w:lvlJc w:val="left"/>
      <w:pPr>
        <w:ind w:left="1099" w:hanging="240"/>
      </w:pPr>
      <w:rPr>
        <w:rFonts w:hint="default"/>
        <w:lang w:val="en-US" w:eastAsia="en-US" w:bidi="ar-SA"/>
      </w:rPr>
    </w:lvl>
    <w:lvl w:ilvl="3">
      <w:start w:val="0"/>
      <w:numFmt w:val="bullet"/>
      <w:lvlText w:val="•"/>
      <w:lvlJc w:val="left"/>
      <w:pPr>
        <w:ind w:left="1419" w:hanging="240"/>
      </w:pPr>
      <w:rPr>
        <w:rFonts w:hint="default"/>
        <w:lang w:val="en-US" w:eastAsia="en-US" w:bidi="ar-SA"/>
      </w:rPr>
    </w:lvl>
    <w:lvl w:ilvl="4">
      <w:start w:val="0"/>
      <w:numFmt w:val="bullet"/>
      <w:lvlText w:val="•"/>
      <w:lvlJc w:val="left"/>
      <w:pPr>
        <w:ind w:left="1739" w:hanging="240"/>
      </w:pPr>
      <w:rPr>
        <w:rFonts w:hint="default"/>
        <w:lang w:val="en-US" w:eastAsia="en-US" w:bidi="ar-SA"/>
      </w:rPr>
    </w:lvl>
    <w:lvl w:ilvl="5">
      <w:start w:val="0"/>
      <w:numFmt w:val="bullet"/>
      <w:lvlText w:val="•"/>
      <w:lvlJc w:val="left"/>
      <w:pPr>
        <w:ind w:left="2059" w:hanging="240"/>
      </w:pPr>
      <w:rPr>
        <w:rFonts w:hint="default"/>
        <w:lang w:val="en-US" w:eastAsia="en-US" w:bidi="ar-SA"/>
      </w:rPr>
    </w:lvl>
    <w:lvl w:ilvl="6">
      <w:start w:val="0"/>
      <w:numFmt w:val="bullet"/>
      <w:lvlText w:val="•"/>
      <w:lvlJc w:val="left"/>
      <w:pPr>
        <w:ind w:left="2379" w:hanging="240"/>
      </w:pPr>
      <w:rPr>
        <w:rFonts w:hint="default"/>
        <w:lang w:val="en-US" w:eastAsia="en-US" w:bidi="ar-SA"/>
      </w:rPr>
    </w:lvl>
    <w:lvl w:ilvl="7">
      <w:start w:val="0"/>
      <w:numFmt w:val="bullet"/>
      <w:lvlText w:val="•"/>
      <w:lvlJc w:val="left"/>
      <w:pPr>
        <w:ind w:left="2699" w:hanging="240"/>
      </w:pPr>
      <w:rPr>
        <w:rFonts w:hint="default"/>
        <w:lang w:val="en-US" w:eastAsia="en-US" w:bidi="ar-SA"/>
      </w:rPr>
    </w:lvl>
    <w:lvl w:ilvl="8">
      <w:start w:val="0"/>
      <w:numFmt w:val="bullet"/>
      <w:lvlText w:val="•"/>
      <w:lvlJc w:val="left"/>
      <w:pPr>
        <w:ind w:left="3019" w:hanging="240"/>
      </w:pPr>
      <w:rPr>
        <w:rFonts w:hint="default"/>
        <w:lang w:val="en-US" w:eastAsia="en-US" w:bidi="ar-SA"/>
      </w:rPr>
    </w:lvl>
  </w:abstractNum>
  <w:abstractNum w:abstractNumId="29">
    <w:multiLevelType w:val="hybridMultilevel"/>
    <w:lvl w:ilvl="0">
      <w:start w:val="1"/>
      <w:numFmt w:val="lowerLetter"/>
      <w:lvlText w:val="(%1)"/>
      <w:lvlJc w:val="left"/>
      <w:pPr>
        <w:ind w:left="430"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9" w:hanging="240"/>
      </w:pPr>
      <w:rPr>
        <w:rFonts w:hint="default"/>
        <w:lang w:val="en-US" w:eastAsia="en-US" w:bidi="ar-SA"/>
      </w:rPr>
    </w:lvl>
    <w:lvl w:ilvl="2">
      <w:start w:val="0"/>
      <w:numFmt w:val="bullet"/>
      <w:lvlText w:val="•"/>
      <w:lvlJc w:val="left"/>
      <w:pPr>
        <w:ind w:left="1118" w:hanging="240"/>
      </w:pPr>
      <w:rPr>
        <w:rFonts w:hint="default"/>
        <w:lang w:val="en-US" w:eastAsia="en-US" w:bidi="ar-SA"/>
      </w:rPr>
    </w:lvl>
    <w:lvl w:ilvl="3">
      <w:start w:val="0"/>
      <w:numFmt w:val="bullet"/>
      <w:lvlText w:val="•"/>
      <w:lvlJc w:val="left"/>
      <w:pPr>
        <w:ind w:left="1457" w:hanging="240"/>
      </w:pPr>
      <w:rPr>
        <w:rFonts w:hint="default"/>
        <w:lang w:val="en-US" w:eastAsia="en-US" w:bidi="ar-SA"/>
      </w:rPr>
    </w:lvl>
    <w:lvl w:ilvl="4">
      <w:start w:val="0"/>
      <w:numFmt w:val="bullet"/>
      <w:lvlText w:val="•"/>
      <w:lvlJc w:val="left"/>
      <w:pPr>
        <w:ind w:left="1797" w:hanging="240"/>
      </w:pPr>
      <w:rPr>
        <w:rFonts w:hint="default"/>
        <w:lang w:val="en-US" w:eastAsia="en-US" w:bidi="ar-SA"/>
      </w:rPr>
    </w:lvl>
    <w:lvl w:ilvl="5">
      <w:start w:val="0"/>
      <w:numFmt w:val="bullet"/>
      <w:lvlText w:val="•"/>
      <w:lvlJc w:val="left"/>
      <w:pPr>
        <w:ind w:left="2136" w:hanging="240"/>
      </w:pPr>
      <w:rPr>
        <w:rFonts w:hint="default"/>
        <w:lang w:val="en-US" w:eastAsia="en-US" w:bidi="ar-SA"/>
      </w:rPr>
    </w:lvl>
    <w:lvl w:ilvl="6">
      <w:start w:val="0"/>
      <w:numFmt w:val="bullet"/>
      <w:lvlText w:val="•"/>
      <w:lvlJc w:val="left"/>
      <w:pPr>
        <w:ind w:left="2475" w:hanging="240"/>
      </w:pPr>
      <w:rPr>
        <w:rFonts w:hint="default"/>
        <w:lang w:val="en-US" w:eastAsia="en-US" w:bidi="ar-SA"/>
      </w:rPr>
    </w:lvl>
    <w:lvl w:ilvl="7">
      <w:start w:val="0"/>
      <w:numFmt w:val="bullet"/>
      <w:lvlText w:val="•"/>
      <w:lvlJc w:val="left"/>
      <w:pPr>
        <w:ind w:left="2814" w:hanging="240"/>
      </w:pPr>
      <w:rPr>
        <w:rFonts w:hint="default"/>
        <w:lang w:val="en-US" w:eastAsia="en-US" w:bidi="ar-SA"/>
      </w:rPr>
    </w:lvl>
    <w:lvl w:ilvl="8">
      <w:start w:val="0"/>
      <w:numFmt w:val="bullet"/>
      <w:lvlText w:val="•"/>
      <w:lvlJc w:val="left"/>
      <w:pPr>
        <w:ind w:left="3154" w:hanging="240"/>
      </w:pPr>
      <w:rPr>
        <w:rFonts w:hint="default"/>
        <w:lang w:val="en-US" w:eastAsia="en-US" w:bidi="ar-SA"/>
      </w:rPr>
    </w:lvl>
  </w:abstractNum>
  <w:abstractNum w:abstractNumId="28">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spacing w:val="-14"/>
        <w:w w:val="100"/>
        <w:sz w:val="12"/>
        <w:szCs w:val="12"/>
        <w:lang w:val="en-US" w:eastAsia="en-US" w:bidi="ar-SA"/>
      </w:rPr>
    </w:lvl>
    <w:lvl w:ilvl="1">
      <w:start w:val="1"/>
      <w:numFmt w:val="decimal"/>
      <w:lvlText w:val="(%2)"/>
      <w:lvlJc w:val="left"/>
      <w:pPr>
        <w:ind w:left="420" w:hanging="241"/>
        <w:jc w:val="left"/>
      </w:pPr>
      <w:rPr>
        <w:rFonts w:hint="default" w:ascii="Times New Roman" w:hAnsi="Times New Roman" w:eastAsia="Times New Roman" w:cs="Times New Roman"/>
        <w:color w:val="231F20"/>
        <w:w w:val="100"/>
        <w:sz w:val="16"/>
        <w:szCs w:val="16"/>
        <w:lang w:val="en-US" w:eastAsia="en-US" w:bidi="ar-SA"/>
      </w:rPr>
    </w:lvl>
    <w:lvl w:ilvl="2">
      <w:start w:val="0"/>
      <w:numFmt w:val="bullet"/>
      <w:lvlText w:val="•"/>
      <w:lvlJc w:val="left"/>
      <w:pPr>
        <w:ind w:left="150" w:hanging="241"/>
      </w:pPr>
      <w:rPr>
        <w:rFonts w:hint="default"/>
        <w:lang w:val="en-US" w:eastAsia="en-US" w:bidi="ar-SA"/>
      </w:rPr>
    </w:lvl>
    <w:lvl w:ilvl="3">
      <w:start w:val="0"/>
      <w:numFmt w:val="bullet"/>
      <w:lvlText w:val="•"/>
      <w:lvlJc w:val="left"/>
      <w:pPr>
        <w:ind w:left="15" w:hanging="241"/>
      </w:pPr>
      <w:rPr>
        <w:rFonts w:hint="default"/>
        <w:lang w:val="en-US" w:eastAsia="en-US" w:bidi="ar-SA"/>
      </w:rPr>
    </w:lvl>
    <w:lvl w:ilvl="4">
      <w:start w:val="0"/>
      <w:numFmt w:val="bullet"/>
      <w:lvlText w:val="•"/>
      <w:lvlJc w:val="left"/>
      <w:pPr>
        <w:ind w:left="-120" w:hanging="241"/>
      </w:pPr>
      <w:rPr>
        <w:rFonts w:hint="default"/>
        <w:lang w:val="en-US" w:eastAsia="en-US" w:bidi="ar-SA"/>
      </w:rPr>
    </w:lvl>
    <w:lvl w:ilvl="5">
      <w:start w:val="0"/>
      <w:numFmt w:val="bullet"/>
      <w:lvlText w:val="•"/>
      <w:lvlJc w:val="left"/>
      <w:pPr>
        <w:ind w:left="-254" w:hanging="241"/>
      </w:pPr>
      <w:rPr>
        <w:rFonts w:hint="default"/>
        <w:lang w:val="en-US" w:eastAsia="en-US" w:bidi="ar-SA"/>
      </w:rPr>
    </w:lvl>
    <w:lvl w:ilvl="6">
      <w:start w:val="0"/>
      <w:numFmt w:val="bullet"/>
      <w:lvlText w:val="•"/>
      <w:lvlJc w:val="left"/>
      <w:pPr>
        <w:ind w:left="-389" w:hanging="241"/>
      </w:pPr>
      <w:rPr>
        <w:rFonts w:hint="default"/>
        <w:lang w:val="en-US" w:eastAsia="en-US" w:bidi="ar-SA"/>
      </w:rPr>
    </w:lvl>
    <w:lvl w:ilvl="7">
      <w:start w:val="0"/>
      <w:numFmt w:val="bullet"/>
      <w:lvlText w:val="•"/>
      <w:lvlJc w:val="left"/>
      <w:pPr>
        <w:ind w:left="-524" w:hanging="241"/>
      </w:pPr>
      <w:rPr>
        <w:rFonts w:hint="default"/>
        <w:lang w:val="en-US" w:eastAsia="en-US" w:bidi="ar-SA"/>
      </w:rPr>
    </w:lvl>
    <w:lvl w:ilvl="8">
      <w:start w:val="0"/>
      <w:numFmt w:val="bullet"/>
      <w:lvlText w:val="•"/>
      <w:lvlJc w:val="left"/>
      <w:pPr>
        <w:ind w:left="-659" w:hanging="241"/>
      </w:pPr>
      <w:rPr>
        <w:rFonts w:hint="default"/>
        <w:lang w:val="en-US" w:eastAsia="en-US" w:bidi="ar-SA"/>
      </w:rPr>
    </w:lvl>
  </w:abstractNum>
  <w:abstractNum w:abstractNumId="27">
    <w:multiLevelType w:val="hybridMultilevel"/>
    <w:lvl w:ilvl="0">
      <w:start w:val="4"/>
      <w:numFmt w:val="decimal"/>
      <w:lvlText w:val="%1"/>
      <w:lvlJc w:val="left"/>
      <w:pPr>
        <w:ind w:left="5832" w:hanging="833"/>
        <w:jc w:val="left"/>
      </w:pPr>
      <w:rPr>
        <w:rFonts w:hint="default"/>
        <w:lang w:val="en-US" w:eastAsia="en-US" w:bidi="ar-SA"/>
      </w:rPr>
    </w:lvl>
    <w:lvl w:ilvl="1">
      <w:start w:val="1"/>
      <w:numFmt w:val="decimal"/>
      <w:lvlText w:val="%1.%2"/>
      <w:lvlJc w:val="left"/>
      <w:pPr>
        <w:ind w:left="5832" w:hanging="833"/>
        <w:jc w:val="right"/>
      </w:pPr>
      <w:rPr>
        <w:rFonts w:hint="default"/>
        <w:b/>
        <w:bCs/>
        <w:w w:val="100"/>
        <w:u w:val="thick" w:color="0093C1"/>
        <w:lang w:val="en-US" w:eastAsia="en-US" w:bidi="ar-SA"/>
      </w:rPr>
    </w:lvl>
    <w:lvl w:ilvl="2">
      <w:start w:val="0"/>
      <w:numFmt w:val="bullet"/>
      <w:lvlText w:val="•"/>
      <w:lvlJc w:val="left"/>
      <w:pPr>
        <w:ind w:left="6373" w:hanging="833"/>
      </w:pPr>
      <w:rPr>
        <w:rFonts w:hint="default"/>
        <w:lang w:val="en-US" w:eastAsia="en-US" w:bidi="ar-SA"/>
      </w:rPr>
    </w:lvl>
    <w:lvl w:ilvl="3">
      <w:start w:val="0"/>
      <w:numFmt w:val="bullet"/>
      <w:lvlText w:val="•"/>
      <w:lvlJc w:val="left"/>
      <w:pPr>
        <w:ind w:left="6906" w:hanging="833"/>
      </w:pPr>
      <w:rPr>
        <w:rFonts w:hint="default"/>
        <w:lang w:val="en-US" w:eastAsia="en-US" w:bidi="ar-SA"/>
      </w:rPr>
    </w:lvl>
    <w:lvl w:ilvl="4">
      <w:start w:val="0"/>
      <w:numFmt w:val="bullet"/>
      <w:lvlText w:val="•"/>
      <w:lvlJc w:val="left"/>
      <w:pPr>
        <w:ind w:left="7440" w:hanging="833"/>
      </w:pPr>
      <w:rPr>
        <w:rFonts w:hint="default"/>
        <w:lang w:val="en-US" w:eastAsia="en-US" w:bidi="ar-SA"/>
      </w:rPr>
    </w:lvl>
    <w:lvl w:ilvl="5">
      <w:start w:val="0"/>
      <w:numFmt w:val="bullet"/>
      <w:lvlText w:val="•"/>
      <w:lvlJc w:val="left"/>
      <w:pPr>
        <w:ind w:left="7973" w:hanging="833"/>
      </w:pPr>
      <w:rPr>
        <w:rFonts w:hint="default"/>
        <w:lang w:val="en-US" w:eastAsia="en-US" w:bidi="ar-SA"/>
      </w:rPr>
    </w:lvl>
    <w:lvl w:ilvl="6">
      <w:start w:val="0"/>
      <w:numFmt w:val="bullet"/>
      <w:lvlText w:val="•"/>
      <w:lvlJc w:val="left"/>
      <w:pPr>
        <w:ind w:left="8506" w:hanging="833"/>
      </w:pPr>
      <w:rPr>
        <w:rFonts w:hint="default"/>
        <w:lang w:val="en-US" w:eastAsia="en-US" w:bidi="ar-SA"/>
      </w:rPr>
    </w:lvl>
    <w:lvl w:ilvl="7">
      <w:start w:val="0"/>
      <w:numFmt w:val="bullet"/>
      <w:lvlText w:val="•"/>
      <w:lvlJc w:val="left"/>
      <w:pPr>
        <w:ind w:left="9040" w:hanging="833"/>
      </w:pPr>
      <w:rPr>
        <w:rFonts w:hint="default"/>
        <w:lang w:val="en-US" w:eastAsia="en-US" w:bidi="ar-SA"/>
      </w:rPr>
    </w:lvl>
    <w:lvl w:ilvl="8">
      <w:start w:val="0"/>
      <w:numFmt w:val="bullet"/>
      <w:lvlText w:val="•"/>
      <w:lvlJc w:val="left"/>
      <w:pPr>
        <w:ind w:left="9573" w:hanging="833"/>
      </w:pPr>
      <w:rPr>
        <w:rFonts w:hint="default"/>
        <w:lang w:val="en-US" w:eastAsia="en-US" w:bidi="ar-SA"/>
      </w:rPr>
    </w:lvl>
  </w:abstractNum>
  <w:abstractNum w:abstractNumId="26">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0" w:hanging="240"/>
      </w:pPr>
      <w:rPr>
        <w:rFonts w:hint="default"/>
        <w:lang w:val="en-US" w:eastAsia="en-US" w:bidi="ar-SA"/>
      </w:rPr>
    </w:lvl>
    <w:lvl w:ilvl="2">
      <w:start w:val="0"/>
      <w:numFmt w:val="bullet"/>
      <w:lvlText w:val="•"/>
      <w:lvlJc w:val="left"/>
      <w:pPr>
        <w:ind w:left="1081" w:hanging="240"/>
      </w:pPr>
      <w:rPr>
        <w:rFonts w:hint="default"/>
        <w:lang w:val="en-US" w:eastAsia="en-US" w:bidi="ar-SA"/>
      </w:rPr>
    </w:lvl>
    <w:lvl w:ilvl="3">
      <w:start w:val="0"/>
      <w:numFmt w:val="bullet"/>
      <w:lvlText w:val="•"/>
      <w:lvlJc w:val="left"/>
      <w:pPr>
        <w:ind w:left="1421" w:hanging="240"/>
      </w:pPr>
      <w:rPr>
        <w:rFonts w:hint="default"/>
        <w:lang w:val="en-US" w:eastAsia="en-US" w:bidi="ar-SA"/>
      </w:rPr>
    </w:lvl>
    <w:lvl w:ilvl="4">
      <w:start w:val="0"/>
      <w:numFmt w:val="bullet"/>
      <w:lvlText w:val="•"/>
      <w:lvlJc w:val="left"/>
      <w:pPr>
        <w:ind w:left="1762" w:hanging="240"/>
      </w:pPr>
      <w:rPr>
        <w:rFonts w:hint="default"/>
        <w:lang w:val="en-US" w:eastAsia="en-US" w:bidi="ar-SA"/>
      </w:rPr>
    </w:lvl>
    <w:lvl w:ilvl="5">
      <w:start w:val="0"/>
      <w:numFmt w:val="bullet"/>
      <w:lvlText w:val="•"/>
      <w:lvlJc w:val="left"/>
      <w:pPr>
        <w:ind w:left="2103" w:hanging="240"/>
      </w:pPr>
      <w:rPr>
        <w:rFonts w:hint="default"/>
        <w:lang w:val="en-US" w:eastAsia="en-US" w:bidi="ar-SA"/>
      </w:rPr>
    </w:lvl>
    <w:lvl w:ilvl="6">
      <w:start w:val="0"/>
      <w:numFmt w:val="bullet"/>
      <w:lvlText w:val="•"/>
      <w:lvlJc w:val="left"/>
      <w:pPr>
        <w:ind w:left="2443" w:hanging="240"/>
      </w:pPr>
      <w:rPr>
        <w:rFonts w:hint="default"/>
        <w:lang w:val="en-US" w:eastAsia="en-US" w:bidi="ar-SA"/>
      </w:rPr>
    </w:lvl>
    <w:lvl w:ilvl="7">
      <w:start w:val="0"/>
      <w:numFmt w:val="bullet"/>
      <w:lvlText w:val="•"/>
      <w:lvlJc w:val="left"/>
      <w:pPr>
        <w:ind w:left="2784" w:hanging="240"/>
      </w:pPr>
      <w:rPr>
        <w:rFonts w:hint="default"/>
        <w:lang w:val="en-US" w:eastAsia="en-US" w:bidi="ar-SA"/>
      </w:rPr>
    </w:lvl>
    <w:lvl w:ilvl="8">
      <w:start w:val="0"/>
      <w:numFmt w:val="bullet"/>
      <w:lvlText w:val="•"/>
      <w:lvlJc w:val="left"/>
      <w:pPr>
        <w:ind w:left="3125" w:hanging="240"/>
      </w:pPr>
      <w:rPr>
        <w:rFonts w:hint="default"/>
        <w:lang w:val="en-US" w:eastAsia="en-US" w:bidi="ar-SA"/>
      </w:rPr>
    </w:lvl>
  </w:abstractNum>
  <w:abstractNum w:abstractNumId="25">
    <w:multiLevelType w:val="hybridMultilevel"/>
    <w:lvl w:ilvl="0">
      <w:start w:val="1"/>
      <w:numFmt w:val="lowerLetter"/>
      <w:lvlText w:val="(%1)"/>
      <w:lvlJc w:val="left"/>
      <w:pPr>
        <w:ind w:left="439" w:hanging="240"/>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5260" w:hanging="241"/>
        <w:jc w:val="left"/>
      </w:pPr>
      <w:rPr>
        <w:rFonts w:hint="default" w:ascii="Times New Roman" w:hAnsi="Times New Roman" w:eastAsia="Times New Roman" w:cs="Times New Roman"/>
        <w:w w:val="100"/>
        <w:sz w:val="16"/>
        <w:szCs w:val="16"/>
        <w:lang w:val="en-US" w:eastAsia="en-US" w:bidi="ar-SA"/>
      </w:rPr>
    </w:lvl>
    <w:lvl w:ilvl="2">
      <w:start w:val="0"/>
      <w:numFmt w:val="bullet"/>
      <w:lvlText w:val="•"/>
      <w:lvlJc w:val="left"/>
      <w:pPr>
        <w:ind w:left="5099" w:hanging="241"/>
      </w:pPr>
      <w:rPr>
        <w:rFonts w:hint="default"/>
        <w:lang w:val="en-US" w:eastAsia="en-US" w:bidi="ar-SA"/>
      </w:rPr>
    </w:lvl>
    <w:lvl w:ilvl="3">
      <w:start w:val="0"/>
      <w:numFmt w:val="bullet"/>
      <w:lvlText w:val="•"/>
      <w:lvlJc w:val="left"/>
      <w:pPr>
        <w:ind w:left="4939" w:hanging="241"/>
      </w:pPr>
      <w:rPr>
        <w:rFonts w:hint="default"/>
        <w:lang w:val="en-US" w:eastAsia="en-US" w:bidi="ar-SA"/>
      </w:rPr>
    </w:lvl>
    <w:lvl w:ilvl="4">
      <w:start w:val="0"/>
      <w:numFmt w:val="bullet"/>
      <w:lvlText w:val="•"/>
      <w:lvlJc w:val="left"/>
      <w:pPr>
        <w:ind w:left="4778" w:hanging="241"/>
      </w:pPr>
      <w:rPr>
        <w:rFonts w:hint="default"/>
        <w:lang w:val="en-US" w:eastAsia="en-US" w:bidi="ar-SA"/>
      </w:rPr>
    </w:lvl>
    <w:lvl w:ilvl="5">
      <w:start w:val="0"/>
      <w:numFmt w:val="bullet"/>
      <w:lvlText w:val="•"/>
      <w:lvlJc w:val="left"/>
      <w:pPr>
        <w:ind w:left="4618" w:hanging="241"/>
      </w:pPr>
      <w:rPr>
        <w:rFonts w:hint="default"/>
        <w:lang w:val="en-US" w:eastAsia="en-US" w:bidi="ar-SA"/>
      </w:rPr>
    </w:lvl>
    <w:lvl w:ilvl="6">
      <w:start w:val="0"/>
      <w:numFmt w:val="bullet"/>
      <w:lvlText w:val="•"/>
      <w:lvlJc w:val="left"/>
      <w:pPr>
        <w:ind w:left="4457" w:hanging="241"/>
      </w:pPr>
      <w:rPr>
        <w:rFonts w:hint="default"/>
        <w:lang w:val="en-US" w:eastAsia="en-US" w:bidi="ar-SA"/>
      </w:rPr>
    </w:lvl>
    <w:lvl w:ilvl="7">
      <w:start w:val="0"/>
      <w:numFmt w:val="bullet"/>
      <w:lvlText w:val="•"/>
      <w:lvlJc w:val="left"/>
      <w:pPr>
        <w:ind w:left="4297" w:hanging="241"/>
      </w:pPr>
      <w:rPr>
        <w:rFonts w:hint="default"/>
        <w:lang w:val="en-US" w:eastAsia="en-US" w:bidi="ar-SA"/>
      </w:rPr>
    </w:lvl>
    <w:lvl w:ilvl="8">
      <w:start w:val="0"/>
      <w:numFmt w:val="bullet"/>
      <w:lvlText w:val="•"/>
      <w:lvlJc w:val="left"/>
      <w:pPr>
        <w:ind w:left="4136" w:hanging="241"/>
      </w:pPr>
      <w:rPr>
        <w:rFonts w:hint="default"/>
        <w:lang w:val="en-US" w:eastAsia="en-US" w:bidi="ar-SA"/>
      </w:rPr>
    </w:lvl>
  </w:abstractNum>
  <w:abstractNum w:abstractNumId="24">
    <w:multiLevelType w:val="hybridMultilevel"/>
    <w:lvl w:ilvl="0">
      <w:start w:val="1"/>
      <w:numFmt w:val="lowerLetter"/>
      <w:lvlText w:val="(%1)"/>
      <w:lvlJc w:val="left"/>
      <w:pPr>
        <w:ind w:left="430"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82" w:hanging="240"/>
      </w:pPr>
      <w:rPr>
        <w:rFonts w:hint="default"/>
        <w:lang w:val="en-US" w:eastAsia="en-US" w:bidi="ar-SA"/>
      </w:rPr>
    </w:lvl>
    <w:lvl w:ilvl="2">
      <w:start w:val="0"/>
      <w:numFmt w:val="bullet"/>
      <w:lvlText w:val="•"/>
      <w:lvlJc w:val="left"/>
      <w:pPr>
        <w:ind w:left="1125" w:hanging="240"/>
      </w:pPr>
      <w:rPr>
        <w:rFonts w:hint="default"/>
        <w:lang w:val="en-US" w:eastAsia="en-US" w:bidi="ar-SA"/>
      </w:rPr>
    </w:lvl>
    <w:lvl w:ilvl="3">
      <w:start w:val="0"/>
      <w:numFmt w:val="bullet"/>
      <w:lvlText w:val="•"/>
      <w:lvlJc w:val="left"/>
      <w:pPr>
        <w:ind w:left="1468" w:hanging="240"/>
      </w:pPr>
      <w:rPr>
        <w:rFonts w:hint="default"/>
        <w:lang w:val="en-US" w:eastAsia="en-US" w:bidi="ar-SA"/>
      </w:rPr>
    </w:lvl>
    <w:lvl w:ilvl="4">
      <w:start w:val="0"/>
      <w:numFmt w:val="bullet"/>
      <w:lvlText w:val="•"/>
      <w:lvlJc w:val="left"/>
      <w:pPr>
        <w:ind w:left="1811" w:hanging="240"/>
      </w:pPr>
      <w:rPr>
        <w:rFonts w:hint="default"/>
        <w:lang w:val="en-US" w:eastAsia="en-US" w:bidi="ar-SA"/>
      </w:rPr>
    </w:lvl>
    <w:lvl w:ilvl="5">
      <w:start w:val="0"/>
      <w:numFmt w:val="bullet"/>
      <w:lvlText w:val="•"/>
      <w:lvlJc w:val="left"/>
      <w:pPr>
        <w:ind w:left="2154" w:hanging="240"/>
      </w:pPr>
      <w:rPr>
        <w:rFonts w:hint="default"/>
        <w:lang w:val="en-US" w:eastAsia="en-US" w:bidi="ar-SA"/>
      </w:rPr>
    </w:lvl>
    <w:lvl w:ilvl="6">
      <w:start w:val="0"/>
      <w:numFmt w:val="bullet"/>
      <w:lvlText w:val="•"/>
      <w:lvlJc w:val="left"/>
      <w:pPr>
        <w:ind w:left="2497" w:hanging="240"/>
      </w:pPr>
      <w:rPr>
        <w:rFonts w:hint="default"/>
        <w:lang w:val="en-US" w:eastAsia="en-US" w:bidi="ar-SA"/>
      </w:rPr>
    </w:lvl>
    <w:lvl w:ilvl="7">
      <w:start w:val="0"/>
      <w:numFmt w:val="bullet"/>
      <w:lvlText w:val="•"/>
      <w:lvlJc w:val="left"/>
      <w:pPr>
        <w:ind w:left="2840" w:hanging="240"/>
      </w:pPr>
      <w:rPr>
        <w:rFonts w:hint="default"/>
        <w:lang w:val="en-US" w:eastAsia="en-US" w:bidi="ar-SA"/>
      </w:rPr>
    </w:lvl>
    <w:lvl w:ilvl="8">
      <w:start w:val="0"/>
      <w:numFmt w:val="bullet"/>
      <w:lvlText w:val="•"/>
      <w:lvlJc w:val="left"/>
      <w:pPr>
        <w:ind w:left="3183" w:hanging="240"/>
      </w:pPr>
      <w:rPr>
        <w:rFonts w:hint="default"/>
        <w:lang w:val="en-US" w:eastAsia="en-US" w:bidi="ar-SA"/>
      </w:rPr>
    </w:lvl>
  </w:abstractNum>
  <w:abstractNum w:abstractNumId="23">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30" w:hanging="240"/>
      </w:pPr>
      <w:rPr>
        <w:rFonts w:hint="default"/>
        <w:lang w:val="en-US" w:eastAsia="en-US" w:bidi="ar-SA"/>
      </w:rPr>
    </w:lvl>
    <w:lvl w:ilvl="2">
      <w:start w:val="0"/>
      <w:numFmt w:val="bullet"/>
      <w:lvlText w:val="•"/>
      <w:lvlJc w:val="left"/>
      <w:pPr>
        <w:ind w:left="1240" w:hanging="240"/>
      </w:pPr>
      <w:rPr>
        <w:rFonts w:hint="default"/>
        <w:lang w:val="en-US" w:eastAsia="en-US" w:bidi="ar-SA"/>
      </w:rPr>
    </w:lvl>
    <w:lvl w:ilvl="3">
      <w:start w:val="0"/>
      <w:numFmt w:val="bullet"/>
      <w:lvlText w:val="•"/>
      <w:lvlJc w:val="left"/>
      <w:pPr>
        <w:ind w:left="1650" w:hanging="240"/>
      </w:pPr>
      <w:rPr>
        <w:rFonts w:hint="default"/>
        <w:lang w:val="en-US" w:eastAsia="en-US" w:bidi="ar-SA"/>
      </w:rPr>
    </w:lvl>
    <w:lvl w:ilvl="4">
      <w:start w:val="0"/>
      <w:numFmt w:val="bullet"/>
      <w:lvlText w:val="•"/>
      <w:lvlJc w:val="left"/>
      <w:pPr>
        <w:ind w:left="2060" w:hanging="240"/>
      </w:pPr>
      <w:rPr>
        <w:rFonts w:hint="default"/>
        <w:lang w:val="en-US" w:eastAsia="en-US" w:bidi="ar-SA"/>
      </w:rPr>
    </w:lvl>
    <w:lvl w:ilvl="5">
      <w:start w:val="0"/>
      <w:numFmt w:val="bullet"/>
      <w:lvlText w:val="•"/>
      <w:lvlJc w:val="left"/>
      <w:pPr>
        <w:ind w:left="2470" w:hanging="240"/>
      </w:pPr>
      <w:rPr>
        <w:rFonts w:hint="default"/>
        <w:lang w:val="en-US" w:eastAsia="en-US" w:bidi="ar-SA"/>
      </w:rPr>
    </w:lvl>
    <w:lvl w:ilvl="6">
      <w:start w:val="0"/>
      <w:numFmt w:val="bullet"/>
      <w:lvlText w:val="•"/>
      <w:lvlJc w:val="left"/>
      <w:pPr>
        <w:ind w:left="2880" w:hanging="240"/>
      </w:pPr>
      <w:rPr>
        <w:rFonts w:hint="default"/>
        <w:lang w:val="en-US" w:eastAsia="en-US" w:bidi="ar-SA"/>
      </w:rPr>
    </w:lvl>
    <w:lvl w:ilvl="7">
      <w:start w:val="0"/>
      <w:numFmt w:val="bullet"/>
      <w:lvlText w:val="•"/>
      <w:lvlJc w:val="left"/>
      <w:pPr>
        <w:ind w:left="3290" w:hanging="240"/>
      </w:pPr>
      <w:rPr>
        <w:rFonts w:hint="default"/>
        <w:lang w:val="en-US" w:eastAsia="en-US" w:bidi="ar-SA"/>
      </w:rPr>
    </w:lvl>
    <w:lvl w:ilvl="8">
      <w:start w:val="0"/>
      <w:numFmt w:val="bullet"/>
      <w:lvlText w:val="•"/>
      <w:lvlJc w:val="left"/>
      <w:pPr>
        <w:ind w:left="3700" w:hanging="240"/>
      </w:pPr>
      <w:rPr>
        <w:rFonts w:hint="default"/>
        <w:lang w:val="en-US" w:eastAsia="en-US" w:bidi="ar-SA"/>
      </w:rPr>
    </w:lvl>
  </w:abstractNum>
  <w:abstractNum w:abstractNumId="22">
    <w:multiLevelType w:val="hybridMultilevel"/>
    <w:lvl w:ilvl="0">
      <w:start w:val="1"/>
      <w:numFmt w:val="lowerLetter"/>
      <w:lvlText w:val="(%1)"/>
      <w:lvlJc w:val="left"/>
      <w:pPr>
        <w:ind w:left="438"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48" w:hanging="240"/>
      </w:pPr>
      <w:rPr>
        <w:rFonts w:hint="default"/>
        <w:lang w:val="en-US" w:eastAsia="en-US" w:bidi="ar-SA"/>
      </w:rPr>
    </w:lvl>
    <w:lvl w:ilvl="2">
      <w:start w:val="0"/>
      <w:numFmt w:val="bullet"/>
      <w:lvlText w:val="•"/>
      <w:lvlJc w:val="left"/>
      <w:pPr>
        <w:ind w:left="1256" w:hanging="240"/>
      </w:pPr>
      <w:rPr>
        <w:rFonts w:hint="default"/>
        <w:lang w:val="en-US" w:eastAsia="en-US" w:bidi="ar-SA"/>
      </w:rPr>
    </w:lvl>
    <w:lvl w:ilvl="3">
      <w:start w:val="0"/>
      <w:numFmt w:val="bullet"/>
      <w:lvlText w:val="•"/>
      <w:lvlJc w:val="left"/>
      <w:pPr>
        <w:ind w:left="1664" w:hanging="240"/>
      </w:pPr>
      <w:rPr>
        <w:rFonts w:hint="default"/>
        <w:lang w:val="en-US" w:eastAsia="en-US" w:bidi="ar-SA"/>
      </w:rPr>
    </w:lvl>
    <w:lvl w:ilvl="4">
      <w:start w:val="0"/>
      <w:numFmt w:val="bullet"/>
      <w:lvlText w:val="•"/>
      <w:lvlJc w:val="left"/>
      <w:pPr>
        <w:ind w:left="2072" w:hanging="240"/>
      </w:pPr>
      <w:rPr>
        <w:rFonts w:hint="default"/>
        <w:lang w:val="en-US" w:eastAsia="en-US" w:bidi="ar-SA"/>
      </w:rPr>
    </w:lvl>
    <w:lvl w:ilvl="5">
      <w:start w:val="0"/>
      <w:numFmt w:val="bullet"/>
      <w:lvlText w:val="•"/>
      <w:lvlJc w:val="left"/>
      <w:pPr>
        <w:ind w:left="2480" w:hanging="240"/>
      </w:pPr>
      <w:rPr>
        <w:rFonts w:hint="default"/>
        <w:lang w:val="en-US" w:eastAsia="en-US" w:bidi="ar-SA"/>
      </w:rPr>
    </w:lvl>
    <w:lvl w:ilvl="6">
      <w:start w:val="0"/>
      <w:numFmt w:val="bullet"/>
      <w:lvlText w:val="•"/>
      <w:lvlJc w:val="left"/>
      <w:pPr>
        <w:ind w:left="2888" w:hanging="240"/>
      </w:pPr>
      <w:rPr>
        <w:rFonts w:hint="default"/>
        <w:lang w:val="en-US" w:eastAsia="en-US" w:bidi="ar-SA"/>
      </w:rPr>
    </w:lvl>
    <w:lvl w:ilvl="7">
      <w:start w:val="0"/>
      <w:numFmt w:val="bullet"/>
      <w:lvlText w:val="•"/>
      <w:lvlJc w:val="left"/>
      <w:pPr>
        <w:ind w:left="3296" w:hanging="240"/>
      </w:pPr>
      <w:rPr>
        <w:rFonts w:hint="default"/>
        <w:lang w:val="en-US" w:eastAsia="en-US" w:bidi="ar-SA"/>
      </w:rPr>
    </w:lvl>
    <w:lvl w:ilvl="8">
      <w:start w:val="0"/>
      <w:numFmt w:val="bullet"/>
      <w:lvlText w:val="•"/>
      <w:lvlJc w:val="left"/>
      <w:pPr>
        <w:ind w:left="3704" w:hanging="240"/>
      </w:pPr>
      <w:rPr>
        <w:rFonts w:hint="default"/>
        <w:lang w:val="en-US" w:eastAsia="en-US" w:bidi="ar-SA"/>
      </w:rPr>
    </w:lvl>
  </w:abstractNum>
  <w:abstractNum w:abstractNumId="21">
    <w:multiLevelType w:val="hybridMultilevel"/>
    <w:lvl w:ilvl="0">
      <w:start w:val="1"/>
      <w:numFmt w:val="lowerLetter"/>
      <w:lvlText w:val="(%1)"/>
      <w:lvlJc w:val="left"/>
      <w:pPr>
        <w:ind w:left="450"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81" w:hanging="240"/>
      </w:pPr>
      <w:rPr>
        <w:rFonts w:hint="default"/>
        <w:lang w:val="en-US" w:eastAsia="en-US" w:bidi="ar-SA"/>
      </w:rPr>
    </w:lvl>
    <w:lvl w:ilvl="2">
      <w:start w:val="0"/>
      <w:numFmt w:val="bullet"/>
      <w:lvlText w:val="•"/>
      <w:lvlJc w:val="left"/>
      <w:pPr>
        <w:ind w:left="1102" w:hanging="240"/>
      </w:pPr>
      <w:rPr>
        <w:rFonts w:hint="default"/>
        <w:lang w:val="en-US" w:eastAsia="en-US" w:bidi="ar-SA"/>
      </w:rPr>
    </w:lvl>
    <w:lvl w:ilvl="3">
      <w:start w:val="0"/>
      <w:numFmt w:val="bullet"/>
      <w:lvlText w:val="•"/>
      <w:lvlJc w:val="left"/>
      <w:pPr>
        <w:ind w:left="1423" w:hanging="240"/>
      </w:pPr>
      <w:rPr>
        <w:rFonts w:hint="default"/>
        <w:lang w:val="en-US" w:eastAsia="en-US" w:bidi="ar-SA"/>
      </w:rPr>
    </w:lvl>
    <w:lvl w:ilvl="4">
      <w:start w:val="0"/>
      <w:numFmt w:val="bullet"/>
      <w:lvlText w:val="•"/>
      <w:lvlJc w:val="left"/>
      <w:pPr>
        <w:ind w:left="1744" w:hanging="240"/>
      </w:pPr>
      <w:rPr>
        <w:rFonts w:hint="default"/>
        <w:lang w:val="en-US" w:eastAsia="en-US" w:bidi="ar-SA"/>
      </w:rPr>
    </w:lvl>
    <w:lvl w:ilvl="5">
      <w:start w:val="0"/>
      <w:numFmt w:val="bullet"/>
      <w:lvlText w:val="•"/>
      <w:lvlJc w:val="left"/>
      <w:pPr>
        <w:ind w:left="2065" w:hanging="240"/>
      </w:pPr>
      <w:rPr>
        <w:rFonts w:hint="default"/>
        <w:lang w:val="en-US" w:eastAsia="en-US" w:bidi="ar-SA"/>
      </w:rPr>
    </w:lvl>
    <w:lvl w:ilvl="6">
      <w:start w:val="0"/>
      <w:numFmt w:val="bullet"/>
      <w:lvlText w:val="•"/>
      <w:lvlJc w:val="left"/>
      <w:pPr>
        <w:ind w:left="2387" w:hanging="240"/>
      </w:pPr>
      <w:rPr>
        <w:rFonts w:hint="default"/>
        <w:lang w:val="en-US" w:eastAsia="en-US" w:bidi="ar-SA"/>
      </w:rPr>
    </w:lvl>
    <w:lvl w:ilvl="7">
      <w:start w:val="0"/>
      <w:numFmt w:val="bullet"/>
      <w:lvlText w:val="•"/>
      <w:lvlJc w:val="left"/>
      <w:pPr>
        <w:ind w:left="2708" w:hanging="240"/>
      </w:pPr>
      <w:rPr>
        <w:rFonts w:hint="default"/>
        <w:lang w:val="en-US" w:eastAsia="en-US" w:bidi="ar-SA"/>
      </w:rPr>
    </w:lvl>
    <w:lvl w:ilvl="8">
      <w:start w:val="0"/>
      <w:numFmt w:val="bullet"/>
      <w:lvlText w:val="•"/>
      <w:lvlJc w:val="left"/>
      <w:pPr>
        <w:ind w:left="3029" w:hanging="240"/>
      </w:pPr>
      <w:rPr>
        <w:rFonts w:hint="default"/>
        <w:lang w:val="en-US" w:eastAsia="en-US" w:bidi="ar-SA"/>
      </w:rPr>
    </w:lvl>
  </w:abstractNum>
  <w:abstractNum w:abstractNumId="20">
    <w:multiLevelType w:val="hybridMultilevel"/>
    <w:lvl w:ilvl="0">
      <w:start w:val="1"/>
      <w:numFmt w:val="lowerLetter"/>
      <w:lvlText w:val="(%1)"/>
      <w:lvlJc w:val="left"/>
      <w:pPr>
        <w:ind w:left="445"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5" w:hanging="240"/>
      </w:pPr>
      <w:rPr>
        <w:rFonts w:hint="default"/>
        <w:lang w:val="en-US" w:eastAsia="en-US" w:bidi="ar-SA"/>
      </w:rPr>
    </w:lvl>
    <w:lvl w:ilvl="2">
      <w:start w:val="0"/>
      <w:numFmt w:val="bullet"/>
      <w:lvlText w:val="•"/>
      <w:lvlJc w:val="left"/>
      <w:pPr>
        <w:ind w:left="1211" w:hanging="240"/>
      </w:pPr>
      <w:rPr>
        <w:rFonts w:hint="default"/>
        <w:lang w:val="en-US" w:eastAsia="en-US" w:bidi="ar-SA"/>
      </w:rPr>
    </w:lvl>
    <w:lvl w:ilvl="3">
      <w:start w:val="0"/>
      <w:numFmt w:val="bullet"/>
      <w:lvlText w:val="•"/>
      <w:lvlJc w:val="left"/>
      <w:pPr>
        <w:ind w:left="1596" w:hanging="240"/>
      </w:pPr>
      <w:rPr>
        <w:rFonts w:hint="default"/>
        <w:lang w:val="en-US" w:eastAsia="en-US" w:bidi="ar-SA"/>
      </w:rPr>
    </w:lvl>
    <w:lvl w:ilvl="4">
      <w:start w:val="0"/>
      <w:numFmt w:val="bullet"/>
      <w:lvlText w:val="•"/>
      <w:lvlJc w:val="left"/>
      <w:pPr>
        <w:ind w:left="1982" w:hanging="240"/>
      </w:pPr>
      <w:rPr>
        <w:rFonts w:hint="default"/>
        <w:lang w:val="en-US" w:eastAsia="en-US" w:bidi="ar-SA"/>
      </w:rPr>
    </w:lvl>
    <w:lvl w:ilvl="5">
      <w:start w:val="0"/>
      <w:numFmt w:val="bullet"/>
      <w:lvlText w:val="•"/>
      <w:lvlJc w:val="left"/>
      <w:pPr>
        <w:ind w:left="2367" w:hanging="240"/>
      </w:pPr>
      <w:rPr>
        <w:rFonts w:hint="default"/>
        <w:lang w:val="en-US" w:eastAsia="en-US" w:bidi="ar-SA"/>
      </w:rPr>
    </w:lvl>
    <w:lvl w:ilvl="6">
      <w:start w:val="0"/>
      <w:numFmt w:val="bullet"/>
      <w:lvlText w:val="•"/>
      <w:lvlJc w:val="left"/>
      <w:pPr>
        <w:ind w:left="2753" w:hanging="240"/>
      </w:pPr>
      <w:rPr>
        <w:rFonts w:hint="default"/>
        <w:lang w:val="en-US" w:eastAsia="en-US" w:bidi="ar-SA"/>
      </w:rPr>
    </w:lvl>
    <w:lvl w:ilvl="7">
      <w:start w:val="0"/>
      <w:numFmt w:val="bullet"/>
      <w:lvlText w:val="•"/>
      <w:lvlJc w:val="left"/>
      <w:pPr>
        <w:ind w:left="3138" w:hanging="240"/>
      </w:pPr>
      <w:rPr>
        <w:rFonts w:hint="default"/>
        <w:lang w:val="en-US" w:eastAsia="en-US" w:bidi="ar-SA"/>
      </w:rPr>
    </w:lvl>
    <w:lvl w:ilvl="8">
      <w:start w:val="0"/>
      <w:numFmt w:val="bullet"/>
      <w:lvlText w:val="•"/>
      <w:lvlJc w:val="left"/>
      <w:pPr>
        <w:ind w:left="3524" w:hanging="240"/>
      </w:pPr>
      <w:rPr>
        <w:rFonts w:hint="default"/>
        <w:lang w:val="en-US" w:eastAsia="en-US" w:bidi="ar-SA"/>
      </w:rPr>
    </w:lvl>
  </w:abstractNum>
  <w:abstractNum w:abstractNumId="19">
    <w:multiLevelType w:val="hybridMultilevel"/>
    <w:lvl w:ilvl="0">
      <w:start w:val="1"/>
      <w:numFmt w:val="lowerLetter"/>
      <w:lvlText w:val="(%1)"/>
      <w:lvlJc w:val="left"/>
      <w:pPr>
        <w:ind w:left="450"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80" w:hanging="240"/>
      </w:pPr>
      <w:rPr>
        <w:rFonts w:hint="default"/>
        <w:lang w:val="en-US" w:eastAsia="en-US" w:bidi="ar-SA"/>
      </w:rPr>
    </w:lvl>
    <w:lvl w:ilvl="2">
      <w:start w:val="0"/>
      <w:numFmt w:val="bullet"/>
      <w:lvlText w:val="•"/>
      <w:lvlJc w:val="left"/>
      <w:pPr>
        <w:ind w:left="1100" w:hanging="240"/>
      </w:pPr>
      <w:rPr>
        <w:rFonts w:hint="default"/>
        <w:lang w:val="en-US" w:eastAsia="en-US" w:bidi="ar-SA"/>
      </w:rPr>
    </w:lvl>
    <w:lvl w:ilvl="3">
      <w:start w:val="0"/>
      <w:numFmt w:val="bullet"/>
      <w:lvlText w:val="•"/>
      <w:lvlJc w:val="left"/>
      <w:pPr>
        <w:ind w:left="1420" w:hanging="240"/>
      </w:pPr>
      <w:rPr>
        <w:rFonts w:hint="default"/>
        <w:lang w:val="en-US" w:eastAsia="en-US" w:bidi="ar-SA"/>
      </w:rPr>
    </w:lvl>
    <w:lvl w:ilvl="4">
      <w:start w:val="0"/>
      <w:numFmt w:val="bullet"/>
      <w:lvlText w:val="•"/>
      <w:lvlJc w:val="left"/>
      <w:pPr>
        <w:ind w:left="1740" w:hanging="240"/>
      </w:pPr>
      <w:rPr>
        <w:rFonts w:hint="default"/>
        <w:lang w:val="en-US" w:eastAsia="en-US" w:bidi="ar-SA"/>
      </w:rPr>
    </w:lvl>
    <w:lvl w:ilvl="5">
      <w:start w:val="0"/>
      <w:numFmt w:val="bullet"/>
      <w:lvlText w:val="•"/>
      <w:lvlJc w:val="left"/>
      <w:pPr>
        <w:ind w:left="2061" w:hanging="240"/>
      </w:pPr>
      <w:rPr>
        <w:rFonts w:hint="default"/>
        <w:lang w:val="en-US" w:eastAsia="en-US" w:bidi="ar-SA"/>
      </w:rPr>
    </w:lvl>
    <w:lvl w:ilvl="6">
      <w:start w:val="0"/>
      <w:numFmt w:val="bullet"/>
      <w:lvlText w:val="•"/>
      <w:lvlJc w:val="left"/>
      <w:pPr>
        <w:ind w:left="2381" w:hanging="240"/>
      </w:pPr>
      <w:rPr>
        <w:rFonts w:hint="default"/>
        <w:lang w:val="en-US" w:eastAsia="en-US" w:bidi="ar-SA"/>
      </w:rPr>
    </w:lvl>
    <w:lvl w:ilvl="7">
      <w:start w:val="0"/>
      <w:numFmt w:val="bullet"/>
      <w:lvlText w:val="•"/>
      <w:lvlJc w:val="left"/>
      <w:pPr>
        <w:ind w:left="2701" w:hanging="240"/>
      </w:pPr>
      <w:rPr>
        <w:rFonts w:hint="default"/>
        <w:lang w:val="en-US" w:eastAsia="en-US" w:bidi="ar-SA"/>
      </w:rPr>
    </w:lvl>
    <w:lvl w:ilvl="8">
      <w:start w:val="0"/>
      <w:numFmt w:val="bullet"/>
      <w:lvlText w:val="•"/>
      <w:lvlJc w:val="left"/>
      <w:pPr>
        <w:ind w:left="3021" w:hanging="240"/>
      </w:pPr>
      <w:rPr>
        <w:rFonts w:hint="default"/>
        <w:lang w:val="en-US" w:eastAsia="en-US" w:bidi="ar-SA"/>
      </w:rPr>
    </w:lvl>
  </w:abstractNum>
  <w:abstractNum w:abstractNumId="18">
    <w:multiLevelType w:val="hybridMultilevel"/>
    <w:lvl w:ilvl="0">
      <w:start w:val="3"/>
      <w:numFmt w:val="decimal"/>
      <w:lvlText w:val="%1"/>
      <w:lvlJc w:val="left"/>
      <w:pPr>
        <w:ind w:left="6037" w:hanging="1058"/>
        <w:jc w:val="left"/>
      </w:pPr>
      <w:rPr>
        <w:rFonts w:hint="default"/>
        <w:lang w:val="en-US" w:eastAsia="en-US" w:bidi="ar-SA"/>
      </w:rPr>
    </w:lvl>
    <w:lvl w:ilvl="1">
      <w:start w:val="1"/>
      <w:numFmt w:val="decimal"/>
      <w:lvlText w:val="%1.%2"/>
      <w:lvlJc w:val="left"/>
      <w:pPr>
        <w:ind w:left="6037" w:hanging="1058"/>
        <w:jc w:val="right"/>
      </w:pPr>
      <w:rPr>
        <w:rFonts w:hint="default"/>
        <w:b/>
        <w:bCs/>
        <w:w w:val="100"/>
        <w:lang w:val="en-US" w:eastAsia="en-US" w:bidi="ar-SA"/>
      </w:rPr>
    </w:lvl>
    <w:lvl w:ilvl="2">
      <w:start w:val="0"/>
      <w:numFmt w:val="bullet"/>
      <w:lvlText w:val="•"/>
      <w:lvlJc w:val="left"/>
      <w:pPr>
        <w:ind w:left="6960" w:hanging="1058"/>
      </w:pPr>
      <w:rPr>
        <w:rFonts w:hint="default"/>
        <w:lang w:val="en-US" w:eastAsia="en-US" w:bidi="ar-SA"/>
      </w:rPr>
    </w:lvl>
    <w:lvl w:ilvl="3">
      <w:start w:val="0"/>
      <w:numFmt w:val="bullet"/>
      <w:lvlText w:val="•"/>
      <w:lvlJc w:val="left"/>
      <w:pPr>
        <w:ind w:left="7420" w:hanging="1058"/>
      </w:pPr>
      <w:rPr>
        <w:rFonts w:hint="default"/>
        <w:lang w:val="en-US" w:eastAsia="en-US" w:bidi="ar-SA"/>
      </w:rPr>
    </w:lvl>
    <w:lvl w:ilvl="4">
      <w:start w:val="0"/>
      <w:numFmt w:val="bullet"/>
      <w:lvlText w:val="•"/>
      <w:lvlJc w:val="left"/>
      <w:pPr>
        <w:ind w:left="7880" w:hanging="1058"/>
      </w:pPr>
      <w:rPr>
        <w:rFonts w:hint="default"/>
        <w:lang w:val="en-US" w:eastAsia="en-US" w:bidi="ar-SA"/>
      </w:rPr>
    </w:lvl>
    <w:lvl w:ilvl="5">
      <w:start w:val="0"/>
      <w:numFmt w:val="bullet"/>
      <w:lvlText w:val="•"/>
      <w:lvlJc w:val="left"/>
      <w:pPr>
        <w:ind w:left="8340" w:hanging="1058"/>
      </w:pPr>
      <w:rPr>
        <w:rFonts w:hint="default"/>
        <w:lang w:val="en-US" w:eastAsia="en-US" w:bidi="ar-SA"/>
      </w:rPr>
    </w:lvl>
    <w:lvl w:ilvl="6">
      <w:start w:val="0"/>
      <w:numFmt w:val="bullet"/>
      <w:lvlText w:val="•"/>
      <w:lvlJc w:val="left"/>
      <w:pPr>
        <w:ind w:left="8800" w:hanging="1058"/>
      </w:pPr>
      <w:rPr>
        <w:rFonts w:hint="default"/>
        <w:lang w:val="en-US" w:eastAsia="en-US" w:bidi="ar-SA"/>
      </w:rPr>
    </w:lvl>
    <w:lvl w:ilvl="7">
      <w:start w:val="0"/>
      <w:numFmt w:val="bullet"/>
      <w:lvlText w:val="•"/>
      <w:lvlJc w:val="left"/>
      <w:pPr>
        <w:ind w:left="9260" w:hanging="1058"/>
      </w:pPr>
      <w:rPr>
        <w:rFonts w:hint="default"/>
        <w:lang w:val="en-US" w:eastAsia="en-US" w:bidi="ar-SA"/>
      </w:rPr>
    </w:lvl>
    <w:lvl w:ilvl="8">
      <w:start w:val="0"/>
      <w:numFmt w:val="bullet"/>
      <w:lvlText w:val="•"/>
      <w:lvlJc w:val="left"/>
      <w:pPr>
        <w:ind w:left="9720" w:hanging="1058"/>
      </w:pPr>
      <w:rPr>
        <w:rFonts w:hint="default"/>
        <w:lang w:val="en-US" w:eastAsia="en-US" w:bidi="ar-SA"/>
      </w:rPr>
    </w:lvl>
  </w:abstractNum>
  <w:abstractNum w:abstractNumId="17">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0" w:hanging="240"/>
      </w:pPr>
      <w:rPr>
        <w:rFonts w:hint="default"/>
        <w:lang w:val="en-US" w:eastAsia="en-US" w:bidi="ar-SA"/>
      </w:rPr>
    </w:lvl>
    <w:lvl w:ilvl="2">
      <w:start w:val="0"/>
      <w:numFmt w:val="bullet"/>
      <w:lvlText w:val="•"/>
      <w:lvlJc w:val="left"/>
      <w:pPr>
        <w:ind w:left="1120" w:hanging="240"/>
      </w:pPr>
      <w:rPr>
        <w:rFonts w:hint="default"/>
        <w:lang w:val="en-US" w:eastAsia="en-US" w:bidi="ar-SA"/>
      </w:rPr>
    </w:lvl>
    <w:lvl w:ilvl="3">
      <w:start w:val="0"/>
      <w:numFmt w:val="bullet"/>
      <w:lvlText w:val="•"/>
      <w:lvlJc w:val="left"/>
      <w:pPr>
        <w:ind w:left="1470" w:hanging="240"/>
      </w:pPr>
      <w:rPr>
        <w:rFonts w:hint="default"/>
        <w:lang w:val="en-US" w:eastAsia="en-US" w:bidi="ar-SA"/>
      </w:rPr>
    </w:lvl>
    <w:lvl w:ilvl="4">
      <w:start w:val="0"/>
      <w:numFmt w:val="bullet"/>
      <w:lvlText w:val="•"/>
      <w:lvlJc w:val="left"/>
      <w:pPr>
        <w:ind w:left="1820" w:hanging="240"/>
      </w:pPr>
      <w:rPr>
        <w:rFonts w:hint="default"/>
        <w:lang w:val="en-US" w:eastAsia="en-US" w:bidi="ar-SA"/>
      </w:rPr>
    </w:lvl>
    <w:lvl w:ilvl="5">
      <w:start w:val="0"/>
      <w:numFmt w:val="bullet"/>
      <w:lvlText w:val="•"/>
      <w:lvlJc w:val="left"/>
      <w:pPr>
        <w:ind w:left="2171" w:hanging="240"/>
      </w:pPr>
      <w:rPr>
        <w:rFonts w:hint="default"/>
        <w:lang w:val="en-US" w:eastAsia="en-US" w:bidi="ar-SA"/>
      </w:rPr>
    </w:lvl>
    <w:lvl w:ilvl="6">
      <w:start w:val="0"/>
      <w:numFmt w:val="bullet"/>
      <w:lvlText w:val="•"/>
      <w:lvlJc w:val="left"/>
      <w:pPr>
        <w:ind w:left="2521" w:hanging="240"/>
      </w:pPr>
      <w:rPr>
        <w:rFonts w:hint="default"/>
        <w:lang w:val="en-US" w:eastAsia="en-US" w:bidi="ar-SA"/>
      </w:rPr>
    </w:lvl>
    <w:lvl w:ilvl="7">
      <w:start w:val="0"/>
      <w:numFmt w:val="bullet"/>
      <w:lvlText w:val="•"/>
      <w:lvlJc w:val="left"/>
      <w:pPr>
        <w:ind w:left="2871" w:hanging="240"/>
      </w:pPr>
      <w:rPr>
        <w:rFonts w:hint="default"/>
        <w:lang w:val="en-US" w:eastAsia="en-US" w:bidi="ar-SA"/>
      </w:rPr>
    </w:lvl>
    <w:lvl w:ilvl="8">
      <w:start w:val="0"/>
      <w:numFmt w:val="bullet"/>
      <w:lvlText w:val="•"/>
      <w:lvlJc w:val="left"/>
      <w:pPr>
        <w:ind w:left="3221" w:hanging="240"/>
      </w:pPr>
      <w:rPr>
        <w:rFonts w:hint="default"/>
        <w:lang w:val="en-US" w:eastAsia="en-US" w:bidi="ar-SA"/>
      </w:rPr>
    </w:lvl>
  </w:abstractNum>
  <w:abstractNum w:abstractNumId="16">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410"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157" w:hanging="241"/>
      </w:pPr>
      <w:rPr>
        <w:rFonts w:hint="default"/>
        <w:lang w:val="en-US" w:eastAsia="en-US" w:bidi="ar-SA"/>
      </w:rPr>
    </w:lvl>
    <w:lvl w:ilvl="3">
      <w:start w:val="0"/>
      <w:numFmt w:val="bullet"/>
      <w:lvlText w:val="•"/>
      <w:lvlJc w:val="left"/>
      <w:pPr>
        <w:ind w:left="25" w:hanging="241"/>
      </w:pPr>
      <w:rPr>
        <w:rFonts w:hint="default"/>
        <w:lang w:val="en-US" w:eastAsia="en-US" w:bidi="ar-SA"/>
      </w:rPr>
    </w:lvl>
    <w:lvl w:ilvl="4">
      <w:start w:val="0"/>
      <w:numFmt w:val="bullet"/>
      <w:lvlText w:val="•"/>
      <w:lvlJc w:val="left"/>
      <w:pPr>
        <w:ind w:left="-106" w:hanging="241"/>
      </w:pPr>
      <w:rPr>
        <w:rFonts w:hint="default"/>
        <w:lang w:val="en-US" w:eastAsia="en-US" w:bidi="ar-SA"/>
      </w:rPr>
    </w:lvl>
    <w:lvl w:ilvl="5">
      <w:start w:val="0"/>
      <w:numFmt w:val="bullet"/>
      <w:lvlText w:val="•"/>
      <w:lvlJc w:val="left"/>
      <w:pPr>
        <w:ind w:left="-237" w:hanging="241"/>
      </w:pPr>
      <w:rPr>
        <w:rFonts w:hint="default"/>
        <w:lang w:val="en-US" w:eastAsia="en-US" w:bidi="ar-SA"/>
      </w:rPr>
    </w:lvl>
    <w:lvl w:ilvl="6">
      <w:start w:val="0"/>
      <w:numFmt w:val="bullet"/>
      <w:lvlText w:val="•"/>
      <w:lvlJc w:val="left"/>
      <w:pPr>
        <w:ind w:left="-369" w:hanging="241"/>
      </w:pPr>
      <w:rPr>
        <w:rFonts w:hint="default"/>
        <w:lang w:val="en-US" w:eastAsia="en-US" w:bidi="ar-SA"/>
      </w:rPr>
    </w:lvl>
    <w:lvl w:ilvl="7">
      <w:start w:val="0"/>
      <w:numFmt w:val="bullet"/>
      <w:lvlText w:val="•"/>
      <w:lvlJc w:val="left"/>
      <w:pPr>
        <w:ind w:left="-500" w:hanging="241"/>
      </w:pPr>
      <w:rPr>
        <w:rFonts w:hint="default"/>
        <w:lang w:val="en-US" w:eastAsia="en-US" w:bidi="ar-SA"/>
      </w:rPr>
    </w:lvl>
    <w:lvl w:ilvl="8">
      <w:start w:val="0"/>
      <w:numFmt w:val="bullet"/>
      <w:lvlText w:val="•"/>
      <w:lvlJc w:val="left"/>
      <w:pPr>
        <w:ind w:left="-631" w:hanging="241"/>
      </w:pPr>
      <w:rPr>
        <w:rFonts w:hint="default"/>
        <w:lang w:val="en-US" w:eastAsia="en-US" w:bidi="ar-SA"/>
      </w:rPr>
    </w:lvl>
  </w:abstractNum>
  <w:abstractNum w:abstractNumId="15">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81" w:hanging="240"/>
      </w:pPr>
      <w:rPr>
        <w:rFonts w:hint="default"/>
        <w:lang w:val="en-US" w:eastAsia="en-US" w:bidi="ar-SA"/>
      </w:rPr>
    </w:lvl>
    <w:lvl w:ilvl="2">
      <w:start w:val="0"/>
      <w:numFmt w:val="bullet"/>
      <w:lvlText w:val="•"/>
      <w:lvlJc w:val="left"/>
      <w:pPr>
        <w:ind w:left="1142" w:hanging="240"/>
      </w:pPr>
      <w:rPr>
        <w:rFonts w:hint="default"/>
        <w:lang w:val="en-US" w:eastAsia="en-US" w:bidi="ar-SA"/>
      </w:rPr>
    </w:lvl>
    <w:lvl w:ilvl="3">
      <w:start w:val="0"/>
      <w:numFmt w:val="bullet"/>
      <w:lvlText w:val="•"/>
      <w:lvlJc w:val="left"/>
      <w:pPr>
        <w:ind w:left="1504" w:hanging="240"/>
      </w:pPr>
      <w:rPr>
        <w:rFonts w:hint="default"/>
        <w:lang w:val="en-US" w:eastAsia="en-US" w:bidi="ar-SA"/>
      </w:rPr>
    </w:lvl>
    <w:lvl w:ilvl="4">
      <w:start w:val="0"/>
      <w:numFmt w:val="bullet"/>
      <w:lvlText w:val="•"/>
      <w:lvlJc w:val="left"/>
      <w:pPr>
        <w:ind w:left="1865" w:hanging="240"/>
      </w:pPr>
      <w:rPr>
        <w:rFonts w:hint="default"/>
        <w:lang w:val="en-US" w:eastAsia="en-US" w:bidi="ar-SA"/>
      </w:rPr>
    </w:lvl>
    <w:lvl w:ilvl="5">
      <w:start w:val="0"/>
      <w:numFmt w:val="bullet"/>
      <w:lvlText w:val="•"/>
      <w:lvlJc w:val="left"/>
      <w:pPr>
        <w:ind w:left="2227" w:hanging="240"/>
      </w:pPr>
      <w:rPr>
        <w:rFonts w:hint="default"/>
        <w:lang w:val="en-US" w:eastAsia="en-US" w:bidi="ar-SA"/>
      </w:rPr>
    </w:lvl>
    <w:lvl w:ilvl="6">
      <w:start w:val="0"/>
      <w:numFmt w:val="bullet"/>
      <w:lvlText w:val="•"/>
      <w:lvlJc w:val="left"/>
      <w:pPr>
        <w:ind w:left="2588" w:hanging="240"/>
      </w:pPr>
      <w:rPr>
        <w:rFonts w:hint="default"/>
        <w:lang w:val="en-US" w:eastAsia="en-US" w:bidi="ar-SA"/>
      </w:rPr>
    </w:lvl>
    <w:lvl w:ilvl="7">
      <w:start w:val="0"/>
      <w:numFmt w:val="bullet"/>
      <w:lvlText w:val="•"/>
      <w:lvlJc w:val="left"/>
      <w:pPr>
        <w:ind w:left="2949" w:hanging="240"/>
      </w:pPr>
      <w:rPr>
        <w:rFonts w:hint="default"/>
        <w:lang w:val="en-US" w:eastAsia="en-US" w:bidi="ar-SA"/>
      </w:rPr>
    </w:lvl>
    <w:lvl w:ilvl="8">
      <w:start w:val="0"/>
      <w:numFmt w:val="bullet"/>
      <w:lvlText w:val="•"/>
      <w:lvlJc w:val="left"/>
      <w:pPr>
        <w:ind w:left="3311" w:hanging="240"/>
      </w:pPr>
      <w:rPr>
        <w:rFonts w:hint="default"/>
        <w:lang w:val="en-US" w:eastAsia="en-US" w:bidi="ar-SA"/>
      </w:rPr>
    </w:lvl>
  </w:abstractNum>
  <w:abstractNum w:abstractNumId="14">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0" w:hanging="240"/>
      </w:pPr>
      <w:rPr>
        <w:rFonts w:hint="default"/>
        <w:lang w:val="en-US" w:eastAsia="en-US" w:bidi="ar-SA"/>
      </w:rPr>
    </w:lvl>
    <w:lvl w:ilvl="2">
      <w:start w:val="0"/>
      <w:numFmt w:val="bullet"/>
      <w:lvlText w:val="•"/>
      <w:lvlJc w:val="left"/>
      <w:pPr>
        <w:ind w:left="1181" w:hanging="240"/>
      </w:pPr>
      <w:rPr>
        <w:rFonts w:hint="default"/>
        <w:lang w:val="en-US" w:eastAsia="en-US" w:bidi="ar-SA"/>
      </w:rPr>
    </w:lvl>
    <w:lvl w:ilvl="3">
      <w:start w:val="0"/>
      <w:numFmt w:val="bullet"/>
      <w:lvlText w:val="•"/>
      <w:lvlJc w:val="left"/>
      <w:pPr>
        <w:ind w:left="1562" w:hanging="240"/>
      </w:pPr>
      <w:rPr>
        <w:rFonts w:hint="default"/>
        <w:lang w:val="en-US" w:eastAsia="en-US" w:bidi="ar-SA"/>
      </w:rPr>
    </w:lvl>
    <w:lvl w:ilvl="4">
      <w:start w:val="0"/>
      <w:numFmt w:val="bullet"/>
      <w:lvlText w:val="•"/>
      <w:lvlJc w:val="left"/>
      <w:pPr>
        <w:ind w:left="1942" w:hanging="240"/>
      </w:pPr>
      <w:rPr>
        <w:rFonts w:hint="default"/>
        <w:lang w:val="en-US" w:eastAsia="en-US" w:bidi="ar-SA"/>
      </w:rPr>
    </w:lvl>
    <w:lvl w:ilvl="5">
      <w:start w:val="0"/>
      <w:numFmt w:val="bullet"/>
      <w:lvlText w:val="•"/>
      <w:lvlJc w:val="left"/>
      <w:pPr>
        <w:ind w:left="2323" w:hanging="240"/>
      </w:pPr>
      <w:rPr>
        <w:rFonts w:hint="default"/>
        <w:lang w:val="en-US" w:eastAsia="en-US" w:bidi="ar-SA"/>
      </w:rPr>
    </w:lvl>
    <w:lvl w:ilvl="6">
      <w:start w:val="0"/>
      <w:numFmt w:val="bullet"/>
      <w:lvlText w:val="•"/>
      <w:lvlJc w:val="left"/>
      <w:pPr>
        <w:ind w:left="2704" w:hanging="240"/>
      </w:pPr>
      <w:rPr>
        <w:rFonts w:hint="default"/>
        <w:lang w:val="en-US" w:eastAsia="en-US" w:bidi="ar-SA"/>
      </w:rPr>
    </w:lvl>
    <w:lvl w:ilvl="7">
      <w:start w:val="0"/>
      <w:numFmt w:val="bullet"/>
      <w:lvlText w:val="•"/>
      <w:lvlJc w:val="left"/>
      <w:pPr>
        <w:ind w:left="3084" w:hanging="240"/>
      </w:pPr>
      <w:rPr>
        <w:rFonts w:hint="default"/>
        <w:lang w:val="en-US" w:eastAsia="en-US" w:bidi="ar-SA"/>
      </w:rPr>
    </w:lvl>
    <w:lvl w:ilvl="8">
      <w:start w:val="0"/>
      <w:numFmt w:val="bullet"/>
      <w:lvlText w:val="•"/>
      <w:lvlJc w:val="left"/>
      <w:pPr>
        <w:ind w:left="3465" w:hanging="240"/>
      </w:pPr>
      <w:rPr>
        <w:rFonts w:hint="default"/>
        <w:lang w:val="en-US" w:eastAsia="en-US" w:bidi="ar-SA"/>
      </w:rPr>
    </w:lvl>
  </w:abstractNum>
  <w:abstractNum w:abstractNumId="13">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62" w:hanging="240"/>
      </w:pPr>
      <w:rPr>
        <w:rFonts w:hint="default"/>
        <w:lang w:val="en-US" w:eastAsia="en-US" w:bidi="ar-SA"/>
      </w:rPr>
    </w:lvl>
    <w:lvl w:ilvl="2">
      <w:start w:val="0"/>
      <w:numFmt w:val="bullet"/>
      <w:lvlText w:val="•"/>
      <w:lvlJc w:val="left"/>
      <w:pPr>
        <w:ind w:left="1104" w:hanging="240"/>
      </w:pPr>
      <w:rPr>
        <w:rFonts w:hint="default"/>
        <w:lang w:val="en-US" w:eastAsia="en-US" w:bidi="ar-SA"/>
      </w:rPr>
    </w:lvl>
    <w:lvl w:ilvl="3">
      <w:start w:val="0"/>
      <w:numFmt w:val="bullet"/>
      <w:lvlText w:val="•"/>
      <w:lvlJc w:val="left"/>
      <w:pPr>
        <w:ind w:left="1446" w:hanging="240"/>
      </w:pPr>
      <w:rPr>
        <w:rFonts w:hint="default"/>
        <w:lang w:val="en-US" w:eastAsia="en-US" w:bidi="ar-SA"/>
      </w:rPr>
    </w:lvl>
    <w:lvl w:ilvl="4">
      <w:start w:val="0"/>
      <w:numFmt w:val="bullet"/>
      <w:lvlText w:val="•"/>
      <w:lvlJc w:val="left"/>
      <w:pPr>
        <w:ind w:left="1788" w:hanging="240"/>
      </w:pPr>
      <w:rPr>
        <w:rFonts w:hint="default"/>
        <w:lang w:val="en-US" w:eastAsia="en-US" w:bidi="ar-SA"/>
      </w:rPr>
    </w:lvl>
    <w:lvl w:ilvl="5">
      <w:start w:val="0"/>
      <w:numFmt w:val="bullet"/>
      <w:lvlText w:val="•"/>
      <w:lvlJc w:val="left"/>
      <w:pPr>
        <w:ind w:left="2131" w:hanging="240"/>
      </w:pPr>
      <w:rPr>
        <w:rFonts w:hint="default"/>
        <w:lang w:val="en-US" w:eastAsia="en-US" w:bidi="ar-SA"/>
      </w:rPr>
    </w:lvl>
    <w:lvl w:ilvl="6">
      <w:start w:val="0"/>
      <w:numFmt w:val="bullet"/>
      <w:lvlText w:val="•"/>
      <w:lvlJc w:val="left"/>
      <w:pPr>
        <w:ind w:left="2473" w:hanging="240"/>
      </w:pPr>
      <w:rPr>
        <w:rFonts w:hint="default"/>
        <w:lang w:val="en-US" w:eastAsia="en-US" w:bidi="ar-SA"/>
      </w:rPr>
    </w:lvl>
    <w:lvl w:ilvl="7">
      <w:start w:val="0"/>
      <w:numFmt w:val="bullet"/>
      <w:lvlText w:val="•"/>
      <w:lvlJc w:val="left"/>
      <w:pPr>
        <w:ind w:left="2815" w:hanging="240"/>
      </w:pPr>
      <w:rPr>
        <w:rFonts w:hint="default"/>
        <w:lang w:val="en-US" w:eastAsia="en-US" w:bidi="ar-SA"/>
      </w:rPr>
    </w:lvl>
    <w:lvl w:ilvl="8">
      <w:start w:val="0"/>
      <w:numFmt w:val="bullet"/>
      <w:lvlText w:val="•"/>
      <w:lvlJc w:val="left"/>
      <w:pPr>
        <w:ind w:left="3157" w:hanging="240"/>
      </w:pPr>
      <w:rPr>
        <w:rFonts w:hint="default"/>
        <w:lang w:val="en-US" w:eastAsia="en-US" w:bidi="ar-SA"/>
      </w:rPr>
    </w:lvl>
  </w:abstractNum>
  <w:abstractNum w:abstractNumId="12">
    <w:multiLevelType w:val="hybridMultilevel"/>
    <w:lvl w:ilvl="0">
      <w:start w:val="1"/>
      <w:numFmt w:val="decimal"/>
      <w:lvlText w:val="(%1)"/>
      <w:lvlJc w:val="left"/>
      <w:pPr>
        <w:ind w:left="630" w:hanging="241"/>
        <w:jc w:val="left"/>
      </w:pPr>
      <w:rPr>
        <w:rFonts w:hint="default" w:ascii="Times New Roman" w:hAnsi="Times New Roman" w:eastAsia="Times New Roman" w:cs="Times New Roman"/>
        <w:spacing w:val="-1"/>
        <w:w w:val="100"/>
        <w:sz w:val="16"/>
        <w:szCs w:val="16"/>
        <w:lang w:val="en-US" w:eastAsia="en-US" w:bidi="ar-SA"/>
      </w:rPr>
    </w:lvl>
    <w:lvl w:ilvl="1">
      <w:start w:val="0"/>
      <w:numFmt w:val="bullet"/>
      <w:lvlText w:val="•"/>
      <w:lvlJc w:val="left"/>
      <w:pPr>
        <w:ind w:left="1640" w:hanging="241"/>
      </w:pPr>
      <w:rPr>
        <w:rFonts w:hint="default"/>
        <w:lang w:val="en-US" w:eastAsia="en-US" w:bidi="ar-SA"/>
      </w:rPr>
    </w:lvl>
    <w:lvl w:ilvl="2">
      <w:start w:val="0"/>
      <w:numFmt w:val="bullet"/>
      <w:lvlText w:val="•"/>
      <w:lvlJc w:val="left"/>
      <w:pPr>
        <w:ind w:left="2640" w:hanging="241"/>
      </w:pPr>
      <w:rPr>
        <w:rFonts w:hint="default"/>
        <w:lang w:val="en-US" w:eastAsia="en-US" w:bidi="ar-SA"/>
      </w:rPr>
    </w:lvl>
    <w:lvl w:ilvl="3">
      <w:start w:val="0"/>
      <w:numFmt w:val="bullet"/>
      <w:lvlText w:val="•"/>
      <w:lvlJc w:val="left"/>
      <w:pPr>
        <w:ind w:left="3640" w:hanging="241"/>
      </w:pPr>
      <w:rPr>
        <w:rFonts w:hint="default"/>
        <w:lang w:val="en-US" w:eastAsia="en-US" w:bidi="ar-SA"/>
      </w:rPr>
    </w:lvl>
    <w:lvl w:ilvl="4">
      <w:start w:val="0"/>
      <w:numFmt w:val="bullet"/>
      <w:lvlText w:val="•"/>
      <w:lvlJc w:val="left"/>
      <w:pPr>
        <w:ind w:left="4640" w:hanging="241"/>
      </w:pPr>
      <w:rPr>
        <w:rFonts w:hint="default"/>
        <w:lang w:val="en-US" w:eastAsia="en-US" w:bidi="ar-SA"/>
      </w:rPr>
    </w:lvl>
    <w:lvl w:ilvl="5">
      <w:start w:val="0"/>
      <w:numFmt w:val="bullet"/>
      <w:lvlText w:val="•"/>
      <w:lvlJc w:val="left"/>
      <w:pPr>
        <w:ind w:left="5640" w:hanging="241"/>
      </w:pPr>
      <w:rPr>
        <w:rFonts w:hint="default"/>
        <w:lang w:val="en-US" w:eastAsia="en-US" w:bidi="ar-SA"/>
      </w:rPr>
    </w:lvl>
    <w:lvl w:ilvl="6">
      <w:start w:val="0"/>
      <w:numFmt w:val="bullet"/>
      <w:lvlText w:val="•"/>
      <w:lvlJc w:val="left"/>
      <w:pPr>
        <w:ind w:left="6640" w:hanging="241"/>
      </w:pPr>
      <w:rPr>
        <w:rFonts w:hint="default"/>
        <w:lang w:val="en-US" w:eastAsia="en-US" w:bidi="ar-SA"/>
      </w:rPr>
    </w:lvl>
    <w:lvl w:ilvl="7">
      <w:start w:val="0"/>
      <w:numFmt w:val="bullet"/>
      <w:lvlText w:val="•"/>
      <w:lvlJc w:val="left"/>
      <w:pPr>
        <w:ind w:left="7640" w:hanging="241"/>
      </w:pPr>
      <w:rPr>
        <w:rFonts w:hint="default"/>
        <w:lang w:val="en-US" w:eastAsia="en-US" w:bidi="ar-SA"/>
      </w:rPr>
    </w:lvl>
    <w:lvl w:ilvl="8">
      <w:start w:val="0"/>
      <w:numFmt w:val="bullet"/>
      <w:lvlText w:val="•"/>
      <w:lvlJc w:val="left"/>
      <w:pPr>
        <w:ind w:left="8640" w:hanging="241"/>
      </w:pPr>
      <w:rPr>
        <w:rFonts w:hint="default"/>
        <w:lang w:val="en-US" w:eastAsia="en-US" w:bidi="ar-SA"/>
      </w:rPr>
    </w:lvl>
  </w:abstractNum>
  <w:abstractNum w:abstractNumId="11">
    <w:multiLevelType w:val="hybridMultilevel"/>
    <w:lvl w:ilvl="0">
      <w:start w:val="1"/>
      <w:numFmt w:val="lowerLetter"/>
      <w:lvlText w:val="(%1)"/>
      <w:lvlJc w:val="left"/>
      <w:pPr>
        <w:ind w:left="42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588" w:hanging="240"/>
      </w:pPr>
      <w:rPr>
        <w:rFonts w:hint="default"/>
        <w:lang w:val="en-US" w:eastAsia="en-US" w:bidi="ar-SA"/>
      </w:rPr>
    </w:lvl>
    <w:lvl w:ilvl="2">
      <w:start w:val="0"/>
      <w:numFmt w:val="bullet"/>
      <w:lvlText w:val="•"/>
      <w:lvlJc w:val="left"/>
      <w:pPr>
        <w:ind w:left="756" w:hanging="240"/>
      </w:pPr>
      <w:rPr>
        <w:rFonts w:hint="default"/>
        <w:lang w:val="en-US" w:eastAsia="en-US" w:bidi="ar-SA"/>
      </w:rPr>
    </w:lvl>
    <w:lvl w:ilvl="3">
      <w:start w:val="0"/>
      <w:numFmt w:val="bullet"/>
      <w:lvlText w:val="•"/>
      <w:lvlJc w:val="left"/>
      <w:pPr>
        <w:ind w:left="924" w:hanging="240"/>
      </w:pPr>
      <w:rPr>
        <w:rFonts w:hint="default"/>
        <w:lang w:val="en-US" w:eastAsia="en-US" w:bidi="ar-SA"/>
      </w:rPr>
    </w:lvl>
    <w:lvl w:ilvl="4">
      <w:start w:val="0"/>
      <w:numFmt w:val="bullet"/>
      <w:lvlText w:val="•"/>
      <w:lvlJc w:val="left"/>
      <w:pPr>
        <w:ind w:left="1092" w:hanging="240"/>
      </w:pPr>
      <w:rPr>
        <w:rFonts w:hint="default"/>
        <w:lang w:val="en-US" w:eastAsia="en-US" w:bidi="ar-SA"/>
      </w:rPr>
    </w:lvl>
    <w:lvl w:ilvl="5">
      <w:start w:val="0"/>
      <w:numFmt w:val="bullet"/>
      <w:lvlText w:val="•"/>
      <w:lvlJc w:val="left"/>
      <w:pPr>
        <w:ind w:left="1260" w:hanging="240"/>
      </w:pPr>
      <w:rPr>
        <w:rFonts w:hint="default"/>
        <w:lang w:val="en-US" w:eastAsia="en-US" w:bidi="ar-SA"/>
      </w:rPr>
    </w:lvl>
    <w:lvl w:ilvl="6">
      <w:start w:val="0"/>
      <w:numFmt w:val="bullet"/>
      <w:lvlText w:val="•"/>
      <w:lvlJc w:val="left"/>
      <w:pPr>
        <w:ind w:left="1428" w:hanging="240"/>
      </w:pPr>
      <w:rPr>
        <w:rFonts w:hint="default"/>
        <w:lang w:val="en-US" w:eastAsia="en-US" w:bidi="ar-SA"/>
      </w:rPr>
    </w:lvl>
    <w:lvl w:ilvl="7">
      <w:start w:val="0"/>
      <w:numFmt w:val="bullet"/>
      <w:lvlText w:val="•"/>
      <w:lvlJc w:val="left"/>
      <w:pPr>
        <w:ind w:left="1596" w:hanging="240"/>
      </w:pPr>
      <w:rPr>
        <w:rFonts w:hint="default"/>
        <w:lang w:val="en-US" w:eastAsia="en-US" w:bidi="ar-SA"/>
      </w:rPr>
    </w:lvl>
    <w:lvl w:ilvl="8">
      <w:start w:val="0"/>
      <w:numFmt w:val="bullet"/>
      <w:lvlText w:val="•"/>
      <w:lvlJc w:val="left"/>
      <w:pPr>
        <w:ind w:left="1764" w:hanging="240"/>
      </w:pPr>
      <w:rPr>
        <w:rFonts w:hint="default"/>
        <w:lang w:val="en-US" w:eastAsia="en-US" w:bidi="ar-SA"/>
      </w:rPr>
    </w:lvl>
  </w:abstractNum>
  <w:abstractNum w:abstractNumId="10">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1" w:hanging="240"/>
      </w:pPr>
      <w:rPr>
        <w:rFonts w:hint="default"/>
        <w:lang w:val="en-US" w:eastAsia="en-US" w:bidi="ar-SA"/>
      </w:rPr>
    </w:lvl>
    <w:lvl w:ilvl="2">
      <w:start w:val="0"/>
      <w:numFmt w:val="bullet"/>
      <w:lvlText w:val="•"/>
      <w:lvlJc w:val="left"/>
      <w:pPr>
        <w:ind w:left="1183" w:hanging="240"/>
      </w:pPr>
      <w:rPr>
        <w:rFonts w:hint="default"/>
        <w:lang w:val="en-US" w:eastAsia="en-US" w:bidi="ar-SA"/>
      </w:rPr>
    </w:lvl>
    <w:lvl w:ilvl="3">
      <w:start w:val="0"/>
      <w:numFmt w:val="bullet"/>
      <w:lvlText w:val="•"/>
      <w:lvlJc w:val="left"/>
      <w:pPr>
        <w:ind w:left="1564" w:hanging="240"/>
      </w:pPr>
      <w:rPr>
        <w:rFonts w:hint="default"/>
        <w:lang w:val="en-US" w:eastAsia="en-US" w:bidi="ar-SA"/>
      </w:rPr>
    </w:lvl>
    <w:lvl w:ilvl="4">
      <w:start w:val="0"/>
      <w:numFmt w:val="bullet"/>
      <w:lvlText w:val="•"/>
      <w:lvlJc w:val="left"/>
      <w:pPr>
        <w:ind w:left="1946" w:hanging="240"/>
      </w:pPr>
      <w:rPr>
        <w:rFonts w:hint="default"/>
        <w:lang w:val="en-US" w:eastAsia="en-US" w:bidi="ar-SA"/>
      </w:rPr>
    </w:lvl>
    <w:lvl w:ilvl="5">
      <w:start w:val="0"/>
      <w:numFmt w:val="bullet"/>
      <w:lvlText w:val="•"/>
      <w:lvlJc w:val="left"/>
      <w:pPr>
        <w:ind w:left="2328" w:hanging="240"/>
      </w:pPr>
      <w:rPr>
        <w:rFonts w:hint="default"/>
        <w:lang w:val="en-US" w:eastAsia="en-US" w:bidi="ar-SA"/>
      </w:rPr>
    </w:lvl>
    <w:lvl w:ilvl="6">
      <w:start w:val="0"/>
      <w:numFmt w:val="bullet"/>
      <w:lvlText w:val="•"/>
      <w:lvlJc w:val="left"/>
      <w:pPr>
        <w:ind w:left="2709" w:hanging="240"/>
      </w:pPr>
      <w:rPr>
        <w:rFonts w:hint="default"/>
        <w:lang w:val="en-US" w:eastAsia="en-US" w:bidi="ar-SA"/>
      </w:rPr>
    </w:lvl>
    <w:lvl w:ilvl="7">
      <w:start w:val="0"/>
      <w:numFmt w:val="bullet"/>
      <w:lvlText w:val="•"/>
      <w:lvlJc w:val="left"/>
      <w:pPr>
        <w:ind w:left="3091" w:hanging="240"/>
      </w:pPr>
      <w:rPr>
        <w:rFonts w:hint="default"/>
        <w:lang w:val="en-US" w:eastAsia="en-US" w:bidi="ar-SA"/>
      </w:rPr>
    </w:lvl>
    <w:lvl w:ilvl="8">
      <w:start w:val="0"/>
      <w:numFmt w:val="bullet"/>
      <w:lvlText w:val="•"/>
      <w:lvlJc w:val="left"/>
      <w:pPr>
        <w:ind w:left="3473" w:hanging="240"/>
      </w:pPr>
      <w:rPr>
        <w:rFonts w:hint="default"/>
        <w:lang w:val="en-US" w:eastAsia="en-US" w:bidi="ar-SA"/>
      </w:rPr>
    </w:lvl>
  </w:abstractNum>
  <w:abstractNum w:abstractNumId="9">
    <w:multiLevelType w:val="hybridMultilevel"/>
    <w:lvl w:ilvl="0">
      <w:start w:val="1"/>
      <w:numFmt w:val="decimal"/>
      <w:lvlText w:val="(%1)"/>
      <w:lvlJc w:val="left"/>
      <w:pPr>
        <w:ind w:left="436"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lowerLetter"/>
      <w:lvlText w:val="(%2)"/>
      <w:lvlJc w:val="left"/>
      <w:pPr>
        <w:ind w:left="431" w:hanging="240"/>
        <w:jc w:val="left"/>
      </w:pPr>
      <w:rPr>
        <w:rFonts w:hint="default" w:ascii="Times New Roman" w:hAnsi="Times New Roman" w:eastAsia="Times New Roman" w:cs="Times New Roman"/>
        <w:spacing w:val="-14"/>
        <w:w w:val="100"/>
        <w:sz w:val="12"/>
        <w:szCs w:val="12"/>
        <w:lang w:val="en-US" w:eastAsia="en-US" w:bidi="ar-SA"/>
      </w:rPr>
    </w:lvl>
    <w:lvl w:ilvl="2">
      <w:start w:val="0"/>
      <w:numFmt w:val="bullet"/>
      <w:lvlText w:val="•"/>
      <w:lvlJc w:val="left"/>
      <w:pPr>
        <w:ind w:left="283" w:hanging="240"/>
      </w:pPr>
      <w:rPr>
        <w:rFonts w:hint="default"/>
        <w:lang w:val="en-US" w:eastAsia="en-US" w:bidi="ar-SA"/>
      </w:rPr>
    </w:lvl>
    <w:lvl w:ilvl="3">
      <w:start w:val="0"/>
      <w:numFmt w:val="bullet"/>
      <w:lvlText w:val="•"/>
      <w:lvlJc w:val="left"/>
      <w:pPr>
        <w:ind w:left="205" w:hanging="240"/>
      </w:pPr>
      <w:rPr>
        <w:rFonts w:hint="default"/>
        <w:lang w:val="en-US" w:eastAsia="en-US" w:bidi="ar-SA"/>
      </w:rPr>
    </w:lvl>
    <w:lvl w:ilvl="4">
      <w:start w:val="0"/>
      <w:numFmt w:val="bullet"/>
      <w:lvlText w:val="•"/>
      <w:lvlJc w:val="left"/>
      <w:pPr>
        <w:ind w:left="127" w:hanging="240"/>
      </w:pPr>
      <w:rPr>
        <w:rFonts w:hint="default"/>
        <w:lang w:val="en-US" w:eastAsia="en-US" w:bidi="ar-SA"/>
      </w:rPr>
    </w:lvl>
    <w:lvl w:ilvl="5">
      <w:start w:val="0"/>
      <w:numFmt w:val="bullet"/>
      <w:lvlText w:val="•"/>
      <w:lvlJc w:val="left"/>
      <w:pPr>
        <w:ind w:left="48" w:hanging="240"/>
      </w:pPr>
      <w:rPr>
        <w:rFonts w:hint="default"/>
        <w:lang w:val="en-US" w:eastAsia="en-US" w:bidi="ar-SA"/>
      </w:rPr>
    </w:lvl>
    <w:lvl w:ilvl="6">
      <w:start w:val="0"/>
      <w:numFmt w:val="bullet"/>
      <w:lvlText w:val="•"/>
      <w:lvlJc w:val="left"/>
      <w:pPr>
        <w:ind w:left="-30" w:hanging="240"/>
      </w:pPr>
      <w:rPr>
        <w:rFonts w:hint="default"/>
        <w:lang w:val="en-US" w:eastAsia="en-US" w:bidi="ar-SA"/>
      </w:rPr>
    </w:lvl>
    <w:lvl w:ilvl="7">
      <w:start w:val="0"/>
      <w:numFmt w:val="bullet"/>
      <w:lvlText w:val="•"/>
      <w:lvlJc w:val="left"/>
      <w:pPr>
        <w:ind w:left="-108" w:hanging="240"/>
      </w:pPr>
      <w:rPr>
        <w:rFonts w:hint="default"/>
        <w:lang w:val="en-US" w:eastAsia="en-US" w:bidi="ar-SA"/>
      </w:rPr>
    </w:lvl>
    <w:lvl w:ilvl="8">
      <w:start w:val="0"/>
      <w:numFmt w:val="bullet"/>
      <w:lvlText w:val="•"/>
      <w:lvlJc w:val="left"/>
      <w:pPr>
        <w:ind w:left="-186" w:hanging="240"/>
      </w:pPr>
      <w:rPr>
        <w:rFonts w:hint="default"/>
        <w:lang w:val="en-US" w:eastAsia="en-US" w:bidi="ar-SA"/>
      </w:rPr>
    </w:lvl>
  </w:abstractNum>
  <w:abstractNum w:abstractNumId="8">
    <w:multiLevelType w:val="hybridMultilevel"/>
    <w:lvl w:ilvl="0">
      <w:start w:val="2"/>
      <w:numFmt w:val="decimal"/>
      <w:lvlText w:val="%1"/>
      <w:lvlJc w:val="left"/>
      <w:pPr>
        <w:ind w:left="3396" w:hanging="3208"/>
        <w:jc w:val="left"/>
      </w:pPr>
      <w:rPr>
        <w:rFonts w:hint="default"/>
        <w:lang w:val="en-US" w:eastAsia="en-US" w:bidi="ar-SA"/>
      </w:rPr>
    </w:lvl>
    <w:lvl w:ilvl="1">
      <w:start w:val="1"/>
      <w:numFmt w:val="decimal"/>
      <w:lvlText w:val="%1.%2"/>
      <w:lvlJc w:val="left"/>
      <w:pPr>
        <w:ind w:left="3396" w:hanging="3208"/>
        <w:jc w:val="left"/>
      </w:pPr>
      <w:rPr>
        <w:rFonts w:hint="default"/>
        <w:b/>
        <w:bCs/>
        <w:spacing w:val="-5"/>
        <w:w w:val="100"/>
        <w:lang w:val="en-US" w:eastAsia="en-US" w:bidi="ar-SA"/>
      </w:rPr>
    </w:lvl>
    <w:lvl w:ilvl="2">
      <w:start w:val="1"/>
      <w:numFmt w:val="decimal"/>
      <w:lvlText w:val="(%3)"/>
      <w:lvlJc w:val="left"/>
      <w:pPr>
        <w:ind w:left="654" w:hanging="241"/>
        <w:jc w:val="left"/>
      </w:pPr>
      <w:rPr>
        <w:rFonts w:hint="default" w:ascii="Times New Roman" w:hAnsi="Times New Roman" w:eastAsia="Times New Roman" w:cs="Times New Roman"/>
        <w:spacing w:val="-1"/>
        <w:w w:val="100"/>
        <w:sz w:val="16"/>
        <w:szCs w:val="16"/>
        <w:lang w:val="en-US" w:eastAsia="en-US" w:bidi="ar-SA"/>
      </w:rPr>
    </w:lvl>
    <w:lvl w:ilvl="3">
      <w:start w:val="0"/>
      <w:numFmt w:val="bullet"/>
      <w:lvlText w:val="•"/>
      <w:lvlJc w:val="left"/>
      <w:pPr>
        <w:ind w:left="2704" w:hanging="241"/>
      </w:pPr>
      <w:rPr>
        <w:rFonts w:hint="default"/>
        <w:lang w:val="en-US" w:eastAsia="en-US" w:bidi="ar-SA"/>
      </w:rPr>
    </w:lvl>
    <w:lvl w:ilvl="4">
      <w:start w:val="0"/>
      <w:numFmt w:val="bullet"/>
      <w:lvlText w:val="•"/>
      <w:lvlJc w:val="left"/>
      <w:pPr>
        <w:ind w:left="2356" w:hanging="241"/>
      </w:pPr>
      <w:rPr>
        <w:rFonts w:hint="default"/>
        <w:lang w:val="en-US" w:eastAsia="en-US" w:bidi="ar-SA"/>
      </w:rPr>
    </w:lvl>
    <w:lvl w:ilvl="5">
      <w:start w:val="0"/>
      <w:numFmt w:val="bullet"/>
      <w:lvlText w:val="•"/>
      <w:lvlJc w:val="left"/>
      <w:pPr>
        <w:ind w:left="2008" w:hanging="241"/>
      </w:pPr>
      <w:rPr>
        <w:rFonts w:hint="default"/>
        <w:lang w:val="en-US" w:eastAsia="en-US" w:bidi="ar-SA"/>
      </w:rPr>
    </w:lvl>
    <w:lvl w:ilvl="6">
      <w:start w:val="0"/>
      <w:numFmt w:val="bullet"/>
      <w:lvlText w:val="•"/>
      <w:lvlJc w:val="left"/>
      <w:pPr>
        <w:ind w:left="1660" w:hanging="241"/>
      </w:pPr>
      <w:rPr>
        <w:rFonts w:hint="default"/>
        <w:lang w:val="en-US" w:eastAsia="en-US" w:bidi="ar-SA"/>
      </w:rPr>
    </w:lvl>
    <w:lvl w:ilvl="7">
      <w:start w:val="0"/>
      <w:numFmt w:val="bullet"/>
      <w:lvlText w:val="•"/>
      <w:lvlJc w:val="left"/>
      <w:pPr>
        <w:ind w:left="1312" w:hanging="241"/>
      </w:pPr>
      <w:rPr>
        <w:rFonts w:hint="default"/>
        <w:lang w:val="en-US" w:eastAsia="en-US" w:bidi="ar-SA"/>
      </w:rPr>
    </w:lvl>
    <w:lvl w:ilvl="8">
      <w:start w:val="0"/>
      <w:numFmt w:val="bullet"/>
      <w:lvlText w:val="•"/>
      <w:lvlJc w:val="left"/>
      <w:pPr>
        <w:ind w:left="964" w:hanging="241"/>
      </w:pPr>
      <w:rPr>
        <w:rFonts w:hint="default"/>
        <w:lang w:val="en-US" w:eastAsia="en-US" w:bidi="ar-SA"/>
      </w:rPr>
    </w:lvl>
  </w:abstractNum>
  <w:abstractNum w:abstractNumId="7">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84" w:hanging="240"/>
      </w:pPr>
      <w:rPr>
        <w:rFonts w:hint="default"/>
        <w:lang w:val="en-US" w:eastAsia="en-US" w:bidi="ar-SA"/>
      </w:rPr>
    </w:lvl>
    <w:lvl w:ilvl="2">
      <w:start w:val="0"/>
      <w:numFmt w:val="bullet"/>
      <w:lvlText w:val="•"/>
      <w:lvlJc w:val="left"/>
      <w:pPr>
        <w:ind w:left="1149" w:hanging="240"/>
      </w:pPr>
      <w:rPr>
        <w:rFonts w:hint="default"/>
        <w:lang w:val="en-US" w:eastAsia="en-US" w:bidi="ar-SA"/>
      </w:rPr>
    </w:lvl>
    <w:lvl w:ilvl="3">
      <w:start w:val="0"/>
      <w:numFmt w:val="bullet"/>
      <w:lvlText w:val="•"/>
      <w:lvlJc w:val="left"/>
      <w:pPr>
        <w:ind w:left="1513" w:hanging="240"/>
      </w:pPr>
      <w:rPr>
        <w:rFonts w:hint="default"/>
        <w:lang w:val="en-US" w:eastAsia="en-US" w:bidi="ar-SA"/>
      </w:rPr>
    </w:lvl>
    <w:lvl w:ilvl="4">
      <w:start w:val="0"/>
      <w:numFmt w:val="bullet"/>
      <w:lvlText w:val="•"/>
      <w:lvlJc w:val="left"/>
      <w:pPr>
        <w:ind w:left="1878" w:hanging="240"/>
      </w:pPr>
      <w:rPr>
        <w:rFonts w:hint="default"/>
        <w:lang w:val="en-US" w:eastAsia="en-US" w:bidi="ar-SA"/>
      </w:rPr>
    </w:lvl>
    <w:lvl w:ilvl="5">
      <w:start w:val="0"/>
      <w:numFmt w:val="bullet"/>
      <w:lvlText w:val="•"/>
      <w:lvlJc w:val="left"/>
      <w:pPr>
        <w:ind w:left="2242" w:hanging="240"/>
      </w:pPr>
      <w:rPr>
        <w:rFonts w:hint="default"/>
        <w:lang w:val="en-US" w:eastAsia="en-US" w:bidi="ar-SA"/>
      </w:rPr>
    </w:lvl>
    <w:lvl w:ilvl="6">
      <w:start w:val="0"/>
      <w:numFmt w:val="bullet"/>
      <w:lvlText w:val="•"/>
      <w:lvlJc w:val="left"/>
      <w:pPr>
        <w:ind w:left="2607" w:hanging="240"/>
      </w:pPr>
      <w:rPr>
        <w:rFonts w:hint="default"/>
        <w:lang w:val="en-US" w:eastAsia="en-US" w:bidi="ar-SA"/>
      </w:rPr>
    </w:lvl>
    <w:lvl w:ilvl="7">
      <w:start w:val="0"/>
      <w:numFmt w:val="bullet"/>
      <w:lvlText w:val="•"/>
      <w:lvlJc w:val="left"/>
      <w:pPr>
        <w:ind w:left="2971" w:hanging="240"/>
      </w:pPr>
      <w:rPr>
        <w:rFonts w:hint="default"/>
        <w:lang w:val="en-US" w:eastAsia="en-US" w:bidi="ar-SA"/>
      </w:rPr>
    </w:lvl>
    <w:lvl w:ilvl="8">
      <w:start w:val="0"/>
      <w:numFmt w:val="bullet"/>
      <w:lvlText w:val="•"/>
      <w:lvlJc w:val="left"/>
      <w:pPr>
        <w:ind w:left="3336" w:hanging="240"/>
      </w:pPr>
      <w:rPr>
        <w:rFonts w:hint="default"/>
        <w:lang w:val="en-US" w:eastAsia="en-US" w:bidi="ar-SA"/>
      </w:rPr>
    </w:lvl>
  </w:abstractNum>
  <w:abstractNum w:abstractNumId="6">
    <w:multiLevelType w:val="hybridMultilevel"/>
    <w:lvl w:ilvl="0">
      <w:start w:val="1"/>
      <w:numFmt w:val="lowerLetter"/>
      <w:lvlText w:val="(%1)"/>
      <w:lvlJc w:val="left"/>
      <w:pPr>
        <w:ind w:left="23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652" w:hanging="240"/>
      </w:pPr>
      <w:rPr>
        <w:rFonts w:hint="default"/>
        <w:lang w:val="en-US" w:eastAsia="en-US" w:bidi="ar-SA"/>
      </w:rPr>
    </w:lvl>
    <w:lvl w:ilvl="2">
      <w:start w:val="0"/>
      <w:numFmt w:val="bullet"/>
      <w:lvlText w:val="•"/>
      <w:lvlJc w:val="left"/>
      <w:pPr>
        <w:ind w:left="1065" w:hanging="240"/>
      </w:pPr>
      <w:rPr>
        <w:rFonts w:hint="default"/>
        <w:lang w:val="en-US" w:eastAsia="en-US" w:bidi="ar-SA"/>
      </w:rPr>
    </w:lvl>
    <w:lvl w:ilvl="3">
      <w:start w:val="0"/>
      <w:numFmt w:val="bullet"/>
      <w:lvlText w:val="•"/>
      <w:lvlJc w:val="left"/>
      <w:pPr>
        <w:ind w:left="1477" w:hanging="240"/>
      </w:pPr>
      <w:rPr>
        <w:rFonts w:hint="default"/>
        <w:lang w:val="en-US" w:eastAsia="en-US" w:bidi="ar-SA"/>
      </w:rPr>
    </w:lvl>
    <w:lvl w:ilvl="4">
      <w:start w:val="0"/>
      <w:numFmt w:val="bullet"/>
      <w:lvlText w:val="•"/>
      <w:lvlJc w:val="left"/>
      <w:pPr>
        <w:ind w:left="1890" w:hanging="240"/>
      </w:pPr>
      <w:rPr>
        <w:rFonts w:hint="default"/>
        <w:lang w:val="en-US" w:eastAsia="en-US" w:bidi="ar-SA"/>
      </w:rPr>
    </w:lvl>
    <w:lvl w:ilvl="5">
      <w:start w:val="0"/>
      <w:numFmt w:val="bullet"/>
      <w:lvlText w:val="•"/>
      <w:lvlJc w:val="left"/>
      <w:pPr>
        <w:ind w:left="2302" w:hanging="240"/>
      </w:pPr>
      <w:rPr>
        <w:rFonts w:hint="default"/>
        <w:lang w:val="en-US" w:eastAsia="en-US" w:bidi="ar-SA"/>
      </w:rPr>
    </w:lvl>
    <w:lvl w:ilvl="6">
      <w:start w:val="0"/>
      <w:numFmt w:val="bullet"/>
      <w:lvlText w:val="•"/>
      <w:lvlJc w:val="left"/>
      <w:pPr>
        <w:ind w:left="2715" w:hanging="240"/>
      </w:pPr>
      <w:rPr>
        <w:rFonts w:hint="default"/>
        <w:lang w:val="en-US" w:eastAsia="en-US" w:bidi="ar-SA"/>
      </w:rPr>
    </w:lvl>
    <w:lvl w:ilvl="7">
      <w:start w:val="0"/>
      <w:numFmt w:val="bullet"/>
      <w:lvlText w:val="•"/>
      <w:lvlJc w:val="left"/>
      <w:pPr>
        <w:ind w:left="3128" w:hanging="240"/>
      </w:pPr>
      <w:rPr>
        <w:rFonts w:hint="default"/>
        <w:lang w:val="en-US" w:eastAsia="en-US" w:bidi="ar-SA"/>
      </w:rPr>
    </w:lvl>
    <w:lvl w:ilvl="8">
      <w:start w:val="0"/>
      <w:numFmt w:val="bullet"/>
      <w:lvlText w:val="•"/>
      <w:lvlJc w:val="left"/>
      <w:pPr>
        <w:ind w:left="3540" w:hanging="240"/>
      </w:pPr>
      <w:rPr>
        <w:rFonts w:hint="default"/>
        <w:lang w:val="en-US" w:eastAsia="en-US" w:bidi="ar-SA"/>
      </w:rPr>
    </w:lvl>
  </w:abstractNum>
  <w:abstractNum w:abstractNumId="5">
    <w:multiLevelType w:val="hybridMultilevel"/>
    <w:lvl w:ilvl="0">
      <w:start w:val="1"/>
      <w:numFmt w:val="lowerLetter"/>
      <w:lvlText w:val="(%1)"/>
      <w:lvlJc w:val="left"/>
      <w:pPr>
        <w:ind w:left="425" w:hanging="240"/>
        <w:jc w:val="righ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7" w:hanging="240"/>
      </w:pPr>
      <w:rPr>
        <w:rFonts w:hint="default"/>
        <w:lang w:val="en-US" w:eastAsia="en-US" w:bidi="ar-SA"/>
      </w:rPr>
    </w:lvl>
    <w:lvl w:ilvl="2">
      <w:start w:val="0"/>
      <w:numFmt w:val="bullet"/>
      <w:lvlText w:val="•"/>
      <w:lvlJc w:val="left"/>
      <w:pPr>
        <w:ind w:left="1075" w:hanging="240"/>
      </w:pPr>
      <w:rPr>
        <w:rFonts w:hint="default"/>
        <w:lang w:val="en-US" w:eastAsia="en-US" w:bidi="ar-SA"/>
      </w:rPr>
    </w:lvl>
    <w:lvl w:ilvl="3">
      <w:start w:val="0"/>
      <w:numFmt w:val="bullet"/>
      <w:lvlText w:val="•"/>
      <w:lvlJc w:val="left"/>
      <w:pPr>
        <w:ind w:left="1402" w:hanging="240"/>
      </w:pPr>
      <w:rPr>
        <w:rFonts w:hint="default"/>
        <w:lang w:val="en-US" w:eastAsia="en-US" w:bidi="ar-SA"/>
      </w:rPr>
    </w:lvl>
    <w:lvl w:ilvl="4">
      <w:start w:val="0"/>
      <w:numFmt w:val="bullet"/>
      <w:lvlText w:val="•"/>
      <w:lvlJc w:val="left"/>
      <w:pPr>
        <w:ind w:left="1730" w:hanging="240"/>
      </w:pPr>
      <w:rPr>
        <w:rFonts w:hint="default"/>
        <w:lang w:val="en-US" w:eastAsia="en-US" w:bidi="ar-SA"/>
      </w:rPr>
    </w:lvl>
    <w:lvl w:ilvl="5">
      <w:start w:val="0"/>
      <w:numFmt w:val="bullet"/>
      <w:lvlText w:val="•"/>
      <w:lvlJc w:val="left"/>
      <w:pPr>
        <w:ind w:left="2057" w:hanging="240"/>
      </w:pPr>
      <w:rPr>
        <w:rFonts w:hint="default"/>
        <w:lang w:val="en-US" w:eastAsia="en-US" w:bidi="ar-SA"/>
      </w:rPr>
    </w:lvl>
    <w:lvl w:ilvl="6">
      <w:start w:val="0"/>
      <w:numFmt w:val="bullet"/>
      <w:lvlText w:val="•"/>
      <w:lvlJc w:val="left"/>
      <w:pPr>
        <w:ind w:left="2385" w:hanging="240"/>
      </w:pPr>
      <w:rPr>
        <w:rFonts w:hint="default"/>
        <w:lang w:val="en-US" w:eastAsia="en-US" w:bidi="ar-SA"/>
      </w:rPr>
    </w:lvl>
    <w:lvl w:ilvl="7">
      <w:start w:val="0"/>
      <w:numFmt w:val="bullet"/>
      <w:lvlText w:val="•"/>
      <w:lvlJc w:val="left"/>
      <w:pPr>
        <w:ind w:left="2712" w:hanging="240"/>
      </w:pPr>
      <w:rPr>
        <w:rFonts w:hint="default"/>
        <w:lang w:val="en-US" w:eastAsia="en-US" w:bidi="ar-SA"/>
      </w:rPr>
    </w:lvl>
    <w:lvl w:ilvl="8">
      <w:start w:val="0"/>
      <w:numFmt w:val="bullet"/>
      <w:lvlText w:val="•"/>
      <w:lvlJc w:val="left"/>
      <w:pPr>
        <w:ind w:left="3040" w:hanging="240"/>
      </w:pPr>
      <w:rPr>
        <w:rFonts w:hint="default"/>
        <w:lang w:val="en-US" w:eastAsia="en-US" w:bidi="ar-SA"/>
      </w:rPr>
    </w:lvl>
  </w:abstractNum>
  <w:abstractNum w:abstractNumId="4">
    <w:multiLevelType w:val="hybridMultilevel"/>
    <w:lvl w:ilvl="0">
      <w:start w:val="1"/>
      <w:numFmt w:val="decimal"/>
      <w:lvlText w:val="(%1)"/>
      <w:lvlJc w:val="left"/>
      <w:pPr>
        <w:ind w:left="493" w:hanging="241"/>
        <w:jc w:val="left"/>
      </w:pPr>
      <w:rPr>
        <w:rFonts w:hint="default" w:ascii="Times New Roman" w:hAnsi="Times New Roman" w:eastAsia="Times New Roman" w:cs="Times New Roman"/>
        <w:w w:val="100"/>
        <w:sz w:val="16"/>
        <w:szCs w:val="16"/>
        <w:lang w:val="en-US" w:eastAsia="en-US" w:bidi="ar-SA"/>
      </w:rPr>
    </w:lvl>
    <w:lvl w:ilvl="1">
      <w:start w:val="1"/>
      <w:numFmt w:val="lowerLetter"/>
      <w:lvlText w:val="(%2)"/>
      <w:lvlJc w:val="left"/>
      <w:pPr>
        <w:ind w:left="450" w:hanging="240"/>
        <w:jc w:val="left"/>
      </w:pPr>
      <w:rPr>
        <w:rFonts w:hint="default" w:ascii="Times New Roman" w:hAnsi="Times New Roman" w:eastAsia="Times New Roman" w:cs="Times New Roman"/>
        <w:spacing w:val="-14"/>
        <w:w w:val="100"/>
        <w:sz w:val="12"/>
        <w:szCs w:val="12"/>
        <w:lang w:val="en-US" w:eastAsia="en-US" w:bidi="ar-SA"/>
      </w:rPr>
    </w:lvl>
    <w:lvl w:ilvl="2">
      <w:start w:val="0"/>
      <w:numFmt w:val="bullet"/>
      <w:lvlText w:val="•"/>
      <w:lvlJc w:val="left"/>
      <w:pPr>
        <w:ind w:left="367" w:hanging="240"/>
      </w:pPr>
      <w:rPr>
        <w:rFonts w:hint="default"/>
        <w:lang w:val="en-US" w:eastAsia="en-US" w:bidi="ar-SA"/>
      </w:rPr>
    </w:lvl>
    <w:lvl w:ilvl="3">
      <w:start w:val="0"/>
      <w:numFmt w:val="bullet"/>
      <w:lvlText w:val="•"/>
      <w:lvlJc w:val="left"/>
      <w:pPr>
        <w:ind w:left="235" w:hanging="240"/>
      </w:pPr>
      <w:rPr>
        <w:rFonts w:hint="default"/>
        <w:lang w:val="en-US" w:eastAsia="en-US" w:bidi="ar-SA"/>
      </w:rPr>
    </w:lvl>
    <w:lvl w:ilvl="4">
      <w:start w:val="0"/>
      <w:numFmt w:val="bullet"/>
      <w:lvlText w:val="•"/>
      <w:lvlJc w:val="left"/>
      <w:pPr>
        <w:ind w:left="103" w:hanging="240"/>
      </w:pPr>
      <w:rPr>
        <w:rFonts w:hint="default"/>
        <w:lang w:val="en-US" w:eastAsia="en-US" w:bidi="ar-SA"/>
      </w:rPr>
    </w:lvl>
    <w:lvl w:ilvl="5">
      <w:start w:val="0"/>
      <w:numFmt w:val="bullet"/>
      <w:lvlText w:val="•"/>
      <w:lvlJc w:val="left"/>
      <w:pPr>
        <w:ind w:left="-29" w:hanging="240"/>
      </w:pPr>
      <w:rPr>
        <w:rFonts w:hint="default"/>
        <w:lang w:val="en-US" w:eastAsia="en-US" w:bidi="ar-SA"/>
      </w:rPr>
    </w:lvl>
    <w:lvl w:ilvl="6">
      <w:start w:val="0"/>
      <w:numFmt w:val="bullet"/>
      <w:lvlText w:val="•"/>
      <w:lvlJc w:val="left"/>
      <w:pPr>
        <w:ind w:left="-161" w:hanging="240"/>
      </w:pPr>
      <w:rPr>
        <w:rFonts w:hint="default"/>
        <w:lang w:val="en-US" w:eastAsia="en-US" w:bidi="ar-SA"/>
      </w:rPr>
    </w:lvl>
    <w:lvl w:ilvl="7">
      <w:start w:val="0"/>
      <w:numFmt w:val="bullet"/>
      <w:lvlText w:val="•"/>
      <w:lvlJc w:val="left"/>
      <w:pPr>
        <w:ind w:left="-293" w:hanging="240"/>
      </w:pPr>
      <w:rPr>
        <w:rFonts w:hint="default"/>
        <w:lang w:val="en-US" w:eastAsia="en-US" w:bidi="ar-SA"/>
      </w:rPr>
    </w:lvl>
    <w:lvl w:ilvl="8">
      <w:start w:val="0"/>
      <w:numFmt w:val="bullet"/>
      <w:lvlText w:val="•"/>
      <w:lvlJc w:val="left"/>
      <w:pPr>
        <w:ind w:left="-425" w:hanging="240"/>
      </w:pPr>
      <w:rPr>
        <w:rFonts w:hint="default"/>
        <w:lang w:val="en-US" w:eastAsia="en-US" w:bidi="ar-SA"/>
      </w:rPr>
    </w:lvl>
  </w:abstractNum>
  <w:abstractNum w:abstractNumId="3">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5210" w:hanging="241"/>
        <w:jc w:val="left"/>
      </w:pPr>
      <w:rPr>
        <w:rFonts w:hint="default" w:ascii="Times New Roman" w:hAnsi="Times New Roman" w:eastAsia="Times New Roman" w:cs="Times New Roman"/>
        <w:w w:val="100"/>
        <w:sz w:val="16"/>
        <w:szCs w:val="16"/>
        <w:lang w:val="en-US" w:eastAsia="en-US" w:bidi="ar-SA"/>
      </w:rPr>
    </w:lvl>
    <w:lvl w:ilvl="2">
      <w:start w:val="0"/>
      <w:numFmt w:val="bullet"/>
      <w:lvlText w:val="•"/>
      <w:lvlJc w:val="left"/>
      <w:pPr>
        <w:ind w:left="5121" w:hanging="241"/>
      </w:pPr>
      <w:rPr>
        <w:rFonts w:hint="default"/>
        <w:lang w:val="en-US" w:eastAsia="en-US" w:bidi="ar-SA"/>
      </w:rPr>
    </w:lvl>
    <w:lvl w:ilvl="3">
      <w:start w:val="0"/>
      <w:numFmt w:val="bullet"/>
      <w:lvlText w:val="•"/>
      <w:lvlJc w:val="left"/>
      <w:pPr>
        <w:ind w:left="5022" w:hanging="241"/>
      </w:pPr>
      <w:rPr>
        <w:rFonts w:hint="default"/>
        <w:lang w:val="en-US" w:eastAsia="en-US" w:bidi="ar-SA"/>
      </w:rPr>
    </w:lvl>
    <w:lvl w:ilvl="4">
      <w:start w:val="0"/>
      <w:numFmt w:val="bullet"/>
      <w:lvlText w:val="•"/>
      <w:lvlJc w:val="left"/>
      <w:pPr>
        <w:ind w:left="4923" w:hanging="241"/>
      </w:pPr>
      <w:rPr>
        <w:rFonts w:hint="default"/>
        <w:lang w:val="en-US" w:eastAsia="en-US" w:bidi="ar-SA"/>
      </w:rPr>
    </w:lvl>
    <w:lvl w:ilvl="5">
      <w:start w:val="0"/>
      <w:numFmt w:val="bullet"/>
      <w:lvlText w:val="•"/>
      <w:lvlJc w:val="left"/>
      <w:pPr>
        <w:ind w:left="4824" w:hanging="241"/>
      </w:pPr>
      <w:rPr>
        <w:rFonts w:hint="default"/>
        <w:lang w:val="en-US" w:eastAsia="en-US" w:bidi="ar-SA"/>
      </w:rPr>
    </w:lvl>
    <w:lvl w:ilvl="6">
      <w:start w:val="0"/>
      <w:numFmt w:val="bullet"/>
      <w:lvlText w:val="•"/>
      <w:lvlJc w:val="left"/>
      <w:pPr>
        <w:ind w:left="4725" w:hanging="241"/>
      </w:pPr>
      <w:rPr>
        <w:rFonts w:hint="default"/>
        <w:lang w:val="en-US" w:eastAsia="en-US" w:bidi="ar-SA"/>
      </w:rPr>
    </w:lvl>
    <w:lvl w:ilvl="7">
      <w:start w:val="0"/>
      <w:numFmt w:val="bullet"/>
      <w:lvlText w:val="•"/>
      <w:lvlJc w:val="left"/>
      <w:pPr>
        <w:ind w:left="4626" w:hanging="241"/>
      </w:pPr>
      <w:rPr>
        <w:rFonts w:hint="default"/>
        <w:lang w:val="en-US" w:eastAsia="en-US" w:bidi="ar-SA"/>
      </w:rPr>
    </w:lvl>
    <w:lvl w:ilvl="8">
      <w:start w:val="0"/>
      <w:numFmt w:val="bullet"/>
      <w:lvlText w:val="•"/>
      <w:lvlJc w:val="left"/>
      <w:pPr>
        <w:ind w:left="4527" w:hanging="241"/>
      </w:pPr>
      <w:rPr>
        <w:rFonts w:hint="default"/>
        <w:lang w:val="en-US" w:eastAsia="en-US" w:bidi="ar-SA"/>
      </w:rPr>
    </w:lvl>
  </w:abstractNum>
  <w:abstractNum w:abstractNumId="2">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1" w:hanging="240"/>
      </w:pPr>
      <w:rPr>
        <w:rFonts w:hint="default"/>
        <w:lang w:val="en-US" w:eastAsia="en-US" w:bidi="ar-SA"/>
      </w:rPr>
    </w:lvl>
    <w:lvl w:ilvl="2">
      <w:start w:val="0"/>
      <w:numFmt w:val="bullet"/>
      <w:lvlText w:val="•"/>
      <w:lvlJc w:val="left"/>
      <w:pPr>
        <w:ind w:left="1222" w:hanging="240"/>
      </w:pPr>
      <w:rPr>
        <w:rFonts w:hint="default"/>
        <w:lang w:val="en-US" w:eastAsia="en-US" w:bidi="ar-SA"/>
      </w:rPr>
    </w:lvl>
    <w:lvl w:ilvl="3">
      <w:start w:val="0"/>
      <w:numFmt w:val="bullet"/>
      <w:lvlText w:val="•"/>
      <w:lvlJc w:val="left"/>
      <w:pPr>
        <w:ind w:left="1623" w:hanging="240"/>
      </w:pPr>
      <w:rPr>
        <w:rFonts w:hint="default"/>
        <w:lang w:val="en-US" w:eastAsia="en-US" w:bidi="ar-SA"/>
      </w:rPr>
    </w:lvl>
    <w:lvl w:ilvl="4">
      <w:start w:val="0"/>
      <w:numFmt w:val="bullet"/>
      <w:lvlText w:val="•"/>
      <w:lvlJc w:val="left"/>
      <w:pPr>
        <w:ind w:left="2024" w:hanging="240"/>
      </w:pPr>
      <w:rPr>
        <w:rFonts w:hint="default"/>
        <w:lang w:val="en-US" w:eastAsia="en-US" w:bidi="ar-SA"/>
      </w:rPr>
    </w:lvl>
    <w:lvl w:ilvl="5">
      <w:start w:val="0"/>
      <w:numFmt w:val="bullet"/>
      <w:lvlText w:val="•"/>
      <w:lvlJc w:val="left"/>
      <w:pPr>
        <w:ind w:left="2425" w:hanging="240"/>
      </w:pPr>
      <w:rPr>
        <w:rFonts w:hint="default"/>
        <w:lang w:val="en-US" w:eastAsia="en-US" w:bidi="ar-SA"/>
      </w:rPr>
    </w:lvl>
    <w:lvl w:ilvl="6">
      <w:start w:val="0"/>
      <w:numFmt w:val="bullet"/>
      <w:lvlText w:val="•"/>
      <w:lvlJc w:val="left"/>
      <w:pPr>
        <w:ind w:left="2826" w:hanging="240"/>
      </w:pPr>
      <w:rPr>
        <w:rFonts w:hint="default"/>
        <w:lang w:val="en-US" w:eastAsia="en-US" w:bidi="ar-SA"/>
      </w:rPr>
    </w:lvl>
    <w:lvl w:ilvl="7">
      <w:start w:val="0"/>
      <w:numFmt w:val="bullet"/>
      <w:lvlText w:val="•"/>
      <w:lvlJc w:val="left"/>
      <w:pPr>
        <w:ind w:left="3227" w:hanging="240"/>
      </w:pPr>
      <w:rPr>
        <w:rFonts w:hint="default"/>
        <w:lang w:val="en-US" w:eastAsia="en-US" w:bidi="ar-SA"/>
      </w:rPr>
    </w:lvl>
    <w:lvl w:ilvl="8">
      <w:start w:val="0"/>
      <w:numFmt w:val="bullet"/>
      <w:lvlText w:val="•"/>
      <w:lvlJc w:val="left"/>
      <w:pPr>
        <w:ind w:left="3628" w:hanging="240"/>
      </w:pPr>
      <w:rPr>
        <w:rFonts w:hint="default"/>
        <w:lang w:val="en-US" w:eastAsia="en-US" w:bidi="ar-SA"/>
      </w:rPr>
    </w:lvl>
  </w:abstractNum>
  <w:abstractNum w:abstractNumId="1">
    <w:multiLevelType w:val="hybridMultilevel"/>
    <w:lvl w:ilvl="0">
      <w:start w:val="1"/>
      <w:numFmt w:val="lowerLetter"/>
      <w:lvlText w:val="(%1)"/>
      <w:lvlJc w:val="left"/>
      <w:pPr>
        <w:ind w:left="43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0" w:hanging="240"/>
      </w:pPr>
      <w:rPr>
        <w:rFonts w:hint="default"/>
        <w:lang w:val="en-US" w:eastAsia="en-US" w:bidi="ar-SA"/>
      </w:rPr>
    </w:lvl>
    <w:lvl w:ilvl="2">
      <w:start w:val="0"/>
      <w:numFmt w:val="bullet"/>
      <w:lvlText w:val="•"/>
      <w:lvlJc w:val="left"/>
      <w:pPr>
        <w:ind w:left="1040" w:hanging="240"/>
      </w:pPr>
      <w:rPr>
        <w:rFonts w:hint="default"/>
        <w:lang w:val="en-US" w:eastAsia="en-US" w:bidi="ar-SA"/>
      </w:rPr>
    </w:lvl>
    <w:lvl w:ilvl="3">
      <w:start w:val="0"/>
      <w:numFmt w:val="bullet"/>
      <w:lvlText w:val="•"/>
      <w:lvlJc w:val="left"/>
      <w:pPr>
        <w:ind w:left="1340" w:hanging="240"/>
      </w:pPr>
      <w:rPr>
        <w:rFonts w:hint="default"/>
        <w:lang w:val="en-US" w:eastAsia="en-US" w:bidi="ar-SA"/>
      </w:rPr>
    </w:lvl>
    <w:lvl w:ilvl="4">
      <w:start w:val="0"/>
      <w:numFmt w:val="bullet"/>
      <w:lvlText w:val="•"/>
      <w:lvlJc w:val="left"/>
      <w:pPr>
        <w:ind w:left="1641" w:hanging="240"/>
      </w:pPr>
      <w:rPr>
        <w:rFonts w:hint="default"/>
        <w:lang w:val="en-US" w:eastAsia="en-US" w:bidi="ar-SA"/>
      </w:rPr>
    </w:lvl>
    <w:lvl w:ilvl="5">
      <w:start w:val="0"/>
      <w:numFmt w:val="bullet"/>
      <w:lvlText w:val="•"/>
      <w:lvlJc w:val="left"/>
      <w:pPr>
        <w:ind w:left="1941" w:hanging="240"/>
      </w:pPr>
      <w:rPr>
        <w:rFonts w:hint="default"/>
        <w:lang w:val="en-US" w:eastAsia="en-US" w:bidi="ar-SA"/>
      </w:rPr>
    </w:lvl>
    <w:lvl w:ilvl="6">
      <w:start w:val="0"/>
      <w:numFmt w:val="bullet"/>
      <w:lvlText w:val="•"/>
      <w:lvlJc w:val="left"/>
      <w:pPr>
        <w:ind w:left="2241" w:hanging="240"/>
      </w:pPr>
      <w:rPr>
        <w:rFonts w:hint="default"/>
        <w:lang w:val="en-US" w:eastAsia="en-US" w:bidi="ar-SA"/>
      </w:rPr>
    </w:lvl>
    <w:lvl w:ilvl="7">
      <w:start w:val="0"/>
      <w:numFmt w:val="bullet"/>
      <w:lvlText w:val="•"/>
      <w:lvlJc w:val="left"/>
      <w:pPr>
        <w:ind w:left="2541" w:hanging="240"/>
      </w:pPr>
      <w:rPr>
        <w:rFonts w:hint="default"/>
        <w:lang w:val="en-US" w:eastAsia="en-US" w:bidi="ar-SA"/>
      </w:rPr>
    </w:lvl>
    <w:lvl w:ilvl="8">
      <w:start w:val="0"/>
      <w:numFmt w:val="bullet"/>
      <w:lvlText w:val="•"/>
      <w:lvlJc w:val="left"/>
      <w:pPr>
        <w:ind w:left="2841" w:hanging="240"/>
      </w:pPr>
      <w:rPr>
        <w:rFonts w:hint="default"/>
        <w:lang w:val="en-US" w:eastAsia="en-US" w:bidi="ar-SA"/>
      </w:rPr>
    </w:lvl>
  </w:abstractNum>
  <w:abstractNum w:abstractNumId="0">
    <w:multiLevelType w:val="hybridMultilevel"/>
    <w:lvl w:ilvl="0">
      <w:start w:val="1"/>
      <w:numFmt w:val="decimal"/>
      <w:lvlText w:val="%1"/>
      <w:lvlJc w:val="left"/>
      <w:pPr>
        <w:ind w:left="5389" w:hanging="380"/>
        <w:jc w:val="left"/>
      </w:pPr>
      <w:rPr>
        <w:rFonts w:hint="default" w:ascii="Times New Roman" w:hAnsi="Times New Roman" w:eastAsia="Times New Roman" w:cs="Times New Roman"/>
        <w:b/>
        <w:bCs/>
        <w:color w:val="0093C1"/>
        <w:spacing w:val="-6"/>
        <w:w w:val="100"/>
        <w:sz w:val="24"/>
        <w:szCs w:val="24"/>
        <w:lang w:val="en-US" w:eastAsia="en-US" w:bidi="ar-SA"/>
      </w:rPr>
    </w:lvl>
    <w:lvl w:ilvl="1">
      <w:start w:val="1"/>
      <w:numFmt w:val="decimal"/>
      <w:lvlText w:val="%1.%2"/>
      <w:lvlJc w:val="left"/>
      <w:pPr>
        <w:ind w:left="5949" w:hanging="560"/>
        <w:jc w:val="left"/>
      </w:pPr>
      <w:rPr>
        <w:rFonts w:hint="default" w:ascii="Times New Roman" w:hAnsi="Times New Roman" w:eastAsia="Times New Roman" w:cs="Times New Roman"/>
        <w:b/>
        <w:bCs/>
        <w:spacing w:val="-3"/>
        <w:w w:val="100"/>
        <w:sz w:val="24"/>
        <w:szCs w:val="24"/>
        <w:lang w:val="en-US" w:eastAsia="en-US" w:bidi="ar-SA"/>
      </w:rPr>
    </w:lvl>
    <w:lvl w:ilvl="2">
      <w:start w:val="0"/>
      <w:numFmt w:val="bullet"/>
      <w:lvlText w:val="•"/>
      <w:lvlJc w:val="left"/>
      <w:pPr>
        <w:ind w:left="6462" w:hanging="560"/>
      </w:pPr>
      <w:rPr>
        <w:rFonts w:hint="default"/>
        <w:lang w:val="en-US" w:eastAsia="en-US" w:bidi="ar-SA"/>
      </w:rPr>
    </w:lvl>
    <w:lvl w:ilvl="3">
      <w:start w:val="0"/>
      <w:numFmt w:val="bullet"/>
      <w:lvlText w:val="•"/>
      <w:lvlJc w:val="left"/>
      <w:pPr>
        <w:ind w:left="6984" w:hanging="560"/>
      </w:pPr>
      <w:rPr>
        <w:rFonts w:hint="default"/>
        <w:lang w:val="en-US" w:eastAsia="en-US" w:bidi="ar-SA"/>
      </w:rPr>
    </w:lvl>
    <w:lvl w:ilvl="4">
      <w:start w:val="0"/>
      <w:numFmt w:val="bullet"/>
      <w:lvlText w:val="•"/>
      <w:lvlJc w:val="left"/>
      <w:pPr>
        <w:ind w:left="7506" w:hanging="560"/>
      </w:pPr>
      <w:rPr>
        <w:rFonts w:hint="default"/>
        <w:lang w:val="en-US" w:eastAsia="en-US" w:bidi="ar-SA"/>
      </w:rPr>
    </w:lvl>
    <w:lvl w:ilvl="5">
      <w:start w:val="0"/>
      <w:numFmt w:val="bullet"/>
      <w:lvlText w:val="•"/>
      <w:lvlJc w:val="left"/>
      <w:pPr>
        <w:ind w:left="8028" w:hanging="560"/>
      </w:pPr>
      <w:rPr>
        <w:rFonts w:hint="default"/>
        <w:lang w:val="en-US" w:eastAsia="en-US" w:bidi="ar-SA"/>
      </w:rPr>
    </w:lvl>
    <w:lvl w:ilvl="6">
      <w:start w:val="0"/>
      <w:numFmt w:val="bullet"/>
      <w:lvlText w:val="•"/>
      <w:lvlJc w:val="left"/>
      <w:pPr>
        <w:ind w:left="8551" w:hanging="560"/>
      </w:pPr>
      <w:rPr>
        <w:rFonts w:hint="default"/>
        <w:lang w:val="en-US" w:eastAsia="en-US" w:bidi="ar-SA"/>
      </w:rPr>
    </w:lvl>
    <w:lvl w:ilvl="7">
      <w:start w:val="0"/>
      <w:numFmt w:val="bullet"/>
      <w:lvlText w:val="•"/>
      <w:lvlJc w:val="left"/>
      <w:pPr>
        <w:ind w:left="9073" w:hanging="560"/>
      </w:pPr>
      <w:rPr>
        <w:rFonts w:hint="default"/>
        <w:lang w:val="en-US" w:eastAsia="en-US" w:bidi="ar-SA"/>
      </w:rPr>
    </w:lvl>
    <w:lvl w:ilvl="8">
      <w:start w:val="0"/>
      <w:numFmt w:val="bullet"/>
      <w:lvlText w:val="•"/>
      <w:lvlJc w:val="left"/>
      <w:pPr>
        <w:ind w:left="9595" w:hanging="560"/>
      </w:pPr>
      <w:rPr>
        <w:rFonts w:hint="default"/>
        <w:lang w:val="en-US" w:eastAsia="en-US" w:bidi="ar-SA"/>
      </w:rPr>
    </w:lvl>
  </w:abstractNum>
  <w:num w:numId="37">
    <w:abstractNumId w:val="36"/>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4"/>
      <w:ind w:left="5000" w:hanging="381"/>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73"/>
      <w:ind w:left="5379" w:hanging="380"/>
    </w:pPr>
    <w:rPr>
      <w:rFonts w:ascii="Times New Roman" w:hAnsi="Times New Roman" w:eastAsia="Times New Roman" w:cs="Times New Roman"/>
      <w:b/>
      <w:bCs/>
      <w:i/>
      <w:lang w:val="en-US" w:eastAsia="en-US" w:bidi="ar-SA"/>
    </w:rPr>
  </w:style>
  <w:style w:styleId="TOC3" w:type="paragraph">
    <w:name w:val="TOC 3"/>
    <w:basedOn w:val="Normal"/>
    <w:uiPriority w:val="1"/>
    <w:qFormat/>
    <w:pPr>
      <w:spacing w:before="44"/>
      <w:ind w:left="5949" w:hanging="561"/>
    </w:pPr>
    <w:rPr>
      <w:rFonts w:ascii="Times New Roman" w:hAnsi="Times New Roman" w:eastAsia="Times New Roman" w:cs="Times New Roman"/>
      <w:b/>
      <w:bCs/>
      <w:sz w:val="24"/>
      <w:szCs w:val="24"/>
      <w:lang w:val="en-US" w:eastAsia="en-US" w:bidi="ar-SA"/>
    </w:rPr>
  </w:style>
  <w:style w:styleId="TOC4" w:type="paragraph">
    <w:name w:val="TOC 4"/>
    <w:basedOn w:val="Normal"/>
    <w:uiPriority w:val="1"/>
    <w:qFormat/>
    <w:pPr>
      <w:spacing w:before="44"/>
      <w:ind w:left="5940"/>
    </w:pPr>
    <w:rPr>
      <w:rFonts w:ascii="Times New Roman" w:hAnsi="Times New Roman" w:eastAsia="Times New Roman" w:cs="Times New Roman"/>
      <w:b/>
      <w:bC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spacing w:before="40"/>
      <w:ind w:left="260"/>
      <w:outlineLvl w:val="1"/>
    </w:pPr>
    <w:rPr>
      <w:rFonts w:ascii="Times New Roman" w:hAnsi="Times New Roman" w:eastAsia="Times New Roman" w:cs="Times New Roman"/>
      <w:b/>
      <w:bCs/>
      <w:sz w:val="48"/>
      <w:szCs w:val="48"/>
      <w:lang w:val="en-US" w:eastAsia="en-US" w:bidi="ar-SA"/>
    </w:rPr>
  </w:style>
  <w:style w:styleId="Heading2" w:type="paragraph">
    <w:name w:val="Heading 2"/>
    <w:basedOn w:val="Normal"/>
    <w:uiPriority w:val="1"/>
    <w:qFormat/>
    <w:pPr>
      <w:spacing w:before="86"/>
      <w:ind w:left="190"/>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94"/>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94"/>
      <w:outlineLvl w:val="4"/>
    </w:pPr>
    <w:rPr>
      <w:rFonts w:ascii="Times New Roman" w:hAnsi="Times New Roman" w:eastAsia="Times New Roman" w:cs="Times New Roman"/>
      <w:i/>
      <w:sz w:val="28"/>
      <w:szCs w:val="28"/>
      <w:lang w:val="en-US" w:eastAsia="en-US" w:bidi="ar-SA"/>
    </w:rPr>
  </w:style>
  <w:style w:styleId="Heading5" w:type="paragraph">
    <w:name w:val="Heading 5"/>
    <w:basedOn w:val="Normal"/>
    <w:uiPriority w:val="1"/>
    <w:qFormat/>
    <w:pPr>
      <w:ind w:left="589"/>
      <w:outlineLvl w:val="5"/>
    </w:pPr>
    <w:rPr>
      <w:rFonts w:ascii="Times New Roman" w:hAnsi="Times New Roman" w:eastAsia="Times New Roman" w:cs="Times New Roman"/>
      <w:b/>
      <w:bCs/>
      <w:sz w:val="24"/>
      <w:szCs w:val="24"/>
      <w:lang w:val="en-US" w:eastAsia="en-US" w:bidi="ar-SA"/>
    </w:rPr>
  </w:style>
  <w:style w:styleId="Heading6" w:type="paragraph">
    <w:name w:val="Heading 6"/>
    <w:basedOn w:val="Normal"/>
    <w:uiPriority w:val="1"/>
    <w:qFormat/>
    <w:pPr>
      <w:ind w:left="190"/>
      <w:outlineLvl w:val="6"/>
    </w:pPr>
    <w:rPr>
      <w:rFonts w:ascii="Times New Roman" w:hAnsi="Times New Roman" w:eastAsia="Times New Roman" w:cs="Times New Roman"/>
      <w:sz w:val="24"/>
      <w:szCs w:val="24"/>
      <w:lang w:val="en-US" w:eastAsia="en-US" w:bidi="ar-SA"/>
    </w:rPr>
  </w:style>
  <w:style w:styleId="Heading7" w:type="paragraph">
    <w:name w:val="Heading 7"/>
    <w:basedOn w:val="Normal"/>
    <w:uiPriority w:val="1"/>
    <w:qFormat/>
    <w:pPr>
      <w:ind w:left="194"/>
      <w:outlineLvl w:val="7"/>
    </w:pPr>
    <w:rPr>
      <w:rFonts w:ascii="Times New Roman" w:hAnsi="Times New Roman" w:eastAsia="Times New Roman" w:cs="Times New Roman"/>
      <w:b/>
      <w:bCs/>
      <w:sz w:val="22"/>
      <w:szCs w:val="22"/>
      <w:lang w:val="en-US" w:eastAsia="en-US" w:bidi="ar-SA"/>
    </w:rPr>
  </w:style>
  <w:style w:styleId="Heading8" w:type="paragraph">
    <w:name w:val="Heading 8"/>
    <w:basedOn w:val="Normal"/>
    <w:uiPriority w:val="1"/>
    <w:qFormat/>
    <w:pPr>
      <w:spacing w:before="126"/>
      <w:ind w:left="682" w:right="162" w:hanging="480"/>
      <w:outlineLvl w:val="8"/>
    </w:pPr>
    <w:rPr>
      <w:rFonts w:ascii="Times New Roman" w:hAnsi="Times New Roman" w:eastAsia="Times New Roman" w:cs="Times New Roman"/>
      <w:sz w:val="22"/>
      <w:szCs w:val="22"/>
      <w:lang w:val="en-US" w:eastAsia="en-US" w:bidi="ar-SA"/>
    </w:rPr>
  </w:style>
  <w:style w:styleId="Heading9" w:type="paragraph">
    <w:name w:val="Heading 9"/>
    <w:basedOn w:val="Normal"/>
    <w:uiPriority w:val="1"/>
    <w:qFormat/>
    <w:pPr>
      <w:spacing w:before="10"/>
      <w:ind w:left="190"/>
      <w:outlineLvl w:val="9"/>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59"/>
      <w:ind w:left="3800"/>
    </w:pPr>
    <w:rPr>
      <w:rFonts w:ascii="Times New Roman" w:hAnsi="Times New Roman" w:eastAsia="Times New Roman" w:cs="Times New Roman"/>
      <w:b/>
      <w:bCs/>
      <w:sz w:val="72"/>
      <w:szCs w:val="72"/>
      <w:lang w:val="en-US" w:eastAsia="en-US" w:bidi="ar-SA"/>
    </w:rPr>
  </w:style>
  <w:style w:styleId="ListParagraph" w:type="paragraph">
    <w:name w:val="List Paragraph"/>
    <w:basedOn w:val="Normal"/>
    <w:uiPriority w:val="1"/>
    <w:qFormat/>
    <w:pPr>
      <w:ind w:left="18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rep.htm" TargetMode="External"/><Relationship Id="rId6" Type="http://schemas.openxmlformats.org/officeDocument/2006/relationships/hyperlink" Target="http://www.bankofengland.co.uk/ir.htm"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yperlink" Target="http://www.bankofengland.co.uk/qb/sterl00.pdf" TargetMode="External"/><Relationship Id="rId16" Type="http://schemas.openxmlformats.org/officeDocument/2006/relationships/hyperlink" Target="http://www.bankofengland.co.uk/qb/qb990402.pdf" TargetMode="External"/><Relationship Id="rId17" Type="http://schemas.openxmlformats.org/officeDocument/2006/relationships/hyperlink" Target="http://www.bankofengland.co.uk/qb/qb000101" TargetMode="External"/><Relationship Id="rId18" Type="http://schemas.openxmlformats.org/officeDocument/2006/relationships/hyperlink" Target="http://www.bankofengland.co.uk/qb/int00feb.pdf" TargetMode="External"/><Relationship Id="rId19" Type="http://schemas.openxmlformats.org/officeDocument/2006/relationships/hyperlink" Target="http://www.bankofengland.co.uk/qb/qb000101.pdf" TargetMode="Externa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hyperlink" Target="http://www.bankofengland.co.uk/mew.htm" TargetMode="External"/><Relationship Id="rId33" Type="http://schemas.openxmlformats.org/officeDocument/2006/relationships/header" Target="header8.xml"/><Relationship Id="rId34" Type="http://schemas.openxmlformats.org/officeDocument/2006/relationships/header" Target="header9.xml"/><Relationship Id="rId35" Type="http://schemas.openxmlformats.org/officeDocument/2006/relationships/footer" Target="footer9.xml"/><Relationship Id="rId36" Type="http://schemas.openxmlformats.org/officeDocument/2006/relationships/footer" Target="footer10.xml"/><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40" Type="http://schemas.openxmlformats.org/officeDocument/2006/relationships/image" Target="media/image9.png"/><Relationship Id="rId41" Type="http://schemas.openxmlformats.org/officeDocument/2006/relationships/header" Target="header10.xml"/><Relationship Id="rId42" Type="http://schemas.openxmlformats.org/officeDocument/2006/relationships/header" Target="header11.xml"/><Relationship Id="rId43" Type="http://schemas.openxmlformats.org/officeDocument/2006/relationships/footer" Target="footer11.xml"/><Relationship Id="rId44" Type="http://schemas.openxmlformats.org/officeDocument/2006/relationships/footer" Target="footer12.xml"/><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header" Target="header12.xml"/><Relationship Id="rId57" Type="http://schemas.openxmlformats.org/officeDocument/2006/relationships/footer" Target="footer13.xml"/><Relationship Id="rId58" Type="http://schemas.openxmlformats.org/officeDocument/2006/relationships/footer" Target="footer14.xml"/><Relationship Id="rId59" Type="http://schemas.openxmlformats.org/officeDocument/2006/relationships/image" Target="media/image21.png"/><Relationship Id="rId60" Type="http://schemas.openxmlformats.org/officeDocument/2006/relationships/image" Target="media/image22.png"/><Relationship Id="rId61" Type="http://schemas.openxmlformats.org/officeDocument/2006/relationships/header" Target="header13.xml"/><Relationship Id="rId62" Type="http://schemas.openxmlformats.org/officeDocument/2006/relationships/image" Target="media/image23.png"/><Relationship Id="rId63" Type="http://schemas.openxmlformats.org/officeDocument/2006/relationships/image" Target="media/image24.png"/><Relationship Id="rId64" Type="http://schemas.openxmlformats.org/officeDocument/2006/relationships/image" Target="media/image25.png"/><Relationship Id="rId65" Type="http://schemas.openxmlformats.org/officeDocument/2006/relationships/header" Target="header14.xml"/><Relationship Id="rId66" Type="http://schemas.openxmlformats.org/officeDocument/2006/relationships/header" Target="header15.xml"/><Relationship Id="rId67" Type="http://schemas.openxmlformats.org/officeDocument/2006/relationships/footer" Target="footer15.xml"/><Relationship Id="rId68" Type="http://schemas.openxmlformats.org/officeDocument/2006/relationships/footer" Target="footer16.xml"/><Relationship Id="rId69" Type="http://schemas.openxmlformats.org/officeDocument/2006/relationships/image" Target="media/image26.png"/><Relationship Id="rId70" Type="http://schemas.openxmlformats.org/officeDocument/2006/relationships/header" Target="header16.xml"/><Relationship Id="rId71" Type="http://schemas.openxmlformats.org/officeDocument/2006/relationships/header" Target="header17.xml"/><Relationship Id="rId72" Type="http://schemas.openxmlformats.org/officeDocument/2006/relationships/footer" Target="footer17.xml"/><Relationship Id="rId73" Type="http://schemas.openxmlformats.org/officeDocument/2006/relationships/footer" Target="footer18.xml"/><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header" Target="header18.xml"/><Relationship Id="rId77" Type="http://schemas.openxmlformats.org/officeDocument/2006/relationships/header" Target="header19.xml"/><Relationship Id="rId78" Type="http://schemas.openxmlformats.org/officeDocument/2006/relationships/footer" Target="footer19.xml"/><Relationship Id="rId79" Type="http://schemas.openxmlformats.org/officeDocument/2006/relationships/footer" Target="footer20.xml"/><Relationship Id="rId80" Type="http://schemas.openxmlformats.org/officeDocument/2006/relationships/image" Target="media/image29.png"/><Relationship Id="rId81" Type="http://schemas.openxmlformats.org/officeDocument/2006/relationships/image" Target="media/image30.png"/><Relationship Id="rId82" Type="http://schemas.openxmlformats.org/officeDocument/2006/relationships/image" Target="media/image31.png"/><Relationship Id="rId83" Type="http://schemas.openxmlformats.org/officeDocument/2006/relationships/image" Target="media/image32.png"/><Relationship Id="rId84" Type="http://schemas.openxmlformats.org/officeDocument/2006/relationships/image" Target="media/image33.png"/><Relationship Id="rId85" Type="http://schemas.openxmlformats.org/officeDocument/2006/relationships/image" Target="media/image34.png"/><Relationship Id="rId86" Type="http://schemas.openxmlformats.org/officeDocument/2006/relationships/image" Target="media/image35.png"/><Relationship Id="rId87" Type="http://schemas.openxmlformats.org/officeDocument/2006/relationships/image" Target="media/image36.png"/><Relationship Id="rId88" Type="http://schemas.openxmlformats.org/officeDocument/2006/relationships/image" Target="media/image37.png"/><Relationship Id="rId89" Type="http://schemas.openxmlformats.org/officeDocument/2006/relationships/image" Target="media/image38.png"/><Relationship Id="rId90" Type="http://schemas.openxmlformats.org/officeDocument/2006/relationships/image" Target="media/image39.png"/><Relationship Id="rId91" Type="http://schemas.openxmlformats.org/officeDocument/2006/relationships/image" Target="media/image40.png"/><Relationship Id="rId92" Type="http://schemas.openxmlformats.org/officeDocument/2006/relationships/image" Target="media/image41.png"/><Relationship Id="rId93" Type="http://schemas.openxmlformats.org/officeDocument/2006/relationships/image" Target="media/image42.png"/><Relationship Id="rId94" Type="http://schemas.openxmlformats.org/officeDocument/2006/relationships/image" Target="media/image43.png"/><Relationship Id="rId95" Type="http://schemas.openxmlformats.org/officeDocument/2006/relationships/image" Target="media/image44.png"/><Relationship Id="rId96" Type="http://schemas.openxmlformats.org/officeDocument/2006/relationships/header" Target="header20.xml"/><Relationship Id="rId97" Type="http://schemas.openxmlformats.org/officeDocument/2006/relationships/footer" Target="footer21.xml"/><Relationship Id="rId98" Type="http://schemas.openxmlformats.org/officeDocument/2006/relationships/footer" Target="footer22.xml"/><Relationship Id="rId99" Type="http://schemas.openxmlformats.org/officeDocument/2006/relationships/header" Target="header21.xml"/><Relationship Id="rId100" Type="http://schemas.openxmlformats.org/officeDocument/2006/relationships/header" Target="header22.xml"/><Relationship Id="rId101" Type="http://schemas.openxmlformats.org/officeDocument/2006/relationships/image" Target="media/image45.png"/><Relationship Id="rId102" Type="http://schemas.openxmlformats.org/officeDocument/2006/relationships/image" Target="media/image46.png"/><Relationship Id="rId103" Type="http://schemas.openxmlformats.org/officeDocument/2006/relationships/footer" Target="footer23.xml"/><Relationship Id="rId104" Type="http://schemas.openxmlformats.org/officeDocument/2006/relationships/footer" Target="footer24.xml"/><Relationship Id="rId105" Type="http://schemas.openxmlformats.org/officeDocument/2006/relationships/image" Target="media/image47.png"/><Relationship Id="rId106" Type="http://schemas.openxmlformats.org/officeDocument/2006/relationships/image" Target="media/image48.png"/><Relationship Id="rId107" Type="http://schemas.openxmlformats.org/officeDocument/2006/relationships/image" Target="media/image49.png"/><Relationship Id="rId108" Type="http://schemas.openxmlformats.org/officeDocument/2006/relationships/image" Target="media/image50.png"/><Relationship Id="rId109" Type="http://schemas.openxmlformats.org/officeDocument/2006/relationships/image" Target="media/image51.png"/><Relationship Id="rId110" Type="http://schemas.openxmlformats.org/officeDocument/2006/relationships/image" Target="media/image52.png"/><Relationship Id="rId111" Type="http://schemas.openxmlformats.org/officeDocument/2006/relationships/header" Target="header23.xml"/><Relationship Id="rId112" Type="http://schemas.openxmlformats.org/officeDocument/2006/relationships/header" Target="header24.xml"/><Relationship Id="rId113" Type="http://schemas.openxmlformats.org/officeDocument/2006/relationships/footer" Target="footer25.xml"/><Relationship Id="rId114" Type="http://schemas.openxmlformats.org/officeDocument/2006/relationships/footer" Target="footer26.xml"/><Relationship Id="rId115" Type="http://schemas.openxmlformats.org/officeDocument/2006/relationships/image" Target="media/image53.png"/><Relationship Id="rId116" Type="http://schemas.openxmlformats.org/officeDocument/2006/relationships/image" Target="media/image54.png"/><Relationship Id="rId117" Type="http://schemas.openxmlformats.org/officeDocument/2006/relationships/image" Target="media/image55.png"/><Relationship Id="rId118" Type="http://schemas.openxmlformats.org/officeDocument/2006/relationships/image" Target="media/image56.png"/><Relationship Id="rId119" Type="http://schemas.openxmlformats.org/officeDocument/2006/relationships/image" Target="media/image57.png"/><Relationship Id="rId120" Type="http://schemas.openxmlformats.org/officeDocument/2006/relationships/image" Target="media/image58.png"/><Relationship Id="rId121" Type="http://schemas.openxmlformats.org/officeDocument/2006/relationships/image" Target="media/image59.png"/><Relationship Id="rId122" Type="http://schemas.openxmlformats.org/officeDocument/2006/relationships/header" Target="header25.xml"/><Relationship Id="rId123" Type="http://schemas.openxmlformats.org/officeDocument/2006/relationships/footer" Target="footer27.xml"/><Relationship Id="rId124" Type="http://schemas.openxmlformats.org/officeDocument/2006/relationships/footer" Target="footer28.xml"/><Relationship Id="rId125" Type="http://schemas.openxmlformats.org/officeDocument/2006/relationships/header" Target="header26.xml"/><Relationship Id="rId126" Type="http://schemas.openxmlformats.org/officeDocument/2006/relationships/header" Target="header27.xml"/><Relationship Id="rId127" Type="http://schemas.openxmlformats.org/officeDocument/2006/relationships/image" Target="media/image60.png"/><Relationship Id="rId128" Type="http://schemas.openxmlformats.org/officeDocument/2006/relationships/image" Target="media/image61.png"/><Relationship Id="rId129" Type="http://schemas.openxmlformats.org/officeDocument/2006/relationships/image" Target="media/image62.png"/><Relationship Id="rId130" Type="http://schemas.openxmlformats.org/officeDocument/2006/relationships/image" Target="media/image63.png"/><Relationship Id="rId131" Type="http://schemas.openxmlformats.org/officeDocument/2006/relationships/image" Target="media/image64.png"/><Relationship Id="rId132" Type="http://schemas.openxmlformats.org/officeDocument/2006/relationships/image" Target="media/image65.png"/><Relationship Id="rId133" Type="http://schemas.openxmlformats.org/officeDocument/2006/relationships/footer" Target="footer29.xml"/><Relationship Id="rId134" Type="http://schemas.openxmlformats.org/officeDocument/2006/relationships/footer" Target="footer30.xml"/><Relationship Id="rId135" Type="http://schemas.openxmlformats.org/officeDocument/2006/relationships/image" Target="media/image66.png"/><Relationship Id="rId136" Type="http://schemas.openxmlformats.org/officeDocument/2006/relationships/image" Target="media/image67.png"/><Relationship Id="rId137" Type="http://schemas.openxmlformats.org/officeDocument/2006/relationships/image" Target="media/image68.png"/><Relationship Id="rId138" Type="http://schemas.openxmlformats.org/officeDocument/2006/relationships/hyperlink" Target="http://www.bankofengland.co.uk/wp72.pdf" TargetMode="External"/><Relationship Id="rId139" Type="http://schemas.openxmlformats.org/officeDocument/2006/relationships/header" Target="header28.xml"/><Relationship Id="rId140" Type="http://schemas.openxmlformats.org/officeDocument/2006/relationships/header" Target="header29.xml"/><Relationship Id="rId141" Type="http://schemas.openxmlformats.org/officeDocument/2006/relationships/footer" Target="footer31.xml"/><Relationship Id="rId142" Type="http://schemas.openxmlformats.org/officeDocument/2006/relationships/footer" Target="footer32.xml"/><Relationship Id="rId143" Type="http://schemas.openxmlformats.org/officeDocument/2006/relationships/image" Target="media/image69.png"/><Relationship Id="rId144" Type="http://schemas.openxmlformats.org/officeDocument/2006/relationships/header" Target="header30.xml"/><Relationship Id="rId145" Type="http://schemas.openxmlformats.org/officeDocument/2006/relationships/footer" Target="footer33.xml"/><Relationship Id="rId146" Type="http://schemas.openxmlformats.org/officeDocument/2006/relationships/footer" Target="footer34.xml"/><Relationship Id="rId147" Type="http://schemas.openxmlformats.org/officeDocument/2006/relationships/image" Target="media/image70.png"/><Relationship Id="rId148" Type="http://schemas.openxmlformats.org/officeDocument/2006/relationships/header" Target="header31.xml"/><Relationship Id="rId149" Type="http://schemas.openxmlformats.org/officeDocument/2006/relationships/header" Target="header32.xml"/><Relationship Id="rId150" Type="http://schemas.openxmlformats.org/officeDocument/2006/relationships/header" Target="header33.xml"/><Relationship Id="rId151" Type="http://schemas.openxmlformats.org/officeDocument/2006/relationships/footer" Target="footer35.xml"/><Relationship Id="rId152" Type="http://schemas.openxmlformats.org/officeDocument/2006/relationships/footer" Target="footer36.xml"/><Relationship Id="rId153" Type="http://schemas.openxmlformats.org/officeDocument/2006/relationships/header" Target="header34.xml"/><Relationship Id="rId154" Type="http://schemas.openxmlformats.org/officeDocument/2006/relationships/footer" Target="footer37.xml"/><Relationship Id="rId155" Type="http://schemas.openxmlformats.org/officeDocument/2006/relationships/footer" Target="footer38.xml"/><Relationship Id="rId156" Type="http://schemas.openxmlformats.org/officeDocument/2006/relationships/header" Target="header35.xml"/><Relationship Id="rId157" Type="http://schemas.openxmlformats.org/officeDocument/2006/relationships/header" Target="header36.xml"/><Relationship Id="rId158" Type="http://schemas.openxmlformats.org/officeDocument/2006/relationships/footer" Target="footer39.xml"/><Relationship Id="rId159" Type="http://schemas.openxmlformats.org/officeDocument/2006/relationships/footer" Target="footer40.xml"/><Relationship Id="rId160" Type="http://schemas.openxmlformats.org/officeDocument/2006/relationships/header" Target="header37.xml"/><Relationship Id="rId161" Type="http://schemas.openxmlformats.org/officeDocument/2006/relationships/footer" Target="footer41.xml"/><Relationship Id="rId162" Type="http://schemas.openxmlformats.org/officeDocument/2006/relationships/footer" Target="footer42.xml"/><Relationship Id="rId163" Type="http://schemas.openxmlformats.org/officeDocument/2006/relationships/header" Target="header38.xml"/><Relationship Id="rId164" Type="http://schemas.openxmlformats.org/officeDocument/2006/relationships/header" Target="header39.xml"/><Relationship Id="rId165" Type="http://schemas.openxmlformats.org/officeDocument/2006/relationships/header" Target="header40.xml"/><Relationship Id="rId166" Type="http://schemas.openxmlformats.org/officeDocument/2006/relationships/footer" Target="footer43.xml"/><Relationship Id="rId167" Type="http://schemas.openxmlformats.org/officeDocument/2006/relationships/footer" Target="footer44.xml"/><Relationship Id="rId168" Type="http://schemas.openxmlformats.org/officeDocument/2006/relationships/header" Target="header41.xml"/><Relationship Id="rId169" Type="http://schemas.openxmlformats.org/officeDocument/2006/relationships/image" Target="media/image71.png"/><Relationship Id="rId170" Type="http://schemas.openxmlformats.org/officeDocument/2006/relationships/header" Target="header42.xml"/><Relationship Id="rId171" Type="http://schemas.openxmlformats.org/officeDocument/2006/relationships/header" Target="header43.xml"/><Relationship Id="rId172" Type="http://schemas.openxmlformats.org/officeDocument/2006/relationships/footer" Target="footer45.xml"/><Relationship Id="rId173" Type="http://schemas.openxmlformats.org/officeDocument/2006/relationships/footer" Target="footer46.xml"/><Relationship Id="rId174" Type="http://schemas.openxmlformats.org/officeDocument/2006/relationships/header" Target="header44.xml"/><Relationship Id="rId175" Type="http://schemas.openxmlformats.org/officeDocument/2006/relationships/footer" Target="footer47.xml"/><Relationship Id="rId176" Type="http://schemas.openxmlformats.org/officeDocument/2006/relationships/hyperlink" Target="mailto:mapublications@bankofengland.co.uk" TargetMode="External"/><Relationship Id="rId1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Inflation Report Feb 2000</dc:subject>
  <dc:title>Inflation Report</dc:title>
  <dcterms:created xsi:type="dcterms:W3CDTF">2020-06-02T23:02:19Z</dcterms:created>
  <dcterms:modified xsi:type="dcterms:W3CDTF">2020-06-02T23:02:19Z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2000-02-16T00:00:00Z</vt:filetime>
  </property>
  <property fmtid="{D5CDD505-2E9C-101B-9397-08002B2CF9AE}" pid="3" name="LastSaved">
    <vt:filetime>2020-06-02T00:00:00Z</vt:filetime>
  </property>
</Properties>
</file>